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3A27" w14:textId="77777777" w:rsidR="008944EB" w:rsidRDefault="00D353C5">
      <w:pPr>
        <w:spacing w:after="135" w:line="259" w:lineRule="auto"/>
        <w:ind w:left="927" w:right="0" w:firstLine="0"/>
        <w:jc w:val="center"/>
      </w:pPr>
      <w:r>
        <w:rPr>
          <w:b/>
          <w:sz w:val="22"/>
        </w:rPr>
        <w:t xml:space="preserve">CHAMADA PÚBLICA MCTI/FINEP/FNDCT </w:t>
      </w:r>
    </w:p>
    <w:p w14:paraId="47A9D8FD" w14:textId="77777777" w:rsidR="008944EB" w:rsidRDefault="00D353C5">
      <w:pPr>
        <w:spacing w:after="255" w:line="259" w:lineRule="auto"/>
        <w:ind w:left="2672" w:right="0" w:firstLine="0"/>
        <w:jc w:val="left"/>
      </w:pPr>
      <w:r>
        <w:rPr>
          <w:b/>
          <w:sz w:val="22"/>
        </w:rPr>
        <w:t xml:space="preserve">PESQUISA APLICADA EM CENTROS TEMÁTICOS 2025 </w:t>
      </w:r>
    </w:p>
    <w:p w14:paraId="59F62E30" w14:textId="77777777" w:rsidR="008944EB" w:rsidRDefault="00D353C5">
      <w:pPr>
        <w:spacing w:after="235" w:line="259" w:lineRule="auto"/>
        <w:ind w:left="992" w:right="0" w:firstLine="0"/>
        <w:jc w:val="left"/>
      </w:pPr>
      <w:r>
        <w:rPr>
          <w:sz w:val="22"/>
        </w:rPr>
        <w:t xml:space="preserve"> </w:t>
      </w:r>
    </w:p>
    <w:p w14:paraId="5456BDD4" w14:textId="77777777" w:rsidR="008944EB" w:rsidRDefault="00D353C5">
      <w:pPr>
        <w:spacing w:after="0" w:line="259" w:lineRule="auto"/>
        <w:ind w:left="0" w:right="230" w:firstLine="0"/>
        <w:jc w:val="right"/>
      </w:pPr>
      <w:r>
        <w:rPr>
          <w:b/>
        </w:rPr>
        <w:t xml:space="preserve">Anexo IX: Metodologia de Cálculo do Indicador de Desempenho de Prazos </w:t>
      </w:r>
    </w:p>
    <w:p w14:paraId="1EBD586B" w14:textId="219E7478" w:rsidR="008944EB" w:rsidRDefault="00D353C5">
      <w:pPr>
        <w:spacing w:after="0" w:line="259" w:lineRule="auto"/>
        <w:ind w:left="923" w:right="0" w:firstLine="0"/>
        <w:jc w:val="center"/>
      </w:pPr>
      <w:r>
        <w:rPr>
          <w:b/>
        </w:rPr>
        <w:t>(IDP)</w:t>
      </w:r>
    </w:p>
    <w:p w14:paraId="60F5B1A6" w14:textId="77777777" w:rsidR="008944EB" w:rsidRDefault="00D353C5">
      <w:pPr>
        <w:spacing w:after="245" w:line="259" w:lineRule="auto"/>
        <w:ind w:left="992" w:right="0" w:firstLine="0"/>
        <w:jc w:val="left"/>
      </w:pPr>
      <w:r>
        <w:rPr>
          <w:b/>
          <w:sz w:val="22"/>
        </w:rPr>
        <w:t xml:space="preserve"> </w:t>
      </w:r>
    </w:p>
    <w:p w14:paraId="4CAD10A9" w14:textId="77777777" w:rsidR="008944EB" w:rsidRDefault="00D353C5">
      <w:pPr>
        <w:spacing w:after="108"/>
        <w:ind w:left="987" w:right="59"/>
      </w:pPr>
      <w:r>
        <w:t xml:space="preserve">O método implementado visa desenvolver um indicador para quantificar a eficiência operacional de universidades e ICTs, baseado no desempenho de cumprimento de prazos de projetos contratados pela Finep. O modelo permite avaliar o desempenho institucional de maneira simples, contínua e sistemática, gerando dados que subsidiem o aprimoramento da gestão e a conclusão de projetos. O indicador definido para essa avaliação é o índice de desempenho de prazos (IDP). </w:t>
      </w:r>
    </w:p>
    <w:p w14:paraId="2664F7B1" w14:textId="77777777" w:rsidR="008944EB" w:rsidRDefault="00D353C5">
      <w:pPr>
        <w:spacing w:after="95" w:line="259" w:lineRule="auto"/>
        <w:ind w:left="992" w:right="0" w:firstLine="0"/>
        <w:jc w:val="left"/>
      </w:pPr>
      <w:r>
        <w:t xml:space="preserve"> </w:t>
      </w:r>
    </w:p>
    <w:p w14:paraId="0A7F020B" w14:textId="77777777" w:rsidR="008944EB" w:rsidRDefault="00D353C5">
      <w:pPr>
        <w:spacing w:after="0" w:line="259" w:lineRule="auto"/>
        <w:ind w:left="987" w:right="0"/>
        <w:jc w:val="left"/>
      </w:pPr>
      <w:r>
        <w:rPr>
          <w:b/>
        </w:rPr>
        <w:t xml:space="preserve">Premissas: </w:t>
      </w:r>
    </w:p>
    <w:p w14:paraId="457E1113" w14:textId="77777777" w:rsidR="008944EB" w:rsidRDefault="00D353C5">
      <w:pPr>
        <w:spacing w:after="0" w:line="259" w:lineRule="auto"/>
        <w:ind w:left="992" w:right="0" w:firstLine="0"/>
        <w:jc w:val="left"/>
      </w:pPr>
      <w:r>
        <w:t xml:space="preserve"> </w:t>
      </w:r>
    </w:p>
    <w:p w14:paraId="1061DEC5" w14:textId="426C7C3A" w:rsidR="008944EB" w:rsidRDefault="00D353C5">
      <w:pPr>
        <w:ind w:left="987" w:right="59"/>
      </w:pPr>
      <w:r>
        <w:t>Quanto às premissas utilizadas: a) Serão consideradas às instituições EXECUTORAS dos contratos/convênios; b) Serão avaliados tanto os projetos em execução, quanto os contratos que foram encerrados nos últimos cinco anos</w:t>
      </w:r>
      <w:r w:rsidR="003F261E">
        <w:t xml:space="preserve"> </w:t>
      </w:r>
      <w:r w:rsidR="00856518">
        <w:t>(</w:t>
      </w:r>
      <w:r w:rsidR="003F261E">
        <w:t>01/01/202</w:t>
      </w:r>
      <w:r w:rsidR="007D5A97">
        <w:t>1</w:t>
      </w:r>
      <w:r w:rsidR="003F261E">
        <w:t xml:space="preserve"> a</w:t>
      </w:r>
      <w:r w:rsidR="00856518">
        <w:t>té</w:t>
      </w:r>
      <w:r w:rsidR="003F261E">
        <w:t xml:space="preserve"> 31/12/</w:t>
      </w:r>
      <w:r w:rsidR="00300A1A">
        <w:t>2025</w:t>
      </w:r>
      <w:r w:rsidR="003F261E">
        <w:t>)</w:t>
      </w:r>
      <w:r>
        <w:t xml:space="preserve">, classificados em duas categorias: projetos EXECUTADOS e projetos EM EXECUÇÃO; c) Cada categoria receberá uma nota de 1 a 5, sendo </w:t>
      </w:r>
      <w:r>
        <w:rPr>
          <w:sz w:val="25"/>
        </w:rPr>
        <w:t>NE</w:t>
      </w:r>
      <w:r>
        <w:t xml:space="preserve"> a nota para projetos executados e </w:t>
      </w:r>
      <w:proofErr w:type="spellStart"/>
      <w:r>
        <w:rPr>
          <w:sz w:val="25"/>
        </w:rPr>
        <w:t>NeE</w:t>
      </w:r>
      <w:proofErr w:type="spellEnd"/>
      <w:r>
        <w:t xml:space="preserve"> a nota para projetos em execução; d) A nota final corresponderá à média ponderada entre </w:t>
      </w:r>
      <w:r>
        <w:rPr>
          <w:sz w:val="25"/>
        </w:rPr>
        <w:t>NE</w:t>
      </w:r>
      <w:r>
        <w:t xml:space="preserve"> e </w:t>
      </w:r>
      <w:proofErr w:type="spellStart"/>
      <w:r>
        <w:rPr>
          <w:sz w:val="25"/>
        </w:rPr>
        <w:t>NeE</w:t>
      </w:r>
      <w:proofErr w:type="spellEnd"/>
      <w:r>
        <w:t xml:space="preserve">, com os seguintes </w:t>
      </w:r>
      <w:r w:rsidRPr="00F86C98">
        <w:t xml:space="preserve">pesos: 0,4 para </w:t>
      </w:r>
      <w:r w:rsidRPr="00F86C98">
        <w:rPr>
          <w:sz w:val="25"/>
        </w:rPr>
        <w:t>NE</w:t>
      </w:r>
      <w:r w:rsidRPr="00F86C98">
        <w:t xml:space="preserve"> e 0,6 para </w:t>
      </w:r>
      <w:proofErr w:type="spellStart"/>
      <w:r w:rsidRPr="00F86C98">
        <w:rPr>
          <w:sz w:val="25"/>
        </w:rPr>
        <w:t>NeE</w:t>
      </w:r>
      <w:proofErr w:type="spellEnd"/>
      <w:r w:rsidRPr="00F86C98">
        <w:t>;</w:t>
      </w:r>
      <w:r>
        <w:t xml:space="preserve"> e) Instituições sem histórico de projetos (ausência de </w:t>
      </w:r>
      <w:r>
        <w:rPr>
          <w:sz w:val="25"/>
        </w:rPr>
        <w:t>NE</w:t>
      </w:r>
      <w:r>
        <w:t xml:space="preserve"> e </w:t>
      </w:r>
      <w:proofErr w:type="spellStart"/>
      <w:r>
        <w:rPr>
          <w:sz w:val="25"/>
        </w:rPr>
        <w:t>NeE</w:t>
      </w:r>
      <w:proofErr w:type="spellEnd"/>
      <w:r>
        <w:t xml:space="preserve">) receberão nota final </w:t>
      </w:r>
      <w:r w:rsidR="00125602">
        <w:t xml:space="preserve">igual a </w:t>
      </w:r>
      <w:r w:rsidR="00014DAF">
        <w:t>média ponderada das notas dos demais critérios de avaliação</w:t>
      </w:r>
      <w:r>
        <w:t xml:space="preserve">; f) Instituições sem projetos em execução (ausência de </w:t>
      </w:r>
      <w:proofErr w:type="spellStart"/>
      <w:r>
        <w:rPr>
          <w:sz w:val="25"/>
        </w:rPr>
        <w:t>NeE</w:t>
      </w:r>
      <w:proofErr w:type="spellEnd"/>
      <w:r>
        <w:t xml:space="preserve">) receberão como nota final o valor de </w:t>
      </w:r>
      <w:r>
        <w:rPr>
          <w:sz w:val="25"/>
        </w:rPr>
        <w:t>NE</w:t>
      </w:r>
      <w:r>
        <w:t xml:space="preserve">; g) Instituições sem projetos executados (ausência de </w:t>
      </w:r>
      <w:r>
        <w:rPr>
          <w:sz w:val="25"/>
        </w:rPr>
        <w:t>NE</w:t>
      </w:r>
      <w:r>
        <w:t xml:space="preserve">) receberão como nota final o valor de </w:t>
      </w:r>
      <w:proofErr w:type="spellStart"/>
      <w:r>
        <w:rPr>
          <w:sz w:val="25"/>
        </w:rPr>
        <w:t>NeE</w:t>
      </w:r>
      <w:proofErr w:type="spellEnd"/>
      <w:r>
        <w:t xml:space="preserve">. </w:t>
      </w:r>
    </w:p>
    <w:p w14:paraId="15ABEF61" w14:textId="77777777" w:rsidR="008944EB" w:rsidRDefault="00D353C5">
      <w:pPr>
        <w:spacing w:after="0" w:line="259" w:lineRule="auto"/>
        <w:ind w:left="992" w:right="0" w:firstLine="0"/>
        <w:jc w:val="left"/>
      </w:pPr>
      <w:r>
        <w:t xml:space="preserve"> </w:t>
      </w:r>
    </w:p>
    <w:p w14:paraId="000B1E7B" w14:textId="77777777" w:rsidR="008944EB" w:rsidRDefault="00D353C5">
      <w:pPr>
        <w:spacing w:after="0" w:line="259" w:lineRule="auto"/>
        <w:ind w:left="987" w:right="0"/>
        <w:jc w:val="left"/>
      </w:pPr>
      <w:r>
        <w:rPr>
          <w:b/>
        </w:rPr>
        <w:t xml:space="preserve">Atribuição das Notas: </w:t>
      </w:r>
    </w:p>
    <w:p w14:paraId="459CF7AD" w14:textId="77777777" w:rsidR="008944EB" w:rsidRDefault="00D353C5">
      <w:pPr>
        <w:spacing w:after="0" w:line="259" w:lineRule="auto"/>
        <w:ind w:left="992" w:right="0" w:firstLine="0"/>
        <w:jc w:val="left"/>
      </w:pPr>
      <w:r>
        <w:t xml:space="preserve"> </w:t>
      </w:r>
    </w:p>
    <w:p w14:paraId="31D67B05" w14:textId="54B17A60" w:rsidR="008944EB" w:rsidRDefault="00D353C5">
      <w:pPr>
        <w:ind w:left="987" w:right="59"/>
      </w:pPr>
      <w:r>
        <w:t xml:space="preserve">Quanto à atribuição das notas: a) As notas serão determinadas a partir dos percentuais de atraso dos convênios firmados com a Finep; b) O atraso percentual de cada contrato corresponde à divisão entre o atraso (diferença entre a duração real e a duração inicialmente prevista) e a duração inicialmente prevista; c) Instituições cuja </w:t>
      </w:r>
      <w:r w:rsidRPr="00F86C98">
        <w:t>mediana</w:t>
      </w:r>
      <w:r>
        <w:t xml:space="preserve"> de atrasos seja igual a </w:t>
      </w:r>
      <w:r w:rsidR="00A05D60" w:rsidRPr="00F86C98">
        <w:t>75</w:t>
      </w:r>
      <w:r w:rsidRPr="00F86C98">
        <w:t>%, receberão nota 3</w:t>
      </w:r>
      <w:r>
        <w:t xml:space="preserve">; d) A nota será reduzida de forma proporcional ao aumento da mediana de atrasos; e) Instituições com mediana de atrasos superior a 150% receberão nota </w:t>
      </w:r>
      <w:r w:rsidR="000F3418">
        <w:t>igual a</w:t>
      </w:r>
      <w:r>
        <w:t xml:space="preserve"> 1; f) </w:t>
      </w:r>
      <w:r w:rsidR="00F92970">
        <w:t>Desta forma, a</w:t>
      </w:r>
      <w:r>
        <w:t xml:space="preserve"> fórmula para atribuição das notas será dada por </w:t>
      </w:r>
    </w:p>
    <w:p w14:paraId="12934963" w14:textId="77777777" w:rsidR="00FA6AE3" w:rsidRDefault="00FA6AE3">
      <w:pPr>
        <w:ind w:left="987" w:right="59"/>
      </w:pPr>
    </w:p>
    <w:p w14:paraId="48ADFBCF" w14:textId="0AFC8ACB" w:rsidR="00FA6AE3" w:rsidRDefault="00174348">
      <w:pPr>
        <w:ind w:left="987" w:right="59"/>
      </w:pPr>
      <m:oMathPara>
        <m:oMath>
          <m:r>
            <w:rPr>
              <w:rFonts w:ascii="Cambria Math" w:hAnsi="Cambria Math"/>
            </w:rPr>
            <m:t>IDP=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5-(2/0,75)∙mediana,          mediana∈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0;1,5</m:t>
                      </m:r>
                    </m:e>
                  </m:d>
                </m:e>
                <m:e>
                  <m:r>
                    <w:rPr>
                      <w:rFonts w:ascii="Cambria Math" w:hAnsi="Cambria Math"/>
                    </w:rPr>
                    <m:t xml:space="preserve">1,                                               mediana&gt;1,5 </m:t>
                  </m:r>
                </m:e>
              </m:eqArr>
              <m:r>
                <w:rPr>
                  <w:rFonts w:ascii="Cambria Math" w:hAnsi="Cambria Math"/>
                </w:rPr>
                <m:t>.</m:t>
              </m:r>
            </m:e>
          </m:d>
        </m:oMath>
      </m:oMathPara>
    </w:p>
    <w:p w14:paraId="36F82473" w14:textId="77777777" w:rsidR="008944EB" w:rsidRDefault="00D353C5">
      <w:pPr>
        <w:spacing w:after="54" w:line="259" w:lineRule="auto"/>
        <w:ind w:left="10" w:right="50"/>
        <w:jc w:val="right"/>
      </w:pPr>
      <w:r>
        <w:rPr>
          <w:rFonts w:ascii="Calibri" w:eastAsia="Calibri" w:hAnsi="Calibri" w:cs="Calibri"/>
        </w:rPr>
        <w:t xml:space="preserve">1 </w:t>
      </w:r>
    </w:p>
    <w:p w14:paraId="12DB9ECD" w14:textId="1CA4B258" w:rsidR="008944EB" w:rsidRDefault="00D353C5">
      <w:pPr>
        <w:spacing w:after="6"/>
        <w:ind w:left="19" w:right="0"/>
        <w:jc w:val="left"/>
      </w:pPr>
      <w:r>
        <w:rPr>
          <w:color w:val="8C8C8C"/>
          <w:sz w:val="12"/>
        </w:rPr>
        <w:t xml:space="preserve">  </w:t>
      </w:r>
    </w:p>
    <w:p w14:paraId="18A1F901" w14:textId="15B26511" w:rsidR="008944EB" w:rsidRDefault="00D353C5">
      <w:pPr>
        <w:ind w:left="987" w:right="59"/>
      </w:pPr>
      <w:r>
        <w:lastRenderedPageBreak/>
        <w:t xml:space="preserve">Ainda sobre as notas, merecem destaque duas considerações: </w:t>
      </w:r>
    </w:p>
    <w:p w14:paraId="18DA63AC" w14:textId="77777777" w:rsidR="008944EB" w:rsidRDefault="00D353C5">
      <w:pPr>
        <w:spacing w:after="0" w:line="259" w:lineRule="auto"/>
        <w:ind w:left="992" w:right="0" w:firstLine="0"/>
        <w:jc w:val="left"/>
      </w:pPr>
      <w:r>
        <w:t xml:space="preserve"> </w:t>
      </w:r>
    </w:p>
    <w:p w14:paraId="0D2E7BD4" w14:textId="77777777" w:rsidR="008944EB" w:rsidRDefault="00D353C5">
      <w:pPr>
        <w:numPr>
          <w:ilvl w:val="0"/>
          <w:numId w:val="1"/>
        </w:numPr>
        <w:ind w:right="59" w:hanging="360"/>
      </w:pPr>
      <w:r w:rsidRPr="00F86C98">
        <w:t xml:space="preserve">Quando </w:t>
      </w:r>
      <w:proofErr w:type="spellStart"/>
      <w:r w:rsidRPr="00F86C98">
        <w:rPr>
          <w:sz w:val="25"/>
        </w:rPr>
        <w:t>NeE</w:t>
      </w:r>
      <w:proofErr w:type="spellEnd"/>
      <w:r w:rsidRPr="00F86C98">
        <w:t xml:space="preserve"> for maior do que </w:t>
      </w:r>
      <w:r w:rsidRPr="00F86C98">
        <w:rPr>
          <w:sz w:val="25"/>
        </w:rPr>
        <w:t>NE</w:t>
      </w:r>
      <w:r w:rsidRPr="00F86C98">
        <w:t xml:space="preserve">, então </w:t>
      </w:r>
      <w:proofErr w:type="spellStart"/>
      <w:r w:rsidRPr="00F86C98">
        <w:rPr>
          <w:sz w:val="25"/>
        </w:rPr>
        <w:t>NeE</w:t>
      </w:r>
      <w:proofErr w:type="spellEnd"/>
      <w:r w:rsidRPr="00F86C98">
        <w:t xml:space="preserve"> assumirá o valor de </w:t>
      </w:r>
      <w:r w:rsidRPr="00F86C98">
        <w:rPr>
          <w:sz w:val="25"/>
        </w:rPr>
        <w:t>NE</w:t>
      </w:r>
      <w:r w:rsidRPr="00F86C98">
        <w:t>.</w:t>
      </w:r>
      <w:r>
        <w:t xml:space="preserve"> Este critério reconhece que, se o atraso dos projetos em execução for inferior ao atraso histórico registrado, a instituição executora ainda não apresentou melhoria na execução dos projetos, de acordo com o prazo inicialmente pactuado. </w:t>
      </w:r>
    </w:p>
    <w:p w14:paraId="4B512C49" w14:textId="3C6024DF" w:rsidR="008944EB" w:rsidRDefault="00D353C5">
      <w:pPr>
        <w:numPr>
          <w:ilvl w:val="0"/>
          <w:numId w:val="1"/>
        </w:numPr>
        <w:ind w:right="59" w:hanging="360"/>
      </w:pPr>
      <w:r w:rsidRPr="00F86C98">
        <w:t xml:space="preserve">Quando </w:t>
      </w:r>
      <w:proofErr w:type="spellStart"/>
      <w:r w:rsidRPr="00F86C98">
        <w:rPr>
          <w:sz w:val="25"/>
        </w:rPr>
        <w:t>NeE</w:t>
      </w:r>
      <w:proofErr w:type="spellEnd"/>
      <w:r w:rsidRPr="00F86C98">
        <w:t xml:space="preserve"> for igual ou inferior a </w:t>
      </w:r>
      <w:r w:rsidRPr="00F86C98">
        <w:rPr>
          <w:sz w:val="25"/>
        </w:rPr>
        <w:t>NE</w:t>
      </w:r>
      <w:r w:rsidRPr="00F86C98">
        <w:t xml:space="preserve">, o valor de </w:t>
      </w:r>
      <w:proofErr w:type="spellStart"/>
      <w:r w:rsidRPr="00F86C98">
        <w:rPr>
          <w:sz w:val="25"/>
        </w:rPr>
        <w:t>NeE</w:t>
      </w:r>
      <w:proofErr w:type="spellEnd"/>
      <w:r w:rsidRPr="00F86C98">
        <w:t xml:space="preserve"> será mantido inalterado.</w:t>
      </w:r>
      <w:r>
        <w:t xml:space="preserve"> Esse critério representa uma penalização, pois a instituição está demo</w:t>
      </w:r>
      <w:r w:rsidR="00A90EBE">
        <w:t>n</w:t>
      </w:r>
      <w:r>
        <w:t xml:space="preserve">strando uma eficiência no cumprimento dos prazos inferior ao seu histórico. </w:t>
      </w:r>
    </w:p>
    <w:p w14:paraId="516DADEC" w14:textId="77777777" w:rsidR="005F0689" w:rsidRDefault="005F0689" w:rsidP="005F0689">
      <w:pPr>
        <w:spacing w:after="157" w:line="259" w:lineRule="auto"/>
        <w:ind w:right="0"/>
        <w:jc w:val="left"/>
      </w:pPr>
    </w:p>
    <w:p w14:paraId="70C75176" w14:textId="77777777" w:rsidR="00DE6285" w:rsidRDefault="00DE6285" w:rsidP="006A4FF2">
      <w:pPr>
        <w:ind w:left="987" w:right="59"/>
      </w:pPr>
      <w:r w:rsidRPr="00DE6285">
        <w:t>O IDP terá caráter exclusivamente de bonificação na avaliação da proposta. Assim, seu valor será computado apenas quando superior à média obtida nos demais critérios, contribuindo para elevar a pontuação final.</w:t>
      </w:r>
    </w:p>
    <w:p w14:paraId="226153FB" w14:textId="77777777" w:rsidR="00DE6285" w:rsidRDefault="00DE6285" w:rsidP="006A4FF2">
      <w:pPr>
        <w:ind w:left="987" w:right="59"/>
      </w:pPr>
    </w:p>
    <w:p w14:paraId="61510DCE" w14:textId="0163B661" w:rsidR="008944EB" w:rsidRDefault="00D353C5" w:rsidP="006A4FF2">
      <w:pPr>
        <w:ind w:left="987" w:right="59"/>
      </w:pPr>
      <w:r>
        <w:t>Os critérios descritos têm como objetivo incentivar o cumprimento dos prazos nos projetos em execução, evitando atrasos e promovendo o planejamento adequado das atividades e o encerramento pontual dos instrumentos contratuais.</w:t>
      </w:r>
    </w:p>
    <w:sectPr w:rsidR="008944EB">
      <w:headerReference w:type="default" r:id="rId7"/>
      <w:pgSz w:w="11899" w:h="16841"/>
      <w:pgMar w:top="709" w:right="1180" w:bottom="462" w:left="4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FFB5" w14:textId="77777777" w:rsidR="00085619" w:rsidRDefault="00085619" w:rsidP="00085619">
      <w:pPr>
        <w:spacing w:after="0" w:line="240" w:lineRule="auto"/>
      </w:pPr>
      <w:r>
        <w:separator/>
      </w:r>
    </w:p>
  </w:endnote>
  <w:endnote w:type="continuationSeparator" w:id="0">
    <w:p w14:paraId="4D2BCD00" w14:textId="77777777" w:rsidR="00085619" w:rsidRDefault="00085619" w:rsidP="0008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AC3A7" w14:textId="77777777" w:rsidR="00085619" w:rsidRDefault="00085619" w:rsidP="00085619">
      <w:pPr>
        <w:spacing w:after="0" w:line="240" w:lineRule="auto"/>
      </w:pPr>
      <w:r>
        <w:separator/>
      </w:r>
    </w:p>
  </w:footnote>
  <w:footnote w:type="continuationSeparator" w:id="0">
    <w:p w14:paraId="28A8BCA9" w14:textId="77777777" w:rsidR="00085619" w:rsidRDefault="00085619" w:rsidP="0008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08F4" w14:textId="2F2F682D" w:rsidR="00085619" w:rsidRDefault="00085619">
    <w:pPr>
      <w:pStyle w:val="Cabealho"/>
    </w:pPr>
    <w:r>
      <w:rPr>
        <w:noProof/>
      </w:rPr>
      <w:drawing>
        <wp:inline distT="0" distB="0" distL="0" distR="0" wp14:anchorId="48BC5373" wp14:editId="7BDA3917">
          <wp:extent cx="5864226" cy="847090"/>
          <wp:effectExtent l="0" t="0" r="0" b="0"/>
          <wp:docPr id="212387053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4226" cy="847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531F1"/>
    <w:multiLevelType w:val="hybridMultilevel"/>
    <w:tmpl w:val="5BC4CC04"/>
    <w:lvl w:ilvl="0" w:tplc="68A87CCA">
      <w:start w:val="1"/>
      <w:numFmt w:val="lowerLetter"/>
      <w:lvlText w:val="%1)"/>
      <w:lvlJc w:val="left"/>
      <w:pPr>
        <w:ind w:left="17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C02BA4">
      <w:start w:val="1"/>
      <w:numFmt w:val="lowerLetter"/>
      <w:lvlText w:val="%2"/>
      <w:lvlJc w:val="left"/>
      <w:pPr>
        <w:ind w:left="26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05F90">
      <w:start w:val="1"/>
      <w:numFmt w:val="lowerRoman"/>
      <w:lvlText w:val="%3"/>
      <w:lvlJc w:val="left"/>
      <w:pPr>
        <w:ind w:left="3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30B9AC">
      <w:start w:val="1"/>
      <w:numFmt w:val="decimal"/>
      <w:lvlText w:val="%4"/>
      <w:lvlJc w:val="left"/>
      <w:pPr>
        <w:ind w:left="40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565BBE">
      <w:start w:val="1"/>
      <w:numFmt w:val="lowerLetter"/>
      <w:lvlText w:val="%5"/>
      <w:lvlJc w:val="left"/>
      <w:pPr>
        <w:ind w:left="47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2B61A">
      <w:start w:val="1"/>
      <w:numFmt w:val="lowerRoman"/>
      <w:lvlText w:val="%6"/>
      <w:lvlJc w:val="left"/>
      <w:pPr>
        <w:ind w:left="55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1A74DE">
      <w:start w:val="1"/>
      <w:numFmt w:val="decimal"/>
      <w:lvlText w:val="%7"/>
      <w:lvlJc w:val="left"/>
      <w:pPr>
        <w:ind w:left="62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A418A">
      <w:start w:val="1"/>
      <w:numFmt w:val="lowerLetter"/>
      <w:lvlText w:val="%8"/>
      <w:lvlJc w:val="left"/>
      <w:pPr>
        <w:ind w:left="69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F214D2">
      <w:start w:val="1"/>
      <w:numFmt w:val="lowerRoman"/>
      <w:lvlText w:val="%9"/>
      <w:lvlJc w:val="left"/>
      <w:pPr>
        <w:ind w:left="76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747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EB"/>
    <w:rsid w:val="00014DAF"/>
    <w:rsid w:val="000666BB"/>
    <w:rsid w:val="00074F85"/>
    <w:rsid w:val="00085619"/>
    <w:rsid w:val="000B3F2A"/>
    <w:rsid w:val="000F3418"/>
    <w:rsid w:val="00125602"/>
    <w:rsid w:val="001266FB"/>
    <w:rsid w:val="00126B5E"/>
    <w:rsid w:val="00174348"/>
    <w:rsid w:val="001D36B4"/>
    <w:rsid w:val="001D3E04"/>
    <w:rsid w:val="00241428"/>
    <w:rsid w:val="00300A1A"/>
    <w:rsid w:val="00314938"/>
    <w:rsid w:val="00395575"/>
    <w:rsid w:val="003B17C9"/>
    <w:rsid w:val="003B2FA5"/>
    <w:rsid w:val="003F261E"/>
    <w:rsid w:val="00416B71"/>
    <w:rsid w:val="00491C88"/>
    <w:rsid w:val="004A13DE"/>
    <w:rsid w:val="005F0689"/>
    <w:rsid w:val="006102CC"/>
    <w:rsid w:val="00697744"/>
    <w:rsid w:val="006A4FF2"/>
    <w:rsid w:val="006D669C"/>
    <w:rsid w:val="007038D5"/>
    <w:rsid w:val="007138D0"/>
    <w:rsid w:val="007207B0"/>
    <w:rsid w:val="007D5A97"/>
    <w:rsid w:val="00856518"/>
    <w:rsid w:val="00867E3C"/>
    <w:rsid w:val="008944EB"/>
    <w:rsid w:val="008E4D6F"/>
    <w:rsid w:val="009B03FC"/>
    <w:rsid w:val="00A021F2"/>
    <w:rsid w:val="00A05D60"/>
    <w:rsid w:val="00A90EBE"/>
    <w:rsid w:val="00C010CF"/>
    <w:rsid w:val="00C03915"/>
    <w:rsid w:val="00C31676"/>
    <w:rsid w:val="00C41AA9"/>
    <w:rsid w:val="00C70643"/>
    <w:rsid w:val="00CA2A6C"/>
    <w:rsid w:val="00CE1506"/>
    <w:rsid w:val="00D353C5"/>
    <w:rsid w:val="00D86E6B"/>
    <w:rsid w:val="00DD2D83"/>
    <w:rsid w:val="00DE6285"/>
    <w:rsid w:val="00E30AE4"/>
    <w:rsid w:val="00E73D3E"/>
    <w:rsid w:val="00E877A5"/>
    <w:rsid w:val="00E87D5B"/>
    <w:rsid w:val="00E97D80"/>
    <w:rsid w:val="00EC0E12"/>
    <w:rsid w:val="00F37D2D"/>
    <w:rsid w:val="00F4641A"/>
    <w:rsid w:val="00F86C98"/>
    <w:rsid w:val="00F92970"/>
    <w:rsid w:val="00FA6AE3"/>
    <w:rsid w:val="00FE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9716"/>
  <w15:docId w15:val="{91B0A636-598A-45B3-8A28-AC778B5C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02" w:right="63" w:hanging="10"/>
      <w:jc w:val="both"/>
    </w:pPr>
    <w:rPr>
      <w:rFonts w:ascii="Tahoma" w:eastAsia="Tahoma" w:hAnsi="Tahoma" w:cs="Tahom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619"/>
    <w:rPr>
      <w:rFonts w:ascii="Tahoma" w:eastAsia="Tahoma" w:hAnsi="Tahoma" w:cs="Tahoma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085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619"/>
    <w:rPr>
      <w:rFonts w:ascii="Tahoma" w:eastAsia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528</Words>
  <Characters>2858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Barbosa de Oliveira</dc:creator>
  <cp:keywords/>
  <cp:lastModifiedBy>Guilherme Henrique Ismael de Azevedo</cp:lastModifiedBy>
  <cp:revision>10</cp:revision>
  <cp:lastPrinted>2026-03-31T20:52:00Z</cp:lastPrinted>
  <dcterms:created xsi:type="dcterms:W3CDTF">2026-04-23T15:50:00Z</dcterms:created>
  <dcterms:modified xsi:type="dcterms:W3CDTF">2026-04-24T14:15:00Z</dcterms:modified>
</cp:coreProperties>
</file>