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30F6E7" w14:textId="33EEFC76" w:rsidR="000D6D0A" w:rsidRDefault="00070EB7">
      <w:pPr>
        <w:spacing w:after="160"/>
        <w:textAlignment w:val="baseline"/>
        <w:sectPr w:rsidR="000D6D0A" w:rsidSect="00EF47B4">
          <w:headerReference w:type="default" r:id="rId11"/>
          <w:footerReference w:type="default" r:id="rId12"/>
          <w:pgSz w:w="16838" w:h="11906" w:orient="landscape"/>
          <w:pgMar w:top="0" w:right="0" w:bottom="0" w:left="0" w:header="709" w:footer="709" w:gutter="0"/>
          <w:cols w:space="720"/>
          <w:docGrid w:linePitch="326"/>
        </w:sectPr>
      </w:pPr>
      <w:r>
        <w:rPr>
          <w:noProof/>
        </w:rPr>
        <w:drawing>
          <wp:anchor distT="0" distB="0" distL="114300" distR="114300" simplePos="0" relativeHeight="251832320" behindDoc="0" locked="0" layoutInCell="1" allowOverlap="1" wp14:anchorId="13CB4254" wp14:editId="24931D40">
            <wp:simplePos x="0" y="0"/>
            <wp:positionH relativeFrom="column">
              <wp:posOffset>-35627</wp:posOffset>
            </wp:positionH>
            <wp:positionV relativeFrom="paragraph">
              <wp:posOffset>-804100</wp:posOffset>
            </wp:positionV>
            <wp:extent cx="10747169" cy="14197330"/>
            <wp:effectExtent l="0" t="0" r="0" b="0"/>
            <wp:wrapNone/>
            <wp:docPr id="850395271" name="Imagem 10" descr="Mão segurando objeto colori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95271" name="Imagem 10" descr="Mão segurando objeto colorido&#10;&#10;Descrição gerada automaticamente com confiança baix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48460" cy="141990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0E07">
        <w:t>CAPA</w:t>
      </w:r>
    </w:p>
    <w:tbl>
      <w:tblPr>
        <w:tblW w:w="16310" w:type="dxa"/>
        <w:tblCellMar>
          <w:left w:w="10" w:type="dxa"/>
          <w:right w:w="10" w:type="dxa"/>
        </w:tblCellMar>
        <w:tblLook w:val="04A0" w:firstRow="1" w:lastRow="0" w:firstColumn="1" w:lastColumn="0" w:noHBand="0" w:noVBand="1"/>
      </w:tblPr>
      <w:tblGrid>
        <w:gridCol w:w="4644"/>
        <w:gridCol w:w="3878"/>
        <w:gridCol w:w="3893"/>
        <w:gridCol w:w="3895"/>
      </w:tblGrid>
      <w:tr w:rsidR="000D6D0A" w14:paraId="2D974B5C" w14:textId="77777777">
        <w:trPr>
          <w:trHeight w:val="398"/>
        </w:trPr>
        <w:tc>
          <w:tcPr>
            <w:tcW w:w="16310" w:type="dxa"/>
            <w:gridSpan w:val="4"/>
            <w:shd w:val="clear" w:color="auto" w:fill="auto"/>
            <w:tcMar>
              <w:top w:w="113" w:type="dxa"/>
              <w:left w:w="170" w:type="dxa"/>
              <w:bottom w:w="113" w:type="dxa"/>
              <w:right w:w="170" w:type="dxa"/>
            </w:tcMar>
          </w:tcPr>
          <w:p w14:paraId="767CD228" w14:textId="77777777" w:rsidR="000D6D0A" w:rsidRPr="00870AAD" w:rsidRDefault="00BB0E07">
            <w:pPr>
              <w:rPr>
                <w:rFonts w:asciiTheme="majorHAnsi" w:hAnsiTheme="majorHAnsi" w:cstheme="majorHAnsi"/>
              </w:rPr>
            </w:pPr>
            <w:r w:rsidRPr="00870AAD">
              <w:rPr>
                <w:rFonts w:asciiTheme="majorHAnsi" w:eastAsia="Calibri" w:hAnsiTheme="majorHAnsi" w:cstheme="majorHAnsi"/>
                <w:color w:val="006260"/>
                <w:sz w:val="56"/>
                <w:szCs w:val="84"/>
              </w:rPr>
              <w:lastRenderedPageBreak/>
              <w:t xml:space="preserve">RELATÓRIO ANUAL INTEGRADO DA FINEP </w:t>
            </w:r>
            <w:r w:rsidRPr="00870AAD">
              <w:rPr>
                <w:rFonts w:asciiTheme="majorHAnsi" w:eastAsia="Calibri" w:hAnsiTheme="majorHAnsi" w:cstheme="majorHAnsi"/>
                <w:b/>
                <w:bCs/>
                <w:color w:val="006260"/>
                <w:sz w:val="56"/>
                <w:szCs w:val="84"/>
              </w:rPr>
              <w:t>2023</w:t>
            </w:r>
          </w:p>
        </w:tc>
      </w:tr>
      <w:tr w:rsidR="000D6D0A" w14:paraId="0900ADD4" w14:textId="77777777">
        <w:tc>
          <w:tcPr>
            <w:tcW w:w="16310" w:type="dxa"/>
            <w:gridSpan w:val="4"/>
            <w:shd w:val="clear" w:color="auto" w:fill="auto"/>
            <w:tcMar>
              <w:top w:w="113" w:type="dxa"/>
              <w:left w:w="170" w:type="dxa"/>
              <w:bottom w:w="113" w:type="dxa"/>
              <w:right w:w="170" w:type="dxa"/>
            </w:tcMar>
          </w:tcPr>
          <w:p w14:paraId="2032C198" w14:textId="77777777" w:rsidR="000D6D0A" w:rsidRPr="00870AAD" w:rsidRDefault="00BB0E07">
            <w:pPr>
              <w:autoSpaceDE w:val="0"/>
              <w:spacing w:after="60"/>
              <w:rPr>
                <w:rFonts w:asciiTheme="majorHAnsi" w:hAnsiTheme="majorHAnsi" w:cstheme="majorHAnsi"/>
              </w:rPr>
            </w:pPr>
            <w:r w:rsidRPr="00870AAD">
              <w:rPr>
                <w:rFonts w:asciiTheme="majorHAnsi" w:eastAsia="Calibri" w:hAnsiTheme="majorHAnsi" w:cstheme="majorHAnsi"/>
                <w:b/>
                <w:bCs/>
                <w:color w:val="F26420"/>
                <w:sz w:val="23"/>
                <w:szCs w:val="23"/>
              </w:rPr>
              <w:t>Ministério da Ciência, Tecnologia e Inovação (MCTI)</w:t>
            </w:r>
            <w:r w:rsidRPr="00870AAD">
              <w:rPr>
                <w:rFonts w:asciiTheme="majorHAnsi" w:eastAsia="Calibri" w:hAnsiTheme="majorHAnsi" w:cstheme="majorHAnsi"/>
                <w:b/>
                <w:color w:val="006260"/>
                <w:sz w:val="23"/>
                <w:szCs w:val="23"/>
              </w:rPr>
              <w:t xml:space="preserve"> </w:t>
            </w:r>
          </w:p>
          <w:p w14:paraId="5639AE66" w14:textId="77777777" w:rsidR="000D6D0A" w:rsidRPr="00870AAD" w:rsidRDefault="00BB0E07">
            <w:pPr>
              <w:autoSpaceDE w:val="0"/>
              <w:spacing w:before="120" w:after="160"/>
              <w:rPr>
                <w:rFonts w:asciiTheme="majorHAnsi" w:hAnsiTheme="majorHAnsi" w:cstheme="majorHAnsi"/>
              </w:rPr>
            </w:pPr>
            <w:r w:rsidRPr="00870AAD">
              <w:rPr>
                <w:rFonts w:asciiTheme="majorHAnsi" w:eastAsia="Calibri" w:hAnsiTheme="majorHAnsi" w:cstheme="majorHAnsi"/>
                <w:b/>
                <w:bCs/>
                <w:color w:val="F26420"/>
                <w:sz w:val="23"/>
                <w:szCs w:val="23"/>
              </w:rPr>
              <w:t>Financiadora de Estudos e Projetos (Finep)</w:t>
            </w:r>
          </w:p>
          <w:p w14:paraId="7DE45226" w14:textId="77777777" w:rsidR="000D6D0A" w:rsidRPr="00870AAD" w:rsidRDefault="00BB0E07">
            <w:pPr>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Responsável pela elaboração do Relatório:</w:t>
            </w:r>
          </w:p>
          <w:p w14:paraId="3B306681" w14:textId="77777777" w:rsidR="000D6D0A" w:rsidRPr="00870AAD" w:rsidRDefault="00BB0E07">
            <w:pPr>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Departamento de Gestão de Produtos e Inovação Corporativa (DGPI)</w:t>
            </w:r>
          </w:p>
          <w:p w14:paraId="4AD92F84" w14:textId="77777777" w:rsidR="000D6D0A" w:rsidRPr="00870AAD" w:rsidRDefault="00BB0E07">
            <w:pPr>
              <w:rPr>
                <w:rFonts w:asciiTheme="majorHAnsi" w:hAnsiTheme="majorHAnsi" w:cstheme="majorHAnsi"/>
              </w:rPr>
            </w:pPr>
            <w:r w:rsidRPr="00870AAD">
              <w:rPr>
                <w:rFonts w:asciiTheme="majorHAnsi" w:eastAsia="Calibri" w:hAnsiTheme="majorHAnsi" w:cstheme="majorHAnsi"/>
                <w:color w:val="006260"/>
                <w:sz w:val="23"/>
                <w:szCs w:val="23"/>
              </w:rPr>
              <w:t>Área de Planejamento (APLA)</w:t>
            </w:r>
          </w:p>
        </w:tc>
      </w:tr>
      <w:tr w:rsidR="000D6D0A" w14:paraId="45D51EC9" w14:textId="77777777">
        <w:tc>
          <w:tcPr>
            <w:tcW w:w="4644" w:type="dxa"/>
            <w:shd w:val="clear" w:color="auto" w:fill="auto"/>
            <w:tcMar>
              <w:top w:w="113" w:type="dxa"/>
              <w:left w:w="170" w:type="dxa"/>
              <w:bottom w:w="113" w:type="dxa"/>
              <w:right w:w="170" w:type="dxa"/>
            </w:tcMar>
          </w:tcPr>
          <w:p w14:paraId="7A194D71" w14:textId="77777777" w:rsidR="000D6D0A" w:rsidRPr="00847968" w:rsidRDefault="00BB0E07">
            <w:pPr>
              <w:autoSpaceDE w:val="0"/>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Presidente da República</w:t>
            </w:r>
          </w:p>
          <w:p w14:paraId="37BCE76E" w14:textId="77777777" w:rsidR="000D6D0A" w:rsidRPr="00847968" w:rsidRDefault="00BB0E07">
            <w:pPr>
              <w:autoSpaceDE w:val="0"/>
              <w:rPr>
                <w:rFonts w:asciiTheme="majorHAnsi" w:eastAsia="Calibri" w:hAnsiTheme="majorHAnsi" w:cstheme="majorHAnsi"/>
                <w:b/>
                <w:bCs/>
                <w:color w:val="006260"/>
                <w:sz w:val="23"/>
                <w:szCs w:val="23"/>
              </w:rPr>
            </w:pPr>
            <w:r w:rsidRPr="00847968">
              <w:rPr>
                <w:rFonts w:asciiTheme="majorHAnsi" w:eastAsia="Calibri" w:hAnsiTheme="majorHAnsi" w:cstheme="majorHAnsi"/>
                <w:b/>
                <w:bCs/>
                <w:color w:val="006260"/>
                <w:sz w:val="23"/>
                <w:szCs w:val="23"/>
              </w:rPr>
              <w:t>Luiz Inácio Lula da Silva</w:t>
            </w:r>
          </w:p>
          <w:p w14:paraId="650738B5" w14:textId="77777777" w:rsidR="000D6D0A" w:rsidRPr="00847968" w:rsidRDefault="000D6D0A">
            <w:pPr>
              <w:autoSpaceDE w:val="0"/>
              <w:rPr>
                <w:rFonts w:asciiTheme="majorHAnsi" w:eastAsia="Calibri" w:hAnsiTheme="majorHAnsi" w:cstheme="majorHAnsi"/>
                <w:color w:val="006260"/>
                <w:sz w:val="12"/>
                <w:szCs w:val="4"/>
              </w:rPr>
            </w:pPr>
          </w:p>
          <w:p w14:paraId="6117581C" w14:textId="77777777" w:rsidR="000D6D0A" w:rsidRPr="00847968" w:rsidRDefault="00BB0E07">
            <w:pPr>
              <w:autoSpaceDE w:val="0"/>
              <w:rPr>
                <w:rFonts w:asciiTheme="majorHAnsi" w:hAnsiTheme="majorHAnsi" w:cstheme="majorHAnsi"/>
              </w:rPr>
            </w:pPr>
            <w:r w:rsidRPr="00847968">
              <w:rPr>
                <w:rFonts w:asciiTheme="majorHAnsi" w:eastAsia="Calibri" w:hAnsiTheme="majorHAnsi" w:cstheme="majorHAnsi"/>
                <w:color w:val="006260"/>
              </w:rPr>
              <w:t>Ministra</w:t>
            </w:r>
            <w:r w:rsidRPr="00847968">
              <w:rPr>
                <w:rFonts w:asciiTheme="majorHAnsi" w:eastAsia="Calibri" w:hAnsiTheme="majorHAnsi" w:cstheme="majorHAnsi"/>
                <w:color w:val="006260"/>
                <w:sz w:val="23"/>
                <w:szCs w:val="23"/>
              </w:rPr>
              <w:t xml:space="preserve"> da Ciência, Tecnologia e Inovação</w:t>
            </w:r>
          </w:p>
          <w:p w14:paraId="579C1AA3" w14:textId="77777777" w:rsidR="000D6D0A" w:rsidRPr="00847968" w:rsidRDefault="00BB0E07">
            <w:pPr>
              <w:autoSpaceDE w:val="0"/>
              <w:rPr>
                <w:rFonts w:asciiTheme="majorHAnsi" w:eastAsia="Calibri" w:hAnsiTheme="majorHAnsi" w:cstheme="majorHAnsi"/>
                <w:b/>
                <w:bCs/>
                <w:color w:val="006260"/>
                <w:sz w:val="23"/>
                <w:szCs w:val="23"/>
              </w:rPr>
            </w:pPr>
            <w:r w:rsidRPr="00847968">
              <w:rPr>
                <w:rFonts w:asciiTheme="majorHAnsi" w:eastAsia="Calibri" w:hAnsiTheme="majorHAnsi" w:cstheme="majorHAnsi"/>
                <w:b/>
                <w:bCs/>
                <w:color w:val="006260"/>
                <w:sz w:val="23"/>
                <w:szCs w:val="23"/>
              </w:rPr>
              <w:t>Luciana Barbosa de Oliveira Santos</w:t>
            </w:r>
          </w:p>
          <w:p w14:paraId="1AB6D1B5" w14:textId="77777777" w:rsidR="000D6D0A" w:rsidRPr="00847968" w:rsidRDefault="000D6D0A">
            <w:pPr>
              <w:autoSpaceDE w:val="0"/>
              <w:rPr>
                <w:rFonts w:asciiTheme="majorHAnsi" w:eastAsia="Calibri" w:hAnsiTheme="majorHAnsi" w:cstheme="majorHAnsi"/>
                <w:b/>
                <w:bCs/>
                <w:color w:val="006260"/>
                <w:sz w:val="12"/>
                <w:szCs w:val="4"/>
              </w:rPr>
            </w:pPr>
          </w:p>
          <w:p w14:paraId="7297D535" w14:textId="77777777" w:rsidR="000D6D0A" w:rsidRPr="00847968" w:rsidRDefault="00BB0E07">
            <w:pPr>
              <w:autoSpaceDE w:val="0"/>
              <w:rPr>
                <w:rFonts w:asciiTheme="majorHAnsi" w:eastAsia="Calibri" w:hAnsiTheme="majorHAnsi" w:cstheme="majorHAnsi"/>
                <w:color w:val="F26420"/>
                <w:sz w:val="23"/>
                <w:szCs w:val="23"/>
              </w:rPr>
            </w:pPr>
            <w:r w:rsidRPr="00847968">
              <w:rPr>
                <w:rFonts w:asciiTheme="majorHAnsi" w:eastAsia="Calibri" w:hAnsiTheme="majorHAnsi" w:cstheme="majorHAnsi"/>
                <w:color w:val="F26420"/>
                <w:sz w:val="23"/>
                <w:szCs w:val="23"/>
              </w:rPr>
              <w:t>Finep</w:t>
            </w:r>
          </w:p>
          <w:p w14:paraId="45DB44E5" w14:textId="77777777" w:rsidR="000D6D0A" w:rsidRPr="00847968" w:rsidRDefault="00BB0E07">
            <w:pPr>
              <w:autoSpaceDE w:val="0"/>
              <w:rPr>
                <w:rFonts w:asciiTheme="majorHAnsi" w:eastAsia="Calibri" w:hAnsiTheme="majorHAnsi" w:cstheme="majorHAnsi"/>
                <w:color w:val="F26420"/>
                <w:sz w:val="23"/>
                <w:szCs w:val="23"/>
              </w:rPr>
            </w:pPr>
            <w:r w:rsidRPr="00847968">
              <w:rPr>
                <w:rFonts w:asciiTheme="majorHAnsi" w:eastAsia="Calibri" w:hAnsiTheme="majorHAnsi" w:cstheme="majorHAnsi"/>
                <w:color w:val="F26420"/>
                <w:sz w:val="23"/>
                <w:szCs w:val="23"/>
              </w:rPr>
              <w:t>Conselho de Administração</w:t>
            </w:r>
          </w:p>
          <w:p w14:paraId="07EEDBBD" w14:textId="77777777" w:rsidR="000D6D0A" w:rsidRPr="00847968" w:rsidRDefault="00BB0E07"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Luis Manuel Rebelo Fernandes</w:t>
            </w:r>
          </w:p>
          <w:p w14:paraId="05E85EF8" w14:textId="77777777" w:rsidR="000D6D0A" w:rsidRPr="00847968" w:rsidRDefault="00BB0E07"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Ana Cristina Rosado Carneiro</w:t>
            </w:r>
          </w:p>
          <w:p w14:paraId="4A2AD00C" w14:textId="59F8ABC9" w:rsidR="00847968" w:rsidRPr="00847968" w:rsidRDefault="00847968"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Jussara Kele Araújo Valadares</w:t>
            </w:r>
          </w:p>
          <w:p w14:paraId="21B6E588" w14:textId="6F1EFA8F" w:rsidR="00847968" w:rsidRPr="00847968" w:rsidRDefault="00847968"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Marcos Dantas Loureiro</w:t>
            </w:r>
          </w:p>
          <w:p w14:paraId="377277DD" w14:textId="77777777" w:rsidR="000D6D0A" w:rsidRPr="00847968" w:rsidRDefault="00BB0E07"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Miguel Ragone de Mattos</w:t>
            </w:r>
          </w:p>
          <w:p w14:paraId="474A9C38" w14:textId="08348753" w:rsidR="00847968" w:rsidRPr="00847968" w:rsidRDefault="00847968"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Rubens Diniz Tavares</w:t>
            </w:r>
          </w:p>
          <w:p w14:paraId="0E3B222B" w14:textId="4C0CBF11" w:rsidR="00847968" w:rsidRPr="00847968" w:rsidRDefault="00847968"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Sergio Machado Rezende</w:t>
            </w:r>
          </w:p>
          <w:p w14:paraId="3C09276D" w14:textId="77777777" w:rsidR="00847968" w:rsidRPr="00847968" w:rsidRDefault="00847968">
            <w:pPr>
              <w:autoSpaceDE w:val="0"/>
              <w:rPr>
                <w:rFonts w:asciiTheme="majorHAnsi" w:eastAsia="Calibri" w:hAnsiTheme="majorHAnsi" w:cstheme="majorHAnsi"/>
                <w:color w:val="006260"/>
                <w:sz w:val="23"/>
                <w:szCs w:val="23"/>
                <w:shd w:val="clear" w:color="auto" w:fill="FFFF00"/>
              </w:rPr>
            </w:pPr>
          </w:p>
          <w:p w14:paraId="234B0FD1" w14:textId="77777777" w:rsidR="000D6D0A" w:rsidRPr="00847968" w:rsidRDefault="00BB0E07">
            <w:pPr>
              <w:rPr>
                <w:rFonts w:asciiTheme="majorHAnsi" w:eastAsia="Calibri" w:hAnsiTheme="majorHAnsi" w:cstheme="majorHAnsi"/>
                <w:color w:val="F26420"/>
                <w:sz w:val="23"/>
                <w:szCs w:val="23"/>
              </w:rPr>
            </w:pPr>
            <w:r w:rsidRPr="00847968">
              <w:rPr>
                <w:rFonts w:asciiTheme="majorHAnsi" w:eastAsia="Calibri" w:hAnsiTheme="majorHAnsi" w:cstheme="majorHAnsi"/>
                <w:color w:val="F26420"/>
                <w:sz w:val="23"/>
                <w:szCs w:val="23"/>
              </w:rPr>
              <w:t>Conselho Fiscal</w:t>
            </w:r>
          </w:p>
          <w:p w14:paraId="11AA8C43" w14:textId="77777777" w:rsidR="000D6D0A" w:rsidRPr="00847968" w:rsidRDefault="00BB0E07">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Cristina Vidigal Cabral de Miranda</w:t>
            </w:r>
          </w:p>
          <w:p w14:paraId="56D396D1" w14:textId="77777777" w:rsidR="000D6D0A" w:rsidRPr="00847968" w:rsidRDefault="00BB0E07">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Gérson Nogueira Machado de Oliveira</w:t>
            </w:r>
          </w:p>
          <w:p w14:paraId="0E4DBDC6" w14:textId="77777777" w:rsidR="000D6D0A" w:rsidRPr="00847968" w:rsidRDefault="00BB0E07">
            <w:pPr>
              <w:rPr>
                <w:rFonts w:asciiTheme="majorHAnsi" w:hAnsiTheme="majorHAnsi" w:cstheme="majorHAnsi"/>
              </w:rPr>
            </w:pPr>
            <w:r w:rsidRPr="00847968">
              <w:rPr>
                <w:rFonts w:asciiTheme="majorHAnsi" w:eastAsia="Calibri" w:hAnsiTheme="majorHAnsi" w:cstheme="majorHAnsi"/>
                <w:color w:val="006260"/>
                <w:sz w:val="23"/>
                <w:szCs w:val="23"/>
              </w:rPr>
              <w:t>Rodrigo Parente Vives</w:t>
            </w:r>
          </w:p>
        </w:tc>
        <w:tc>
          <w:tcPr>
            <w:tcW w:w="3878" w:type="dxa"/>
            <w:shd w:val="clear" w:color="auto" w:fill="auto"/>
            <w:tcMar>
              <w:top w:w="113" w:type="dxa"/>
              <w:left w:w="170" w:type="dxa"/>
              <w:bottom w:w="113" w:type="dxa"/>
              <w:right w:w="170" w:type="dxa"/>
            </w:tcMar>
          </w:tcPr>
          <w:p w14:paraId="57761358" w14:textId="77777777" w:rsidR="000D6D0A" w:rsidRPr="00870AAD" w:rsidRDefault="00BB0E07">
            <w:pPr>
              <w:autoSpaceDE w:val="0"/>
              <w:rPr>
                <w:rFonts w:asciiTheme="majorHAnsi" w:eastAsia="Calibri" w:hAnsiTheme="majorHAnsi" w:cstheme="majorHAnsi"/>
                <w:color w:val="F26420"/>
                <w:sz w:val="23"/>
                <w:szCs w:val="23"/>
              </w:rPr>
            </w:pPr>
            <w:r w:rsidRPr="00870AAD">
              <w:rPr>
                <w:rFonts w:asciiTheme="majorHAnsi" w:eastAsia="Calibri" w:hAnsiTheme="majorHAnsi" w:cstheme="majorHAnsi"/>
                <w:color w:val="F26420"/>
                <w:sz w:val="23"/>
                <w:szCs w:val="23"/>
              </w:rPr>
              <w:t>Comitê de Auditoria</w:t>
            </w:r>
          </w:p>
          <w:p w14:paraId="67D0FC92" w14:textId="77777777" w:rsidR="000D6D0A" w:rsidRPr="00847968" w:rsidRDefault="00BB0E07"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Valdir Augusto de Assunção</w:t>
            </w:r>
          </w:p>
          <w:p w14:paraId="57765291" w14:textId="77777777" w:rsidR="000D6D0A" w:rsidRPr="00847968" w:rsidRDefault="00BB0E07"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Pedro Paulo Alves de Brito</w:t>
            </w:r>
          </w:p>
          <w:p w14:paraId="714A633C" w14:textId="77777777" w:rsidR="000D6D0A" w:rsidRPr="00847968" w:rsidRDefault="00BB0E07" w:rsidP="00847968">
            <w:pPr>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Vera Lúcia de Melo</w:t>
            </w:r>
          </w:p>
          <w:p w14:paraId="4DCDD77A" w14:textId="77777777" w:rsidR="000D6D0A" w:rsidRPr="00870AAD" w:rsidRDefault="000D6D0A">
            <w:pPr>
              <w:autoSpaceDE w:val="0"/>
              <w:rPr>
                <w:rFonts w:asciiTheme="majorHAnsi" w:eastAsia="Calibri" w:hAnsiTheme="majorHAnsi" w:cstheme="majorHAnsi"/>
                <w:color w:val="006260"/>
                <w:sz w:val="23"/>
                <w:szCs w:val="23"/>
              </w:rPr>
            </w:pPr>
          </w:p>
          <w:p w14:paraId="6CD045B3" w14:textId="77777777" w:rsidR="000D6D0A" w:rsidRPr="00870AAD" w:rsidRDefault="00BB0E07">
            <w:pPr>
              <w:autoSpaceDE w:val="0"/>
              <w:rPr>
                <w:rFonts w:asciiTheme="majorHAnsi" w:eastAsia="Calibri" w:hAnsiTheme="majorHAnsi" w:cstheme="majorHAnsi"/>
                <w:color w:val="F26420"/>
                <w:sz w:val="23"/>
                <w:szCs w:val="23"/>
              </w:rPr>
            </w:pPr>
            <w:r w:rsidRPr="00870AAD">
              <w:rPr>
                <w:rFonts w:asciiTheme="majorHAnsi" w:eastAsia="Calibri" w:hAnsiTheme="majorHAnsi" w:cstheme="majorHAnsi"/>
                <w:color w:val="F26420"/>
                <w:sz w:val="23"/>
                <w:szCs w:val="23"/>
              </w:rPr>
              <w:t>Diretoria</w:t>
            </w:r>
          </w:p>
          <w:p w14:paraId="0D0ED0D4" w14:textId="77777777" w:rsidR="000D6D0A" w:rsidRPr="00870AAD" w:rsidRDefault="00BB0E07">
            <w:pPr>
              <w:autoSpaceDE w:val="0"/>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Presidente</w:t>
            </w:r>
          </w:p>
          <w:p w14:paraId="0C6DFE9B" w14:textId="77777777" w:rsidR="000D6D0A" w:rsidRPr="00870AAD" w:rsidRDefault="00BB0E07">
            <w:pPr>
              <w:autoSpaceDE w:val="0"/>
              <w:rPr>
                <w:rFonts w:asciiTheme="majorHAnsi" w:hAnsiTheme="majorHAnsi" w:cstheme="majorHAnsi"/>
              </w:rPr>
            </w:pPr>
            <w:r w:rsidRPr="00870AAD">
              <w:rPr>
                <w:rFonts w:asciiTheme="majorHAnsi" w:eastAsia="Calibri" w:hAnsiTheme="majorHAnsi" w:cstheme="majorHAnsi"/>
                <w:b/>
                <w:bCs/>
                <w:color w:val="006260"/>
                <w:sz w:val="23"/>
                <w:szCs w:val="23"/>
              </w:rPr>
              <w:t>Celso Pansera</w:t>
            </w:r>
          </w:p>
          <w:p w14:paraId="72CD2C83" w14:textId="77777777" w:rsidR="000D6D0A" w:rsidRPr="00870AAD" w:rsidRDefault="000D6D0A">
            <w:pPr>
              <w:rPr>
                <w:rFonts w:asciiTheme="majorHAnsi" w:eastAsia="Calibri" w:hAnsiTheme="majorHAnsi" w:cstheme="majorHAnsi"/>
                <w:color w:val="F26420"/>
                <w:sz w:val="23"/>
                <w:szCs w:val="23"/>
              </w:rPr>
            </w:pPr>
          </w:p>
          <w:p w14:paraId="4431A43C" w14:textId="77777777" w:rsidR="000D6D0A" w:rsidRPr="00870AAD" w:rsidRDefault="00BB0E07">
            <w:pPr>
              <w:rPr>
                <w:rFonts w:asciiTheme="majorHAnsi" w:eastAsia="Calibri" w:hAnsiTheme="majorHAnsi" w:cstheme="majorHAnsi"/>
                <w:color w:val="F26420"/>
                <w:sz w:val="23"/>
                <w:szCs w:val="23"/>
              </w:rPr>
            </w:pPr>
            <w:r w:rsidRPr="00870AAD">
              <w:rPr>
                <w:rFonts w:asciiTheme="majorHAnsi" w:eastAsia="Calibri" w:hAnsiTheme="majorHAnsi" w:cstheme="majorHAnsi"/>
                <w:color w:val="F26420"/>
                <w:sz w:val="23"/>
                <w:szCs w:val="23"/>
              </w:rPr>
              <w:t>Diretores</w:t>
            </w:r>
          </w:p>
          <w:p w14:paraId="3F767B5F" w14:textId="77777777" w:rsidR="000D6D0A" w:rsidRPr="00870AAD" w:rsidRDefault="00BB0E07">
            <w:pPr>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Carlos Alberto Aragão de Carvalho Filho</w:t>
            </w:r>
          </w:p>
          <w:p w14:paraId="3F67C2BB" w14:textId="77777777" w:rsidR="000D6D0A" w:rsidRPr="00870AAD" w:rsidRDefault="00BB0E07">
            <w:pPr>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Elias Ramos de Souza</w:t>
            </w:r>
          </w:p>
          <w:p w14:paraId="0AA643E6" w14:textId="77777777" w:rsidR="000D6D0A" w:rsidRPr="00870AAD" w:rsidRDefault="00BB0E07">
            <w:pPr>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Janaína Prevot Nascimento</w:t>
            </w:r>
          </w:p>
          <w:p w14:paraId="2787785E" w14:textId="77777777" w:rsidR="000D6D0A" w:rsidRPr="00870AAD" w:rsidRDefault="00BB0E07">
            <w:pPr>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Marcio Stefanni Monteiro de Morais</w:t>
            </w:r>
          </w:p>
          <w:p w14:paraId="13216F44" w14:textId="77777777" w:rsidR="000D6D0A" w:rsidRPr="00870AAD" w:rsidRDefault="000D6D0A">
            <w:pPr>
              <w:rPr>
                <w:rFonts w:asciiTheme="majorHAnsi" w:hAnsiTheme="majorHAnsi" w:cstheme="majorHAnsi"/>
              </w:rPr>
            </w:pPr>
          </w:p>
        </w:tc>
        <w:tc>
          <w:tcPr>
            <w:tcW w:w="3893" w:type="dxa"/>
            <w:shd w:val="clear" w:color="auto" w:fill="auto"/>
            <w:tcMar>
              <w:top w:w="113" w:type="dxa"/>
              <w:left w:w="170" w:type="dxa"/>
              <w:bottom w:w="113" w:type="dxa"/>
              <w:right w:w="170" w:type="dxa"/>
            </w:tcMar>
          </w:tcPr>
          <w:p w14:paraId="04B63143" w14:textId="77777777" w:rsidR="000D6D0A" w:rsidRPr="00870AAD" w:rsidRDefault="00BB0E07">
            <w:pPr>
              <w:autoSpaceDE w:val="0"/>
              <w:rPr>
                <w:rFonts w:asciiTheme="majorHAnsi" w:eastAsia="Calibri" w:hAnsiTheme="majorHAnsi" w:cstheme="majorHAnsi"/>
                <w:color w:val="F26420"/>
                <w:sz w:val="23"/>
                <w:szCs w:val="23"/>
              </w:rPr>
            </w:pPr>
            <w:r w:rsidRPr="00870AAD">
              <w:rPr>
                <w:rFonts w:asciiTheme="majorHAnsi" w:eastAsia="Calibri" w:hAnsiTheme="majorHAnsi" w:cstheme="majorHAnsi"/>
                <w:color w:val="F26420"/>
                <w:sz w:val="23"/>
                <w:szCs w:val="23"/>
              </w:rPr>
              <w:t>Endereços e Telefones</w:t>
            </w:r>
          </w:p>
          <w:p w14:paraId="5C8C9B99" w14:textId="77777777" w:rsidR="000D6D0A" w:rsidRPr="00870AAD" w:rsidRDefault="00BB0E07">
            <w:pPr>
              <w:autoSpaceDE w:val="0"/>
              <w:rPr>
                <w:rFonts w:asciiTheme="majorHAnsi" w:eastAsia="Calibri" w:hAnsiTheme="majorHAnsi" w:cstheme="majorHAnsi"/>
                <w:b/>
                <w:color w:val="006260"/>
                <w:sz w:val="23"/>
                <w:szCs w:val="23"/>
              </w:rPr>
            </w:pPr>
            <w:r w:rsidRPr="00870AAD">
              <w:rPr>
                <w:rFonts w:asciiTheme="majorHAnsi" w:eastAsia="Calibri" w:hAnsiTheme="majorHAnsi" w:cstheme="majorHAnsi"/>
                <w:b/>
                <w:color w:val="006260"/>
                <w:sz w:val="23"/>
                <w:szCs w:val="23"/>
              </w:rPr>
              <w:t>Canal de Telefonia</w:t>
            </w:r>
          </w:p>
          <w:p w14:paraId="193A28A2" w14:textId="77777777" w:rsidR="000D6D0A" w:rsidRPr="00870AAD" w:rsidRDefault="00BB0E07">
            <w:pPr>
              <w:autoSpaceDE w:val="0"/>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(21) 2555-0330</w:t>
            </w:r>
          </w:p>
          <w:p w14:paraId="67357F7A" w14:textId="77777777" w:rsidR="000D6D0A" w:rsidRPr="00870AAD" w:rsidRDefault="000D6D0A">
            <w:pPr>
              <w:autoSpaceDE w:val="0"/>
              <w:rPr>
                <w:rFonts w:asciiTheme="majorHAnsi" w:eastAsia="Calibri" w:hAnsiTheme="majorHAnsi" w:cstheme="majorHAnsi"/>
                <w:color w:val="006260"/>
                <w:sz w:val="12"/>
                <w:szCs w:val="12"/>
              </w:rPr>
            </w:pPr>
          </w:p>
          <w:p w14:paraId="0A68671B" w14:textId="77777777" w:rsidR="000D6D0A" w:rsidRPr="00870AAD" w:rsidRDefault="00BB0E07">
            <w:pPr>
              <w:autoSpaceDE w:val="0"/>
              <w:rPr>
                <w:rFonts w:asciiTheme="majorHAnsi" w:eastAsia="Calibri" w:hAnsiTheme="majorHAnsi" w:cstheme="majorHAnsi"/>
                <w:b/>
                <w:color w:val="006260"/>
                <w:sz w:val="23"/>
                <w:szCs w:val="23"/>
              </w:rPr>
            </w:pPr>
            <w:r w:rsidRPr="00870AAD">
              <w:rPr>
                <w:rFonts w:asciiTheme="majorHAnsi" w:eastAsia="Calibri" w:hAnsiTheme="majorHAnsi" w:cstheme="majorHAnsi"/>
                <w:b/>
                <w:color w:val="006260"/>
                <w:sz w:val="23"/>
                <w:szCs w:val="23"/>
              </w:rPr>
              <w:t>Rio de Janeiro</w:t>
            </w:r>
          </w:p>
          <w:p w14:paraId="62482CFB" w14:textId="77777777" w:rsidR="000D6D0A" w:rsidRPr="00870AAD" w:rsidRDefault="00BB0E07">
            <w:pPr>
              <w:autoSpaceDE w:val="0"/>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Sede:</w:t>
            </w:r>
          </w:p>
          <w:p w14:paraId="05F27F8A" w14:textId="77777777" w:rsidR="000D6D0A" w:rsidRPr="00870AAD" w:rsidRDefault="00BB0E07">
            <w:pPr>
              <w:autoSpaceDE w:val="0"/>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Praia do Flamengo 200, 1º andar</w:t>
            </w:r>
          </w:p>
          <w:p w14:paraId="43138941" w14:textId="77777777" w:rsidR="000D6D0A" w:rsidRPr="00870AAD" w:rsidRDefault="00BB0E07">
            <w:pPr>
              <w:autoSpaceDE w:val="0"/>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CEP: 22210-901</w:t>
            </w:r>
          </w:p>
          <w:p w14:paraId="5F855E53" w14:textId="77777777" w:rsidR="000D6D0A" w:rsidRPr="00870AAD" w:rsidRDefault="00BB0E07">
            <w:pPr>
              <w:autoSpaceDE w:val="0"/>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Rio de Janeiro – RJ</w:t>
            </w:r>
          </w:p>
          <w:p w14:paraId="1A807C95" w14:textId="77777777" w:rsidR="000D6D0A" w:rsidRPr="00870AAD" w:rsidRDefault="000D6D0A">
            <w:pPr>
              <w:autoSpaceDE w:val="0"/>
              <w:rPr>
                <w:rFonts w:asciiTheme="majorHAnsi" w:eastAsia="Calibri" w:hAnsiTheme="majorHAnsi" w:cstheme="majorHAnsi"/>
                <w:color w:val="006260"/>
                <w:sz w:val="12"/>
                <w:szCs w:val="12"/>
              </w:rPr>
            </w:pPr>
          </w:p>
          <w:p w14:paraId="4E381F38" w14:textId="77777777" w:rsidR="000D6D0A" w:rsidRPr="00870AAD" w:rsidRDefault="00BB0E07">
            <w:pPr>
              <w:autoSpaceDE w:val="0"/>
              <w:rPr>
                <w:rFonts w:asciiTheme="majorHAnsi" w:eastAsia="Calibri" w:hAnsiTheme="majorHAnsi" w:cstheme="majorHAnsi"/>
                <w:b/>
                <w:color w:val="006260"/>
                <w:sz w:val="23"/>
                <w:szCs w:val="23"/>
              </w:rPr>
            </w:pPr>
            <w:r w:rsidRPr="00870AAD">
              <w:rPr>
                <w:rFonts w:asciiTheme="majorHAnsi" w:eastAsia="Calibri" w:hAnsiTheme="majorHAnsi" w:cstheme="majorHAnsi"/>
                <w:b/>
                <w:color w:val="006260"/>
                <w:sz w:val="23"/>
                <w:szCs w:val="23"/>
              </w:rPr>
              <w:t>Escritório Sudeste</w:t>
            </w:r>
          </w:p>
          <w:p w14:paraId="5A127EEF" w14:textId="6AA200FE" w:rsidR="000D6D0A" w:rsidRPr="00870AAD" w:rsidRDefault="00BB0E07">
            <w:pPr>
              <w:autoSpaceDE w:val="0"/>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Av. Pres. Juscelino Kubitschek,</w:t>
            </w:r>
          </w:p>
          <w:p w14:paraId="129C7DA1" w14:textId="77777777" w:rsidR="000D6D0A" w:rsidRPr="00870AAD" w:rsidRDefault="00BB0E07">
            <w:pPr>
              <w:autoSpaceDE w:val="0"/>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510 - 9º andar - Itaim Bibi</w:t>
            </w:r>
          </w:p>
          <w:p w14:paraId="188C450F" w14:textId="77777777" w:rsidR="000D6D0A" w:rsidRPr="00870AAD" w:rsidRDefault="00BB0E07">
            <w:pPr>
              <w:autoSpaceDE w:val="0"/>
              <w:rPr>
                <w:rFonts w:asciiTheme="majorHAnsi" w:eastAsia="Calibri" w:hAnsiTheme="majorHAnsi" w:cstheme="majorHAnsi"/>
                <w:color w:val="006260"/>
                <w:sz w:val="23"/>
                <w:szCs w:val="23"/>
              </w:rPr>
            </w:pPr>
            <w:r w:rsidRPr="00870AAD">
              <w:rPr>
                <w:rFonts w:asciiTheme="majorHAnsi" w:eastAsia="Calibri" w:hAnsiTheme="majorHAnsi" w:cstheme="majorHAnsi"/>
                <w:color w:val="006260"/>
                <w:sz w:val="23"/>
                <w:szCs w:val="23"/>
              </w:rPr>
              <w:t>CEP: 04543-000 - São Paulo – SP</w:t>
            </w:r>
          </w:p>
          <w:p w14:paraId="5842136F" w14:textId="77777777" w:rsidR="000D6D0A" w:rsidRPr="00870AAD" w:rsidRDefault="000D6D0A">
            <w:pPr>
              <w:rPr>
                <w:rFonts w:asciiTheme="majorHAnsi" w:eastAsia="Calibri" w:hAnsiTheme="majorHAnsi" w:cstheme="majorHAnsi"/>
                <w:color w:val="006260"/>
                <w:sz w:val="12"/>
                <w:szCs w:val="12"/>
              </w:rPr>
            </w:pPr>
          </w:p>
          <w:p w14:paraId="79F071FF" w14:textId="77777777" w:rsidR="000D6D0A" w:rsidRPr="00870AAD" w:rsidRDefault="00BB0E07">
            <w:pPr>
              <w:rPr>
                <w:rFonts w:asciiTheme="majorHAnsi" w:eastAsia="Calibri" w:hAnsiTheme="majorHAnsi" w:cstheme="majorHAnsi"/>
                <w:b/>
                <w:color w:val="006260"/>
                <w:sz w:val="23"/>
                <w:szCs w:val="23"/>
              </w:rPr>
            </w:pPr>
            <w:r w:rsidRPr="00870AAD">
              <w:rPr>
                <w:rFonts w:asciiTheme="majorHAnsi" w:eastAsia="Calibri" w:hAnsiTheme="majorHAnsi" w:cstheme="majorHAnsi"/>
                <w:b/>
                <w:color w:val="006260"/>
                <w:sz w:val="23"/>
                <w:szCs w:val="23"/>
              </w:rPr>
              <w:t>Escritório Centro-Oeste</w:t>
            </w:r>
          </w:p>
          <w:p w14:paraId="502AA5FF" w14:textId="67D32461" w:rsidR="00847968" w:rsidRPr="00847968" w:rsidRDefault="00847968" w:rsidP="00847968">
            <w:pPr>
              <w:autoSpaceDE w:val="0"/>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Setor de Autarquias Sul (SAUS), Quadra 01, Lote 06, Bloco H,</w:t>
            </w:r>
          </w:p>
          <w:p w14:paraId="0F2F132A" w14:textId="51B3E018" w:rsidR="00847968" w:rsidRPr="00847968" w:rsidRDefault="00847968" w:rsidP="00847968">
            <w:pPr>
              <w:autoSpaceDE w:val="0"/>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Edifício Telemundi II, 7º andar, Asa Sul</w:t>
            </w:r>
          </w:p>
          <w:p w14:paraId="7021BD0C" w14:textId="5EFA76A0" w:rsidR="000D6D0A" w:rsidRPr="00847968" w:rsidRDefault="00847968" w:rsidP="00847968">
            <w:pPr>
              <w:autoSpaceDE w:val="0"/>
              <w:rPr>
                <w:rFonts w:asciiTheme="majorHAnsi" w:eastAsia="Calibri" w:hAnsiTheme="majorHAnsi" w:cstheme="majorHAnsi"/>
                <w:color w:val="006260"/>
                <w:sz w:val="23"/>
                <w:szCs w:val="23"/>
              </w:rPr>
            </w:pPr>
            <w:r w:rsidRPr="00847968">
              <w:rPr>
                <w:rFonts w:asciiTheme="majorHAnsi" w:eastAsia="Calibri" w:hAnsiTheme="majorHAnsi" w:cstheme="majorHAnsi"/>
                <w:color w:val="006260"/>
                <w:sz w:val="23"/>
                <w:szCs w:val="23"/>
              </w:rPr>
              <w:t>CEP: 70070-010 - Brasília – DF</w:t>
            </w:r>
          </w:p>
          <w:p w14:paraId="77851CDF" w14:textId="77777777" w:rsidR="00847968" w:rsidRPr="00870AAD" w:rsidRDefault="00847968" w:rsidP="00847968">
            <w:pPr>
              <w:rPr>
                <w:rFonts w:asciiTheme="majorHAnsi" w:eastAsia="Calibri" w:hAnsiTheme="majorHAnsi" w:cstheme="majorHAnsi"/>
                <w:color w:val="006260"/>
                <w:sz w:val="14"/>
                <w:szCs w:val="14"/>
              </w:rPr>
            </w:pPr>
          </w:p>
          <w:p w14:paraId="595E5A5D" w14:textId="77777777" w:rsidR="000D6D0A" w:rsidRPr="00870AAD" w:rsidRDefault="00BB0E07">
            <w:pPr>
              <w:rPr>
                <w:rFonts w:asciiTheme="majorHAnsi" w:eastAsia="Calibri" w:hAnsiTheme="majorHAnsi" w:cstheme="majorHAnsi"/>
                <w:color w:val="F26420"/>
                <w:sz w:val="23"/>
                <w:szCs w:val="23"/>
              </w:rPr>
            </w:pPr>
            <w:r w:rsidRPr="00870AAD">
              <w:rPr>
                <w:rFonts w:asciiTheme="majorHAnsi" w:eastAsia="Calibri" w:hAnsiTheme="majorHAnsi" w:cstheme="majorHAnsi"/>
                <w:color w:val="F26420"/>
                <w:sz w:val="23"/>
                <w:szCs w:val="23"/>
              </w:rPr>
              <w:t>PROJETO GRÁFICO</w:t>
            </w:r>
          </w:p>
          <w:p w14:paraId="13BD75EF" w14:textId="77777777" w:rsidR="000D6D0A" w:rsidRPr="00870AAD" w:rsidRDefault="00BB0E07">
            <w:pPr>
              <w:rPr>
                <w:rFonts w:asciiTheme="majorHAnsi" w:hAnsiTheme="majorHAnsi" w:cstheme="majorHAnsi"/>
              </w:rPr>
            </w:pPr>
            <w:r w:rsidRPr="00870AAD">
              <w:rPr>
                <w:rFonts w:asciiTheme="majorHAnsi" w:eastAsia="Calibri" w:hAnsiTheme="majorHAnsi" w:cstheme="majorHAnsi"/>
                <w:color w:val="006260"/>
                <w:sz w:val="23"/>
                <w:szCs w:val="23"/>
              </w:rPr>
              <w:t>Departamento de Comunicação e Promoção</w:t>
            </w:r>
          </w:p>
        </w:tc>
        <w:tc>
          <w:tcPr>
            <w:tcW w:w="3895" w:type="dxa"/>
            <w:shd w:val="clear" w:color="auto" w:fill="auto"/>
            <w:tcMar>
              <w:top w:w="113" w:type="dxa"/>
              <w:left w:w="170" w:type="dxa"/>
              <w:bottom w:w="113" w:type="dxa"/>
              <w:right w:w="170" w:type="dxa"/>
            </w:tcMar>
          </w:tcPr>
          <w:p w14:paraId="666204A0" w14:textId="77777777" w:rsidR="000D6D0A" w:rsidRPr="009F2E83" w:rsidRDefault="00BB0E07">
            <w:pPr>
              <w:autoSpaceDE w:val="0"/>
              <w:rPr>
                <w:rFonts w:asciiTheme="majorHAnsi" w:eastAsia="Calibri" w:hAnsiTheme="majorHAnsi" w:cstheme="majorHAnsi"/>
                <w:b/>
                <w:color w:val="006260"/>
                <w:sz w:val="23"/>
                <w:szCs w:val="23"/>
              </w:rPr>
            </w:pPr>
            <w:r w:rsidRPr="009F2E83">
              <w:rPr>
                <w:rFonts w:asciiTheme="majorHAnsi" w:eastAsia="Calibri" w:hAnsiTheme="majorHAnsi" w:cstheme="majorHAnsi"/>
                <w:b/>
                <w:color w:val="006260"/>
                <w:sz w:val="23"/>
                <w:szCs w:val="23"/>
              </w:rPr>
              <w:t>Escritório Nordeste</w:t>
            </w:r>
          </w:p>
          <w:p w14:paraId="59584DCF" w14:textId="77777777" w:rsidR="000D6D0A" w:rsidRPr="009F2E83" w:rsidRDefault="00BB0E07">
            <w:pPr>
              <w:autoSpaceDE w:val="0"/>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 xml:space="preserve">Av. Santos Dumont, 1510, </w:t>
            </w:r>
          </w:p>
          <w:p w14:paraId="2BADD651" w14:textId="77777777" w:rsidR="000D6D0A" w:rsidRPr="009F2E83" w:rsidRDefault="00BB0E07">
            <w:pPr>
              <w:autoSpaceDE w:val="0"/>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Salas 901 e 902</w:t>
            </w:r>
          </w:p>
          <w:p w14:paraId="4703AC47" w14:textId="77777777" w:rsidR="000D6D0A" w:rsidRPr="009F2E83" w:rsidRDefault="00BB0E07">
            <w:pPr>
              <w:autoSpaceDE w:val="0"/>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Aldeota</w:t>
            </w:r>
          </w:p>
          <w:p w14:paraId="72F50B3D" w14:textId="77777777" w:rsidR="000D6D0A" w:rsidRPr="009F2E83" w:rsidRDefault="00BB0E07">
            <w:pPr>
              <w:autoSpaceDE w:val="0"/>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CEP: 60115-170 - Fortaleza – CE</w:t>
            </w:r>
          </w:p>
          <w:p w14:paraId="3DBD0F22" w14:textId="77777777" w:rsidR="000D6D0A" w:rsidRPr="009F2E83" w:rsidRDefault="000D6D0A">
            <w:pPr>
              <w:autoSpaceDE w:val="0"/>
              <w:rPr>
                <w:rFonts w:asciiTheme="majorHAnsi" w:eastAsia="Calibri" w:hAnsiTheme="majorHAnsi" w:cstheme="majorHAnsi"/>
                <w:color w:val="006260"/>
                <w:sz w:val="23"/>
                <w:szCs w:val="23"/>
              </w:rPr>
            </w:pPr>
          </w:p>
          <w:p w14:paraId="18FA5B74" w14:textId="77777777" w:rsidR="000D6D0A" w:rsidRPr="009F2E83" w:rsidRDefault="00BB0E07">
            <w:pPr>
              <w:autoSpaceDE w:val="0"/>
              <w:rPr>
                <w:rFonts w:asciiTheme="majorHAnsi" w:eastAsia="Calibri" w:hAnsiTheme="majorHAnsi" w:cstheme="majorHAnsi"/>
                <w:b/>
                <w:color w:val="006260"/>
                <w:sz w:val="23"/>
                <w:szCs w:val="23"/>
              </w:rPr>
            </w:pPr>
            <w:r w:rsidRPr="009F2E83">
              <w:rPr>
                <w:rFonts w:asciiTheme="majorHAnsi" w:eastAsia="Calibri" w:hAnsiTheme="majorHAnsi" w:cstheme="majorHAnsi"/>
                <w:b/>
                <w:color w:val="006260"/>
                <w:sz w:val="23"/>
                <w:szCs w:val="23"/>
              </w:rPr>
              <w:t>Escritório Sul</w:t>
            </w:r>
          </w:p>
          <w:p w14:paraId="57932B49" w14:textId="77777777" w:rsidR="000D6D0A" w:rsidRPr="009F2E83" w:rsidRDefault="00BB0E07">
            <w:pPr>
              <w:autoSpaceDE w:val="0"/>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 xml:space="preserve">Rod. José Carlos Daux, 6997, </w:t>
            </w:r>
          </w:p>
          <w:p w14:paraId="43F0678F" w14:textId="77777777" w:rsidR="000D6D0A" w:rsidRPr="009F2E83" w:rsidRDefault="00BB0E07">
            <w:pPr>
              <w:autoSpaceDE w:val="0"/>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Sala 5</w:t>
            </w:r>
          </w:p>
          <w:p w14:paraId="78C1C332" w14:textId="77777777" w:rsidR="000D6D0A" w:rsidRPr="009F2E83" w:rsidRDefault="00BB0E07">
            <w:pPr>
              <w:autoSpaceDE w:val="0"/>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Santo Antonio de Lisboa</w:t>
            </w:r>
          </w:p>
          <w:p w14:paraId="3C6A44BC" w14:textId="77777777" w:rsidR="000D6D0A" w:rsidRPr="009F2E83" w:rsidRDefault="00BB0E07">
            <w:pPr>
              <w:autoSpaceDE w:val="0"/>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CEP 88050-000 - Florianópolis – SC</w:t>
            </w:r>
          </w:p>
          <w:p w14:paraId="53DBA59B" w14:textId="77777777" w:rsidR="000D6D0A" w:rsidRPr="009F2E83" w:rsidRDefault="000D6D0A">
            <w:pPr>
              <w:rPr>
                <w:rFonts w:asciiTheme="majorHAnsi" w:eastAsia="Calibri" w:hAnsiTheme="majorHAnsi" w:cstheme="majorHAnsi"/>
                <w:color w:val="006260"/>
                <w:sz w:val="23"/>
                <w:szCs w:val="23"/>
              </w:rPr>
            </w:pPr>
          </w:p>
          <w:p w14:paraId="2C6D05D3" w14:textId="77777777" w:rsidR="000D6D0A" w:rsidRPr="009F2E83" w:rsidRDefault="00BB0E07">
            <w:pPr>
              <w:rPr>
                <w:rFonts w:asciiTheme="majorHAnsi" w:eastAsia="Calibri" w:hAnsiTheme="majorHAnsi" w:cstheme="majorHAnsi"/>
                <w:b/>
                <w:color w:val="006260"/>
                <w:sz w:val="23"/>
                <w:szCs w:val="23"/>
              </w:rPr>
            </w:pPr>
            <w:r w:rsidRPr="009F2E83">
              <w:rPr>
                <w:rFonts w:asciiTheme="majorHAnsi" w:eastAsia="Calibri" w:hAnsiTheme="majorHAnsi" w:cstheme="majorHAnsi"/>
                <w:b/>
                <w:color w:val="006260"/>
                <w:sz w:val="23"/>
                <w:szCs w:val="23"/>
              </w:rPr>
              <w:t>Escritório Norte</w:t>
            </w:r>
          </w:p>
          <w:p w14:paraId="6D85334F" w14:textId="77777777" w:rsidR="000D6D0A" w:rsidRPr="009F2E83" w:rsidRDefault="00BB0E07">
            <w:pPr>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 xml:space="preserve">Avenida Perimetral da Ciência </w:t>
            </w:r>
          </w:p>
          <w:p w14:paraId="2A0E5EBA" w14:textId="77777777" w:rsidR="000D6D0A" w:rsidRPr="009F2E83" w:rsidRDefault="00BB0E07">
            <w:pPr>
              <w:rPr>
                <w:rFonts w:asciiTheme="majorHAnsi" w:eastAsia="Calibri" w:hAnsiTheme="majorHAnsi" w:cstheme="majorHAnsi"/>
                <w:color w:val="006260"/>
                <w:sz w:val="23"/>
                <w:szCs w:val="23"/>
              </w:rPr>
            </w:pPr>
            <w:r w:rsidRPr="009F2E83">
              <w:rPr>
                <w:rFonts w:asciiTheme="majorHAnsi" w:eastAsia="Calibri" w:hAnsiTheme="majorHAnsi" w:cstheme="majorHAnsi"/>
                <w:color w:val="006260"/>
                <w:sz w:val="23"/>
                <w:szCs w:val="23"/>
              </w:rPr>
              <w:t>Km 01 – Guamá Unidade 305 - Espaço Empreendedor do PCT</w:t>
            </w:r>
          </w:p>
          <w:p w14:paraId="0454D752" w14:textId="77777777" w:rsidR="000D6D0A" w:rsidRPr="009F2E83" w:rsidRDefault="00BB0E07">
            <w:pPr>
              <w:rPr>
                <w:rFonts w:asciiTheme="majorHAnsi" w:hAnsiTheme="majorHAnsi" w:cstheme="majorHAnsi"/>
              </w:rPr>
            </w:pPr>
            <w:r w:rsidRPr="009F2E83">
              <w:rPr>
                <w:rFonts w:asciiTheme="majorHAnsi" w:eastAsia="Calibri" w:hAnsiTheme="majorHAnsi" w:cstheme="majorHAnsi"/>
                <w:color w:val="006260"/>
                <w:sz w:val="23"/>
                <w:szCs w:val="23"/>
              </w:rPr>
              <w:t>CEP: 66055-110 - Belém – PA</w:t>
            </w:r>
          </w:p>
        </w:tc>
      </w:tr>
    </w:tbl>
    <w:p w14:paraId="1C0ACF20" w14:textId="77777777" w:rsidR="00BB0E07" w:rsidRDefault="00BB0E07">
      <w:pPr>
        <w:sectPr w:rsidR="00BB0E07" w:rsidSect="00EF47B4">
          <w:headerReference w:type="default" r:id="rId14"/>
          <w:footerReference w:type="default" r:id="rId15"/>
          <w:pgSz w:w="16838" w:h="11906" w:orient="landscape"/>
          <w:pgMar w:top="238" w:right="244" w:bottom="113" w:left="284" w:header="709" w:footer="709" w:gutter="0"/>
          <w:cols w:space="720"/>
        </w:sectPr>
      </w:pPr>
    </w:p>
    <w:p w14:paraId="65B8CAC0" w14:textId="33A98AAA" w:rsidR="000D6D0A" w:rsidRPr="00254F4A" w:rsidRDefault="00BB0E07">
      <w:pPr>
        <w:pStyle w:val="CabealhodoSumrio"/>
        <w:spacing w:before="120" w:after="120"/>
        <w:outlineLvl w:val="9"/>
        <w:rPr>
          <w:color w:val="0098BA"/>
        </w:rPr>
      </w:pPr>
      <w:r w:rsidRPr="00254F4A">
        <w:rPr>
          <w:rFonts w:ascii="Tahoma" w:hAnsi="Tahoma"/>
          <w:color w:val="0098BA"/>
        </w:rPr>
        <w:lastRenderedPageBreak/>
        <w:t>SUMÁRIO</w:t>
      </w:r>
    </w:p>
    <w:p w14:paraId="7C6D0577" w14:textId="7607BA3D" w:rsidR="00864B1F" w:rsidRPr="004B0CF6" w:rsidRDefault="00BB0E07" w:rsidP="004B0CF6">
      <w:pPr>
        <w:pStyle w:val="Sumrio1"/>
        <w:rPr>
          <w:rFonts w:eastAsiaTheme="minorEastAsia"/>
          <w:noProof/>
          <w:kern w:val="2"/>
          <w14:ligatures w14:val="standardContextual"/>
        </w:rPr>
      </w:pPr>
      <w:r w:rsidRPr="004B0CF6">
        <w:rPr>
          <w:color w:val="2E74B5"/>
        </w:rPr>
        <w:fldChar w:fldCharType="begin"/>
      </w:r>
      <w:r w:rsidRPr="004B0CF6">
        <w:instrText xml:space="preserve"> TOC \o "1-3" \u \h </w:instrText>
      </w:r>
      <w:r w:rsidRPr="004B0CF6">
        <w:rPr>
          <w:color w:val="2E74B5"/>
        </w:rPr>
        <w:fldChar w:fldCharType="separate"/>
      </w:r>
      <w:hyperlink w:anchor="_Toc163025240" w:history="1">
        <w:r w:rsidR="00864B1F" w:rsidRPr="004B0CF6">
          <w:rPr>
            <w:rStyle w:val="Hyperlink"/>
            <w:rFonts w:eastAsiaTheme="majorEastAsia"/>
            <w:noProof/>
            <w:lang w:eastAsia="en-US"/>
          </w:rPr>
          <w:t>Mensagem do Presidente</w:t>
        </w:r>
        <w:r w:rsidR="00864B1F" w:rsidRPr="004B0CF6">
          <w:rPr>
            <w:noProof/>
          </w:rPr>
          <w:tab/>
        </w:r>
        <w:r w:rsidR="00864B1F" w:rsidRPr="004B0CF6">
          <w:rPr>
            <w:noProof/>
          </w:rPr>
          <w:fldChar w:fldCharType="begin"/>
        </w:r>
        <w:r w:rsidR="00864B1F" w:rsidRPr="004B0CF6">
          <w:rPr>
            <w:noProof/>
          </w:rPr>
          <w:instrText xml:space="preserve"> PAGEREF _Toc163025240 \h </w:instrText>
        </w:r>
        <w:r w:rsidR="00864B1F" w:rsidRPr="004B0CF6">
          <w:rPr>
            <w:noProof/>
          </w:rPr>
        </w:r>
        <w:r w:rsidR="00864B1F" w:rsidRPr="004B0CF6">
          <w:rPr>
            <w:noProof/>
          </w:rPr>
          <w:fldChar w:fldCharType="separate"/>
        </w:r>
        <w:r w:rsidR="0026768B">
          <w:rPr>
            <w:noProof/>
          </w:rPr>
          <w:t>1</w:t>
        </w:r>
        <w:r w:rsidR="00864B1F" w:rsidRPr="004B0CF6">
          <w:rPr>
            <w:noProof/>
          </w:rPr>
          <w:fldChar w:fldCharType="end"/>
        </w:r>
      </w:hyperlink>
    </w:p>
    <w:p w14:paraId="7D77A90D" w14:textId="1B9DA3DA"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41" w:history="1">
        <w:r w:rsidR="00864B1F" w:rsidRPr="004B0CF6">
          <w:rPr>
            <w:rStyle w:val="Hyperlink"/>
            <w:rFonts w:ascii="Tahoma" w:hAnsi="Tahoma" w:cs="Tahoma"/>
            <w:noProof/>
            <w:sz w:val="19"/>
            <w:szCs w:val="19"/>
          </w:rPr>
          <w:t>Finep em números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_Toc163025241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4</w:t>
        </w:r>
        <w:r w:rsidR="00864B1F" w:rsidRPr="004B0CF6">
          <w:rPr>
            <w:rFonts w:ascii="Tahoma" w:hAnsi="Tahoma" w:cs="Tahoma"/>
            <w:noProof/>
            <w:sz w:val="19"/>
            <w:szCs w:val="19"/>
          </w:rPr>
          <w:fldChar w:fldCharType="end"/>
        </w:r>
      </w:hyperlink>
    </w:p>
    <w:p w14:paraId="729D5D9E" w14:textId="64E82B30" w:rsidR="00864B1F" w:rsidRPr="004B0CF6" w:rsidRDefault="00541FB6" w:rsidP="004B0CF6">
      <w:pPr>
        <w:pStyle w:val="Sumrio1"/>
        <w:rPr>
          <w:rFonts w:eastAsiaTheme="minorEastAsia"/>
          <w:noProof/>
          <w:kern w:val="2"/>
          <w14:ligatures w14:val="standardContextual"/>
        </w:rPr>
      </w:pPr>
      <w:hyperlink w:anchor="_Toc163025242" w:history="1">
        <w:r w:rsidR="00864B1F" w:rsidRPr="004B0CF6">
          <w:rPr>
            <w:rStyle w:val="Hyperlink"/>
            <w:rFonts w:eastAsiaTheme="majorEastAsia"/>
            <w:noProof/>
            <w:lang w:eastAsia="en-US"/>
          </w:rPr>
          <w:t>Sobre o relatório</w:t>
        </w:r>
        <w:r w:rsidR="00864B1F" w:rsidRPr="004B0CF6">
          <w:rPr>
            <w:noProof/>
          </w:rPr>
          <w:tab/>
        </w:r>
        <w:r w:rsidR="00864B1F" w:rsidRPr="004B0CF6">
          <w:rPr>
            <w:noProof/>
          </w:rPr>
          <w:fldChar w:fldCharType="begin"/>
        </w:r>
        <w:r w:rsidR="00864B1F" w:rsidRPr="004B0CF6">
          <w:rPr>
            <w:noProof/>
          </w:rPr>
          <w:instrText xml:space="preserve"> PAGEREF _Toc163025242 \h </w:instrText>
        </w:r>
        <w:r w:rsidR="00864B1F" w:rsidRPr="004B0CF6">
          <w:rPr>
            <w:noProof/>
          </w:rPr>
        </w:r>
        <w:r w:rsidR="00864B1F" w:rsidRPr="004B0CF6">
          <w:rPr>
            <w:noProof/>
          </w:rPr>
          <w:fldChar w:fldCharType="separate"/>
        </w:r>
        <w:r w:rsidR="0026768B">
          <w:rPr>
            <w:noProof/>
          </w:rPr>
          <w:t>9</w:t>
        </w:r>
        <w:r w:rsidR="00864B1F" w:rsidRPr="004B0CF6">
          <w:rPr>
            <w:noProof/>
          </w:rPr>
          <w:fldChar w:fldCharType="end"/>
        </w:r>
      </w:hyperlink>
    </w:p>
    <w:p w14:paraId="1A1D6705" w14:textId="24435DDC" w:rsidR="00864B1F" w:rsidRPr="004B0CF6" w:rsidRDefault="00541FB6" w:rsidP="004B0CF6">
      <w:pPr>
        <w:pStyle w:val="Sumrio1"/>
        <w:rPr>
          <w:rFonts w:eastAsiaTheme="minorEastAsia"/>
          <w:noProof/>
          <w:kern w:val="2"/>
          <w14:ligatures w14:val="standardContextual"/>
        </w:rPr>
      </w:pPr>
      <w:hyperlink w:anchor="_Toc163025243" w:history="1">
        <w:r w:rsidR="00864B1F" w:rsidRPr="004B0CF6">
          <w:rPr>
            <w:rStyle w:val="Hyperlink"/>
            <w:rFonts w:eastAsiaTheme="majorEastAsia"/>
            <w:noProof/>
            <w:lang w:eastAsia="en-US"/>
          </w:rPr>
          <w:t>Como atuamos e geramos valor para a sociedade</w:t>
        </w:r>
        <w:r w:rsidR="00864B1F" w:rsidRPr="004B0CF6">
          <w:rPr>
            <w:noProof/>
          </w:rPr>
          <w:tab/>
        </w:r>
        <w:r w:rsidR="00864B1F" w:rsidRPr="004B0CF6">
          <w:rPr>
            <w:noProof/>
          </w:rPr>
          <w:fldChar w:fldCharType="begin"/>
        </w:r>
        <w:r w:rsidR="00864B1F" w:rsidRPr="004B0CF6">
          <w:rPr>
            <w:noProof/>
          </w:rPr>
          <w:instrText xml:space="preserve"> PAGEREF _Toc163025243 \h </w:instrText>
        </w:r>
        <w:r w:rsidR="00864B1F" w:rsidRPr="004B0CF6">
          <w:rPr>
            <w:noProof/>
          </w:rPr>
        </w:r>
        <w:r w:rsidR="00864B1F" w:rsidRPr="004B0CF6">
          <w:rPr>
            <w:noProof/>
          </w:rPr>
          <w:fldChar w:fldCharType="separate"/>
        </w:r>
        <w:r w:rsidR="0026768B">
          <w:rPr>
            <w:noProof/>
          </w:rPr>
          <w:t>11</w:t>
        </w:r>
        <w:r w:rsidR="00864B1F" w:rsidRPr="004B0CF6">
          <w:rPr>
            <w:noProof/>
          </w:rPr>
          <w:fldChar w:fldCharType="end"/>
        </w:r>
      </w:hyperlink>
    </w:p>
    <w:p w14:paraId="7505DE97" w14:textId="5DC40F22"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44" w:history="1">
        <w:r w:rsidR="00864B1F" w:rsidRPr="004B0CF6">
          <w:rPr>
            <w:rStyle w:val="Hyperlink"/>
            <w:rFonts w:ascii="Tahoma" w:hAnsi="Tahoma" w:cs="Tahoma"/>
            <w:noProof/>
            <w:sz w:val="19"/>
            <w:szCs w:val="19"/>
          </w:rPr>
          <w:t>Modelo de negócios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_Toc163025244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12</w:t>
        </w:r>
        <w:r w:rsidR="00864B1F" w:rsidRPr="004B0CF6">
          <w:rPr>
            <w:rFonts w:ascii="Tahoma" w:hAnsi="Tahoma" w:cs="Tahoma"/>
            <w:noProof/>
            <w:sz w:val="19"/>
            <w:szCs w:val="19"/>
          </w:rPr>
          <w:fldChar w:fldCharType="end"/>
        </w:r>
      </w:hyperlink>
    </w:p>
    <w:p w14:paraId="7D393466" w14:textId="2C287C36"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45" w:history="1">
        <w:r w:rsidR="00864B1F" w:rsidRPr="004B0CF6">
          <w:rPr>
            <w:rStyle w:val="Hyperlink"/>
            <w:rFonts w:ascii="Tahoma" w:hAnsi="Tahoma" w:cs="Tahoma"/>
            <w:noProof/>
            <w:sz w:val="19"/>
            <w:szCs w:val="19"/>
          </w:rPr>
          <w:t>Contexto de atuação – CT&amp;I</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_Toc163025245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15</w:t>
        </w:r>
        <w:r w:rsidR="00864B1F" w:rsidRPr="004B0CF6">
          <w:rPr>
            <w:rFonts w:ascii="Tahoma" w:hAnsi="Tahoma" w:cs="Tahoma"/>
            <w:noProof/>
            <w:sz w:val="19"/>
            <w:szCs w:val="19"/>
          </w:rPr>
          <w:fldChar w:fldCharType="end"/>
        </w:r>
      </w:hyperlink>
    </w:p>
    <w:p w14:paraId="169C1C7A" w14:textId="1FFACD02" w:rsidR="00864B1F" w:rsidRPr="004B0CF6" w:rsidRDefault="00541FB6" w:rsidP="004B0CF6">
      <w:pPr>
        <w:pStyle w:val="Sumrio1"/>
        <w:rPr>
          <w:rFonts w:eastAsiaTheme="minorEastAsia"/>
          <w:noProof/>
          <w:kern w:val="2"/>
          <w14:ligatures w14:val="standardContextual"/>
        </w:rPr>
      </w:pPr>
      <w:hyperlink w:anchor="_Toc163025246" w:history="1">
        <w:r w:rsidR="00864B1F" w:rsidRPr="004B0CF6">
          <w:rPr>
            <w:rStyle w:val="Hyperlink"/>
            <w:rFonts w:eastAsiaTheme="majorEastAsia"/>
            <w:noProof/>
            <w:lang w:eastAsia="en-US"/>
          </w:rPr>
          <w:t>Nosso desempenho – estratégia e operação</w:t>
        </w:r>
        <w:r w:rsidR="00864B1F" w:rsidRPr="004B0CF6">
          <w:rPr>
            <w:noProof/>
          </w:rPr>
          <w:tab/>
        </w:r>
        <w:r w:rsidR="00864B1F" w:rsidRPr="004B0CF6">
          <w:rPr>
            <w:noProof/>
          </w:rPr>
          <w:fldChar w:fldCharType="begin"/>
        </w:r>
        <w:r w:rsidR="00864B1F" w:rsidRPr="004B0CF6">
          <w:rPr>
            <w:noProof/>
          </w:rPr>
          <w:instrText xml:space="preserve"> PAGEREF _Toc163025246 \h </w:instrText>
        </w:r>
        <w:r w:rsidR="00864B1F" w:rsidRPr="004B0CF6">
          <w:rPr>
            <w:noProof/>
          </w:rPr>
        </w:r>
        <w:r w:rsidR="00864B1F" w:rsidRPr="004B0CF6">
          <w:rPr>
            <w:noProof/>
          </w:rPr>
          <w:fldChar w:fldCharType="separate"/>
        </w:r>
        <w:r w:rsidR="0026768B">
          <w:rPr>
            <w:noProof/>
          </w:rPr>
          <w:t>22</w:t>
        </w:r>
        <w:r w:rsidR="00864B1F" w:rsidRPr="004B0CF6">
          <w:rPr>
            <w:noProof/>
          </w:rPr>
          <w:fldChar w:fldCharType="end"/>
        </w:r>
      </w:hyperlink>
    </w:p>
    <w:p w14:paraId="7DFD2BB0" w14:textId="15F1C77A"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47" w:history="1">
        <w:r w:rsidR="00864B1F" w:rsidRPr="004B0CF6">
          <w:rPr>
            <w:rStyle w:val="Hyperlink"/>
            <w:rFonts w:ascii="Tahoma" w:hAnsi="Tahoma" w:cs="Tahoma"/>
            <w:noProof/>
            <w:sz w:val="19"/>
            <w:szCs w:val="19"/>
          </w:rPr>
          <w:t>Nossa estratégia e os resultados alcançados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_Toc163025247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23</w:t>
        </w:r>
        <w:r w:rsidR="00864B1F" w:rsidRPr="004B0CF6">
          <w:rPr>
            <w:rFonts w:ascii="Tahoma" w:hAnsi="Tahoma" w:cs="Tahoma"/>
            <w:noProof/>
            <w:sz w:val="19"/>
            <w:szCs w:val="19"/>
          </w:rPr>
          <w:fldChar w:fldCharType="end"/>
        </w:r>
      </w:hyperlink>
    </w:p>
    <w:p w14:paraId="7482080E" w14:textId="45EFA96E"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48" w:history="1">
        <w:r w:rsidR="00864B1F" w:rsidRPr="004B0CF6">
          <w:rPr>
            <w:rStyle w:val="Hyperlink"/>
            <w:rFonts w:ascii="Tahoma" w:hAnsi="Tahoma" w:cs="Tahoma"/>
            <w:noProof/>
            <w:sz w:val="19"/>
            <w:szCs w:val="19"/>
          </w:rPr>
          <w:t>Desempenho operacional - Eixo: Ciência e Tecnologia</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_Toc163025248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29</w:t>
        </w:r>
        <w:r w:rsidR="00864B1F" w:rsidRPr="004B0CF6">
          <w:rPr>
            <w:rFonts w:ascii="Tahoma" w:hAnsi="Tahoma" w:cs="Tahoma"/>
            <w:noProof/>
            <w:sz w:val="19"/>
            <w:szCs w:val="19"/>
          </w:rPr>
          <w:fldChar w:fldCharType="end"/>
        </w:r>
      </w:hyperlink>
    </w:p>
    <w:p w14:paraId="3B7BEA83" w14:textId="421F7C97"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49" w:history="1">
        <w:r w:rsidR="00864B1F" w:rsidRPr="004B0CF6">
          <w:rPr>
            <w:rStyle w:val="Hyperlink"/>
            <w:rFonts w:ascii="Tahoma" w:hAnsi="Tahoma" w:cs="Tahoma"/>
            <w:noProof/>
            <w:sz w:val="19"/>
            <w:szCs w:val="19"/>
          </w:rPr>
          <w:t>Financiamento não reembolsável a ICTs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_Toc163025249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29</w:t>
        </w:r>
        <w:r w:rsidR="00864B1F" w:rsidRPr="004B0CF6">
          <w:rPr>
            <w:rFonts w:ascii="Tahoma" w:hAnsi="Tahoma" w:cs="Tahoma"/>
            <w:noProof/>
            <w:sz w:val="19"/>
            <w:szCs w:val="19"/>
          </w:rPr>
          <w:fldChar w:fldCharType="end"/>
        </w:r>
      </w:hyperlink>
    </w:p>
    <w:p w14:paraId="1BE06CF2" w14:textId="67237B14"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50" w:history="1">
        <w:r w:rsidR="00864B1F" w:rsidRPr="004B0CF6">
          <w:rPr>
            <w:rStyle w:val="Hyperlink"/>
            <w:rFonts w:ascii="Tahoma" w:hAnsi="Tahoma" w:cs="Tahoma"/>
            <w:noProof/>
            <w:sz w:val="19"/>
            <w:szCs w:val="19"/>
          </w:rPr>
          <w:t>Desempenho operacional - Eixo: Pesquisa, desenvolvimento e inovação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_Toc163025250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39</w:t>
        </w:r>
        <w:r w:rsidR="00864B1F" w:rsidRPr="004B0CF6">
          <w:rPr>
            <w:rFonts w:ascii="Tahoma" w:hAnsi="Tahoma" w:cs="Tahoma"/>
            <w:noProof/>
            <w:sz w:val="19"/>
            <w:szCs w:val="19"/>
          </w:rPr>
          <w:fldChar w:fldCharType="end"/>
        </w:r>
      </w:hyperlink>
    </w:p>
    <w:p w14:paraId="0BC05317" w14:textId="3D0C35F6"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51" w:history="1">
        <w:r w:rsidR="00864B1F" w:rsidRPr="004B0CF6">
          <w:rPr>
            <w:rStyle w:val="Hyperlink"/>
            <w:rFonts w:ascii="Tahoma" w:hAnsi="Tahoma" w:cs="Tahoma"/>
            <w:noProof/>
            <w:sz w:val="19"/>
            <w:szCs w:val="19"/>
          </w:rPr>
          <w:t>Subvenção econômica a empresas (operação direta)</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_Toc163025251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39</w:t>
        </w:r>
        <w:r w:rsidR="00864B1F" w:rsidRPr="004B0CF6">
          <w:rPr>
            <w:rFonts w:ascii="Tahoma" w:hAnsi="Tahoma" w:cs="Tahoma"/>
            <w:noProof/>
            <w:sz w:val="19"/>
            <w:szCs w:val="19"/>
          </w:rPr>
          <w:fldChar w:fldCharType="end"/>
        </w:r>
      </w:hyperlink>
    </w:p>
    <w:p w14:paraId="6C403E4B" w14:textId="5A949475"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52" w:history="1">
        <w:r w:rsidR="00864B1F" w:rsidRPr="004B0CF6">
          <w:rPr>
            <w:rStyle w:val="Hyperlink"/>
            <w:rFonts w:ascii="Tahoma" w:hAnsi="Tahoma" w:cs="Tahoma"/>
            <w:noProof/>
            <w:sz w:val="19"/>
            <w:szCs w:val="19"/>
          </w:rPr>
          <w:t>Crédito direto e descentralizado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_Toc163025252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44</w:t>
        </w:r>
        <w:r w:rsidR="00864B1F" w:rsidRPr="004B0CF6">
          <w:rPr>
            <w:rFonts w:ascii="Tahoma" w:hAnsi="Tahoma" w:cs="Tahoma"/>
            <w:noProof/>
            <w:sz w:val="19"/>
            <w:szCs w:val="19"/>
          </w:rPr>
          <w:fldChar w:fldCharType="end"/>
        </w:r>
      </w:hyperlink>
    </w:p>
    <w:p w14:paraId="77A2B223" w14:textId="372826C6"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53" w:history="1">
        <w:r w:rsidR="00864B1F" w:rsidRPr="004B0CF6">
          <w:rPr>
            <w:rStyle w:val="Hyperlink"/>
            <w:rFonts w:ascii="Tahoma" w:hAnsi="Tahoma" w:cs="Tahoma"/>
            <w:noProof/>
            <w:sz w:val="19"/>
            <w:szCs w:val="19"/>
          </w:rPr>
          <w:t>Financiamento não reembolsável a empresas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_Toc163025253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53</w:t>
        </w:r>
        <w:r w:rsidR="00864B1F" w:rsidRPr="004B0CF6">
          <w:rPr>
            <w:rFonts w:ascii="Tahoma" w:hAnsi="Tahoma" w:cs="Tahoma"/>
            <w:noProof/>
            <w:sz w:val="19"/>
            <w:szCs w:val="19"/>
          </w:rPr>
          <w:fldChar w:fldCharType="end"/>
        </w:r>
      </w:hyperlink>
    </w:p>
    <w:p w14:paraId="3798E253" w14:textId="162DBB65"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54" w:history="1">
        <w:r w:rsidR="00864B1F" w:rsidRPr="004B0CF6">
          <w:rPr>
            <w:rStyle w:val="Hyperlink"/>
            <w:rFonts w:ascii="Tahoma" w:hAnsi="Tahoma" w:cs="Tahoma"/>
            <w:noProof/>
            <w:sz w:val="19"/>
            <w:szCs w:val="19"/>
          </w:rPr>
          <w:t>Desempenho operacional - Eixo: Empreendedorismo inovador</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_Toc163025254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55</w:t>
        </w:r>
        <w:r w:rsidR="00864B1F" w:rsidRPr="004B0CF6">
          <w:rPr>
            <w:rFonts w:ascii="Tahoma" w:hAnsi="Tahoma" w:cs="Tahoma"/>
            <w:noProof/>
            <w:sz w:val="19"/>
            <w:szCs w:val="19"/>
          </w:rPr>
          <w:fldChar w:fldCharType="end"/>
        </w:r>
      </w:hyperlink>
    </w:p>
    <w:p w14:paraId="7F2F5C7F" w14:textId="4B82AAE9"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55" w:history="1">
        <w:r w:rsidR="00864B1F" w:rsidRPr="004B0CF6">
          <w:rPr>
            <w:rStyle w:val="Hyperlink"/>
            <w:rFonts w:ascii="Tahoma" w:hAnsi="Tahoma" w:cs="Tahoma"/>
            <w:noProof/>
            <w:sz w:val="19"/>
            <w:szCs w:val="19"/>
          </w:rPr>
          <w:t>Subvenção econômica a empresas (operação descentralizada)</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_Toc163025255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55</w:t>
        </w:r>
        <w:r w:rsidR="00864B1F" w:rsidRPr="004B0CF6">
          <w:rPr>
            <w:rFonts w:ascii="Tahoma" w:hAnsi="Tahoma" w:cs="Tahoma"/>
            <w:noProof/>
            <w:sz w:val="19"/>
            <w:szCs w:val="19"/>
          </w:rPr>
          <w:fldChar w:fldCharType="end"/>
        </w:r>
      </w:hyperlink>
    </w:p>
    <w:p w14:paraId="56FC65E0" w14:textId="2777AE12"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56" w:history="1">
        <w:r w:rsidR="00864B1F" w:rsidRPr="004B0CF6">
          <w:rPr>
            <w:rStyle w:val="Hyperlink"/>
            <w:rFonts w:ascii="Tahoma" w:hAnsi="Tahoma" w:cs="Tahoma"/>
            <w:noProof/>
            <w:sz w:val="19"/>
            <w:szCs w:val="19"/>
          </w:rPr>
          <w:t>Aquisição de Instrumentos Conversíveis em Participação no Capital Social</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_Toc163025256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61</w:t>
        </w:r>
        <w:r w:rsidR="00864B1F" w:rsidRPr="004B0CF6">
          <w:rPr>
            <w:rFonts w:ascii="Tahoma" w:hAnsi="Tahoma" w:cs="Tahoma"/>
            <w:noProof/>
            <w:sz w:val="19"/>
            <w:szCs w:val="19"/>
          </w:rPr>
          <w:fldChar w:fldCharType="end"/>
        </w:r>
      </w:hyperlink>
    </w:p>
    <w:p w14:paraId="2BDD3863" w14:textId="637C1405"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57" w:history="1">
        <w:r w:rsidR="00864B1F" w:rsidRPr="004B0CF6">
          <w:rPr>
            <w:rStyle w:val="Hyperlink"/>
            <w:rFonts w:ascii="Tahoma" w:hAnsi="Tahoma" w:cs="Tahoma"/>
            <w:noProof/>
            <w:sz w:val="19"/>
            <w:szCs w:val="19"/>
          </w:rPr>
          <w:t>Capacitação e Premiação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_Toc163025257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65</w:t>
        </w:r>
        <w:r w:rsidR="00864B1F" w:rsidRPr="004B0CF6">
          <w:rPr>
            <w:rFonts w:ascii="Tahoma" w:hAnsi="Tahoma" w:cs="Tahoma"/>
            <w:noProof/>
            <w:sz w:val="19"/>
            <w:szCs w:val="19"/>
          </w:rPr>
          <w:fldChar w:fldCharType="end"/>
        </w:r>
      </w:hyperlink>
    </w:p>
    <w:p w14:paraId="60C90B06" w14:textId="1957EC8C"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58" w:history="1">
        <w:r w:rsidR="00864B1F" w:rsidRPr="004B0CF6">
          <w:rPr>
            <w:rStyle w:val="Hyperlink"/>
            <w:rFonts w:ascii="Tahoma" w:hAnsi="Tahoma" w:cs="Tahoma"/>
            <w:noProof/>
            <w:sz w:val="19"/>
            <w:szCs w:val="19"/>
          </w:rPr>
          <w:t>Investimento em FIPs exclusivos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_Toc163025258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66</w:t>
        </w:r>
        <w:r w:rsidR="00864B1F" w:rsidRPr="004B0CF6">
          <w:rPr>
            <w:rFonts w:ascii="Tahoma" w:hAnsi="Tahoma" w:cs="Tahoma"/>
            <w:noProof/>
            <w:sz w:val="19"/>
            <w:szCs w:val="19"/>
          </w:rPr>
          <w:fldChar w:fldCharType="end"/>
        </w:r>
      </w:hyperlink>
    </w:p>
    <w:p w14:paraId="1BB8D5F3" w14:textId="5BE69A76"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59" w:history="1">
        <w:r w:rsidR="00864B1F" w:rsidRPr="004B0CF6">
          <w:rPr>
            <w:rStyle w:val="Hyperlink"/>
            <w:rFonts w:ascii="Tahoma" w:hAnsi="Tahoma" w:cs="Tahoma"/>
            <w:noProof/>
            <w:sz w:val="19"/>
            <w:szCs w:val="19"/>
          </w:rPr>
          <w:t>Investimento em FIPs não exclusivos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_Toc163025259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66</w:t>
        </w:r>
        <w:r w:rsidR="00864B1F" w:rsidRPr="004B0CF6">
          <w:rPr>
            <w:rFonts w:ascii="Tahoma" w:hAnsi="Tahoma" w:cs="Tahoma"/>
            <w:noProof/>
            <w:sz w:val="19"/>
            <w:szCs w:val="19"/>
          </w:rPr>
          <w:fldChar w:fldCharType="end"/>
        </w:r>
      </w:hyperlink>
    </w:p>
    <w:p w14:paraId="1CF48CEB" w14:textId="4D3B6BE3"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60" w:history="1">
        <w:r w:rsidR="00864B1F" w:rsidRPr="004B0CF6">
          <w:rPr>
            <w:rStyle w:val="Hyperlink"/>
            <w:rFonts w:ascii="Tahoma" w:hAnsi="Tahoma" w:cs="Tahoma"/>
            <w:noProof/>
            <w:sz w:val="19"/>
            <w:szCs w:val="19"/>
          </w:rPr>
          <w:t>Monitoramento e avaliação de resultados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_Toc163025260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68</w:t>
        </w:r>
        <w:r w:rsidR="00864B1F" w:rsidRPr="004B0CF6">
          <w:rPr>
            <w:rFonts w:ascii="Tahoma" w:hAnsi="Tahoma" w:cs="Tahoma"/>
            <w:noProof/>
            <w:sz w:val="19"/>
            <w:szCs w:val="19"/>
          </w:rPr>
          <w:fldChar w:fldCharType="end"/>
        </w:r>
      </w:hyperlink>
    </w:p>
    <w:p w14:paraId="6CCECB57" w14:textId="493D0E0A" w:rsidR="00864B1F" w:rsidRPr="004B0CF6" w:rsidRDefault="00541FB6" w:rsidP="004B0CF6">
      <w:pPr>
        <w:pStyle w:val="Sumrio1"/>
        <w:rPr>
          <w:rFonts w:eastAsiaTheme="minorEastAsia"/>
          <w:noProof/>
          <w:kern w:val="2"/>
          <w14:ligatures w14:val="standardContextual"/>
        </w:rPr>
      </w:pPr>
      <w:hyperlink w:anchor="_Toc163025261" w:history="1">
        <w:r w:rsidR="00864B1F" w:rsidRPr="004B0CF6">
          <w:rPr>
            <w:rStyle w:val="Hyperlink"/>
            <w:noProof/>
          </w:rPr>
          <w:t>Desempenho econômico-financeiro</w:t>
        </w:r>
        <w:r w:rsidR="00864B1F" w:rsidRPr="004B0CF6">
          <w:rPr>
            <w:noProof/>
          </w:rPr>
          <w:tab/>
        </w:r>
        <w:r w:rsidR="00864B1F" w:rsidRPr="004B0CF6">
          <w:rPr>
            <w:noProof/>
          </w:rPr>
          <w:fldChar w:fldCharType="begin"/>
        </w:r>
        <w:r w:rsidR="00864B1F" w:rsidRPr="004B0CF6">
          <w:rPr>
            <w:noProof/>
          </w:rPr>
          <w:instrText xml:space="preserve"> PAGEREF _Toc163025261 \h </w:instrText>
        </w:r>
        <w:r w:rsidR="00864B1F" w:rsidRPr="004B0CF6">
          <w:rPr>
            <w:noProof/>
          </w:rPr>
        </w:r>
        <w:r w:rsidR="00864B1F" w:rsidRPr="004B0CF6">
          <w:rPr>
            <w:noProof/>
          </w:rPr>
          <w:fldChar w:fldCharType="separate"/>
        </w:r>
        <w:r w:rsidR="0026768B">
          <w:rPr>
            <w:noProof/>
          </w:rPr>
          <w:t>69</w:t>
        </w:r>
        <w:r w:rsidR="00864B1F" w:rsidRPr="004B0CF6">
          <w:rPr>
            <w:noProof/>
          </w:rPr>
          <w:fldChar w:fldCharType="end"/>
        </w:r>
      </w:hyperlink>
    </w:p>
    <w:p w14:paraId="545BBCBE" w14:textId="1669CB4A" w:rsidR="00864B1F" w:rsidRPr="004B0CF6" w:rsidRDefault="00541FB6" w:rsidP="004B0CF6">
      <w:pPr>
        <w:pStyle w:val="Sumrio1"/>
        <w:rPr>
          <w:rFonts w:eastAsiaTheme="minorEastAsia"/>
          <w:noProof/>
          <w:kern w:val="2"/>
          <w14:ligatures w14:val="standardContextual"/>
        </w:rPr>
      </w:pPr>
      <w:hyperlink w:anchor="_Toc163025262" w:history="1">
        <w:r w:rsidR="00864B1F" w:rsidRPr="004B0CF6">
          <w:rPr>
            <w:rStyle w:val="Hyperlink"/>
            <w:rFonts w:eastAsiaTheme="majorEastAsia"/>
            <w:noProof/>
            <w:lang w:eastAsia="en-US"/>
          </w:rPr>
          <w:t>Como nos organizamos</w:t>
        </w:r>
        <w:r w:rsidR="00864B1F" w:rsidRPr="004B0CF6">
          <w:rPr>
            <w:noProof/>
          </w:rPr>
          <w:tab/>
        </w:r>
        <w:r w:rsidR="00864B1F" w:rsidRPr="004B0CF6">
          <w:rPr>
            <w:noProof/>
          </w:rPr>
          <w:fldChar w:fldCharType="begin"/>
        </w:r>
        <w:r w:rsidR="00864B1F" w:rsidRPr="004B0CF6">
          <w:rPr>
            <w:noProof/>
          </w:rPr>
          <w:instrText xml:space="preserve"> PAGEREF _Toc163025262 \h </w:instrText>
        </w:r>
        <w:r w:rsidR="00864B1F" w:rsidRPr="004B0CF6">
          <w:rPr>
            <w:noProof/>
          </w:rPr>
        </w:r>
        <w:r w:rsidR="00864B1F" w:rsidRPr="004B0CF6">
          <w:rPr>
            <w:noProof/>
          </w:rPr>
          <w:fldChar w:fldCharType="separate"/>
        </w:r>
        <w:r w:rsidR="0026768B">
          <w:rPr>
            <w:noProof/>
          </w:rPr>
          <w:t>74</w:t>
        </w:r>
        <w:r w:rsidR="00864B1F" w:rsidRPr="004B0CF6">
          <w:rPr>
            <w:noProof/>
          </w:rPr>
          <w:fldChar w:fldCharType="end"/>
        </w:r>
      </w:hyperlink>
    </w:p>
    <w:p w14:paraId="5E64B3D7" w14:textId="22D5A9AA"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63" w:history="1">
        <w:r w:rsidR="00864B1F" w:rsidRPr="004B0CF6">
          <w:rPr>
            <w:rStyle w:val="Hyperlink"/>
            <w:rFonts w:ascii="Tahoma" w:hAnsi="Tahoma" w:cs="Tahoma"/>
            <w:noProof/>
            <w:sz w:val="19"/>
            <w:szCs w:val="19"/>
          </w:rPr>
          <w:t>Governança</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_Toc163025263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75</w:t>
        </w:r>
        <w:r w:rsidR="00864B1F" w:rsidRPr="004B0CF6">
          <w:rPr>
            <w:rFonts w:ascii="Tahoma" w:hAnsi="Tahoma" w:cs="Tahoma"/>
            <w:noProof/>
            <w:sz w:val="19"/>
            <w:szCs w:val="19"/>
          </w:rPr>
          <w:fldChar w:fldCharType="end"/>
        </w:r>
      </w:hyperlink>
    </w:p>
    <w:p w14:paraId="585431BF" w14:textId="568C9B64"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64" w:history="1">
        <w:r w:rsidR="00864B1F" w:rsidRPr="004B0CF6">
          <w:rPr>
            <w:rStyle w:val="Hyperlink"/>
            <w:rFonts w:ascii="Tahoma" w:hAnsi="Tahoma" w:cs="Tahoma"/>
            <w:noProof/>
            <w:sz w:val="19"/>
            <w:szCs w:val="19"/>
          </w:rPr>
          <w:t>Ética e Integridade</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_Toc163025264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78</w:t>
        </w:r>
        <w:r w:rsidR="00864B1F" w:rsidRPr="004B0CF6">
          <w:rPr>
            <w:rFonts w:ascii="Tahoma" w:hAnsi="Tahoma" w:cs="Tahoma"/>
            <w:noProof/>
            <w:sz w:val="19"/>
            <w:szCs w:val="19"/>
          </w:rPr>
          <w:fldChar w:fldCharType="end"/>
        </w:r>
      </w:hyperlink>
    </w:p>
    <w:p w14:paraId="310542C8" w14:textId="004117D8"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65" w:history="1">
        <w:r w:rsidR="00864B1F" w:rsidRPr="004B0CF6">
          <w:rPr>
            <w:rStyle w:val="Hyperlink"/>
            <w:rFonts w:ascii="Tahoma" w:hAnsi="Tahoma" w:cs="Tahoma"/>
            <w:noProof/>
            <w:sz w:val="19"/>
            <w:szCs w:val="19"/>
          </w:rPr>
          <w:t>Supervisão, controle e correição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_Toc163025265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80</w:t>
        </w:r>
        <w:r w:rsidR="00864B1F" w:rsidRPr="004B0CF6">
          <w:rPr>
            <w:rFonts w:ascii="Tahoma" w:hAnsi="Tahoma" w:cs="Tahoma"/>
            <w:noProof/>
            <w:sz w:val="19"/>
            <w:szCs w:val="19"/>
          </w:rPr>
          <w:fldChar w:fldCharType="end"/>
        </w:r>
      </w:hyperlink>
    </w:p>
    <w:p w14:paraId="31DFB6B1" w14:textId="173D39CB" w:rsidR="00864B1F" w:rsidRPr="004B0CF6" w:rsidRDefault="00541FB6" w:rsidP="004B0CF6">
      <w:pPr>
        <w:pStyle w:val="Sumrio1"/>
        <w:rPr>
          <w:rFonts w:eastAsiaTheme="minorEastAsia"/>
          <w:noProof/>
          <w:kern w:val="2"/>
          <w14:ligatures w14:val="standardContextual"/>
        </w:rPr>
      </w:pPr>
      <w:hyperlink w:anchor="_Toc163025266" w:history="1">
        <w:r w:rsidR="00864B1F" w:rsidRPr="004B0CF6">
          <w:rPr>
            <w:rStyle w:val="Hyperlink"/>
            <w:rFonts w:eastAsiaTheme="majorEastAsia"/>
            <w:noProof/>
            <w:lang w:eastAsia="en-US"/>
          </w:rPr>
          <w:t>Nossos capitais</w:t>
        </w:r>
        <w:r w:rsidR="00864B1F" w:rsidRPr="004B0CF6">
          <w:rPr>
            <w:noProof/>
          </w:rPr>
          <w:tab/>
        </w:r>
        <w:r w:rsidR="00864B1F" w:rsidRPr="004B0CF6">
          <w:rPr>
            <w:noProof/>
          </w:rPr>
          <w:fldChar w:fldCharType="begin"/>
        </w:r>
        <w:r w:rsidR="00864B1F" w:rsidRPr="004B0CF6">
          <w:rPr>
            <w:noProof/>
          </w:rPr>
          <w:instrText xml:space="preserve"> PAGEREF _Toc163025266 \h </w:instrText>
        </w:r>
        <w:r w:rsidR="00864B1F" w:rsidRPr="004B0CF6">
          <w:rPr>
            <w:noProof/>
          </w:rPr>
        </w:r>
        <w:r w:rsidR="00864B1F" w:rsidRPr="004B0CF6">
          <w:rPr>
            <w:noProof/>
          </w:rPr>
          <w:fldChar w:fldCharType="separate"/>
        </w:r>
        <w:r w:rsidR="0026768B">
          <w:rPr>
            <w:noProof/>
          </w:rPr>
          <w:t>82</w:t>
        </w:r>
        <w:r w:rsidR="00864B1F" w:rsidRPr="004B0CF6">
          <w:rPr>
            <w:noProof/>
          </w:rPr>
          <w:fldChar w:fldCharType="end"/>
        </w:r>
      </w:hyperlink>
    </w:p>
    <w:p w14:paraId="6E707B71" w14:textId="5CEFF8CE"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67" w:history="1">
        <w:r w:rsidR="00864B1F" w:rsidRPr="004B0CF6">
          <w:rPr>
            <w:rStyle w:val="Hyperlink"/>
            <w:rFonts w:ascii="Tahoma" w:hAnsi="Tahoma" w:cs="Tahoma"/>
            <w:noProof/>
            <w:sz w:val="19"/>
            <w:szCs w:val="19"/>
          </w:rPr>
          <w:t>Capital humano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_Toc163025267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82</w:t>
        </w:r>
        <w:r w:rsidR="00864B1F" w:rsidRPr="004B0CF6">
          <w:rPr>
            <w:rFonts w:ascii="Tahoma" w:hAnsi="Tahoma" w:cs="Tahoma"/>
            <w:noProof/>
            <w:sz w:val="19"/>
            <w:szCs w:val="19"/>
          </w:rPr>
          <w:fldChar w:fldCharType="end"/>
        </w:r>
      </w:hyperlink>
    </w:p>
    <w:p w14:paraId="6C3C8167" w14:textId="2286C6C3"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68" w:history="1">
        <w:r w:rsidR="00864B1F" w:rsidRPr="004B0CF6">
          <w:rPr>
            <w:rStyle w:val="Hyperlink"/>
            <w:rFonts w:ascii="Tahoma" w:hAnsi="Tahoma" w:cs="Tahoma"/>
            <w:noProof/>
            <w:sz w:val="19"/>
            <w:szCs w:val="19"/>
          </w:rPr>
          <w:t>Capital social e de relacionamento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_Toc163025268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87</w:t>
        </w:r>
        <w:r w:rsidR="00864B1F" w:rsidRPr="004B0CF6">
          <w:rPr>
            <w:rFonts w:ascii="Tahoma" w:hAnsi="Tahoma" w:cs="Tahoma"/>
            <w:noProof/>
            <w:sz w:val="19"/>
            <w:szCs w:val="19"/>
          </w:rPr>
          <w:fldChar w:fldCharType="end"/>
        </w:r>
      </w:hyperlink>
    </w:p>
    <w:p w14:paraId="683D4739" w14:textId="0B8002E4"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69" w:history="1">
        <w:r w:rsidR="00864B1F" w:rsidRPr="004B0CF6">
          <w:rPr>
            <w:rStyle w:val="Hyperlink"/>
            <w:rFonts w:ascii="Tahoma" w:hAnsi="Tahoma" w:cs="Tahoma"/>
            <w:noProof/>
            <w:sz w:val="19"/>
            <w:szCs w:val="19"/>
          </w:rPr>
          <w:t>Comunicação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_Toc163025269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87</w:t>
        </w:r>
        <w:r w:rsidR="00864B1F" w:rsidRPr="004B0CF6">
          <w:rPr>
            <w:rFonts w:ascii="Tahoma" w:hAnsi="Tahoma" w:cs="Tahoma"/>
            <w:noProof/>
            <w:sz w:val="19"/>
            <w:szCs w:val="19"/>
          </w:rPr>
          <w:fldChar w:fldCharType="end"/>
        </w:r>
      </w:hyperlink>
    </w:p>
    <w:p w14:paraId="11E24AD3" w14:textId="768A7FF4"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70" w:history="1">
        <w:r w:rsidR="00864B1F" w:rsidRPr="004B0CF6">
          <w:rPr>
            <w:rStyle w:val="Hyperlink"/>
            <w:rFonts w:ascii="Tahoma" w:hAnsi="Tahoma" w:cs="Tahoma"/>
            <w:noProof/>
            <w:sz w:val="19"/>
            <w:szCs w:val="19"/>
          </w:rPr>
          <w:t>Participação da Finep em associações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_Toc163025270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88</w:t>
        </w:r>
        <w:r w:rsidR="00864B1F" w:rsidRPr="004B0CF6">
          <w:rPr>
            <w:rFonts w:ascii="Tahoma" w:hAnsi="Tahoma" w:cs="Tahoma"/>
            <w:noProof/>
            <w:sz w:val="19"/>
            <w:szCs w:val="19"/>
          </w:rPr>
          <w:fldChar w:fldCharType="end"/>
        </w:r>
      </w:hyperlink>
    </w:p>
    <w:p w14:paraId="315D3075" w14:textId="6AA7BBDE"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71" w:history="1">
        <w:r w:rsidR="00864B1F" w:rsidRPr="004B0CF6">
          <w:rPr>
            <w:rStyle w:val="Hyperlink"/>
            <w:rFonts w:ascii="Tahoma" w:hAnsi="Tahoma" w:cs="Tahoma"/>
            <w:noProof/>
            <w:sz w:val="19"/>
            <w:szCs w:val="19"/>
          </w:rPr>
          <w:t>Ouvidoria e Transparência</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_Toc163025271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88</w:t>
        </w:r>
        <w:r w:rsidR="00864B1F" w:rsidRPr="004B0CF6">
          <w:rPr>
            <w:rFonts w:ascii="Tahoma" w:hAnsi="Tahoma" w:cs="Tahoma"/>
            <w:noProof/>
            <w:sz w:val="19"/>
            <w:szCs w:val="19"/>
          </w:rPr>
          <w:fldChar w:fldCharType="end"/>
        </w:r>
      </w:hyperlink>
    </w:p>
    <w:p w14:paraId="5F18CDFF" w14:textId="710BA168" w:rsidR="00864B1F" w:rsidRPr="004B0CF6" w:rsidRDefault="00541FB6" w:rsidP="004B0CF6">
      <w:pPr>
        <w:pStyle w:val="Sumrio3"/>
        <w:spacing w:before="40"/>
        <w:rPr>
          <w:rFonts w:ascii="Tahoma" w:eastAsiaTheme="minorEastAsia" w:hAnsi="Tahoma" w:cs="Tahoma"/>
          <w:noProof/>
          <w:kern w:val="2"/>
          <w:sz w:val="19"/>
          <w:szCs w:val="19"/>
          <w14:ligatures w14:val="standardContextual"/>
        </w:rPr>
      </w:pPr>
      <w:hyperlink w:anchor="_Toc163025272" w:history="1">
        <w:r w:rsidR="00864B1F" w:rsidRPr="004B0CF6">
          <w:rPr>
            <w:rStyle w:val="Hyperlink"/>
            <w:rFonts w:ascii="Tahoma" w:hAnsi="Tahoma" w:cs="Tahoma"/>
            <w:noProof/>
            <w:sz w:val="19"/>
            <w:szCs w:val="19"/>
          </w:rPr>
          <w:t>Lei Geral de Proteção de Dados - LGPD</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_Toc163025272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90</w:t>
        </w:r>
        <w:r w:rsidR="00864B1F" w:rsidRPr="004B0CF6">
          <w:rPr>
            <w:rFonts w:ascii="Tahoma" w:hAnsi="Tahoma" w:cs="Tahoma"/>
            <w:noProof/>
            <w:sz w:val="19"/>
            <w:szCs w:val="19"/>
          </w:rPr>
          <w:fldChar w:fldCharType="end"/>
        </w:r>
      </w:hyperlink>
    </w:p>
    <w:p w14:paraId="55A39324" w14:textId="296382B6"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73" w:history="1">
        <w:r w:rsidR="00864B1F" w:rsidRPr="004B0CF6">
          <w:rPr>
            <w:rStyle w:val="Hyperlink"/>
            <w:rFonts w:ascii="Tahoma" w:hAnsi="Tahoma" w:cs="Tahoma"/>
            <w:noProof/>
            <w:sz w:val="19"/>
            <w:szCs w:val="19"/>
          </w:rPr>
          <w:t>Capital intelectual</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_Toc163025273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91</w:t>
        </w:r>
        <w:r w:rsidR="00864B1F" w:rsidRPr="004B0CF6">
          <w:rPr>
            <w:rFonts w:ascii="Tahoma" w:hAnsi="Tahoma" w:cs="Tahoma"/>
            <w:noProof/>
            <w:sz w:val="19"/>
            <w:szCs w:val="19"/>
          </w:rPr>
          <w:fldChar w:fldCharType="end"/>
        </w:r>
      </w:hyperlink>
    </w:p>
    <w:p w14:paraId="7F50AE4E" w14:textId="60D6050C"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74" w:history="1">
        <w:r w:rsidR="00864B1F" w:rsidRPr="004B0CF6">
          <w:rPr>
            <w:rStyle w:val="Hyperlink"/>
            <w:rFonts w:ascii="Tahoma" w:hAnsi="Tahoma" w:cs="Tahoma"/>
            <w:noProof/>
            <w:sz w:val="19"/>
            <w:szCs w:val="19"/>
          </w:rPr>
          <w:t>Capital financeiro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_Toc163025274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93</w:t>
        </w:r>
        <w:r w:rsidR="00864B1F" w:rsidRPr="004B0CF6">
          <w:rPr>
            <w:rFonts w:ascii="Tahoma" w:hAnsi="Tahoma" w:cs="Tahoma"/>
            <w:noProof/>
            <w:sz w:val="19"/>
            <w:szCs w:val="19"/>
          </w:rPr>
          <w:fldChar w:fldCharType="end"/>
        </w:r>
      </w:hyperlink>
    </w:p>
    <w:p w14:paraId="553BEB8F" w14:textId="616989D3"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75" w:history="1">
        <w:r w:rsidR="00864B1F" w:rsidRPr="004B0CF6">
          <w:rPr>
            <w:rStyle w:val="Hyperlink"/>
            <w:rFonts w:ascii="Tahoma" w:hAnsi="Tahoma" w:cs="Tahoma"/>
            <w:noProof/>
            <w:sz w:val="19"/>
            <w:szCs w:val="19"/>
          </w:rPr>
          <w:t>Capital manufaturado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_Toc163025275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94</w:t>
        </w:r>
        <w:r w:rsidR="00864B1F" w:rsidRPr="004B0CF6">
          <w:rPr>
            <w:rFonts w:ascii="Tahoma" w:hAnsi="Tahoma" w:cs="Tahoma"/>
            <w:noProof/>
            <w:sz w:val="19"/>
            <w:szCs w:val="19"/>
          </w:rPr>
          <w:fldChar w:fldCharType="end"/>
        </w:r>
      </w:hyperlink>
    </w:p>
    <w:p w14:paraId="76C8A549" w14:textId="36124328" w:rsidR="00864B1F" w:rsidRPr="004B0CF6" w:rsidRDefault="00541FB6" w:rsidP="004B0CF6">
      <w:pPr>
        <w:pStyle w:val="Sumrio1"/>
        <w:rPr>
          <w:rFonts w:eastAsiaTheme="minorEastAsia"/>
          <w:noProof/>
          <w:kern w:val="2"/>
          <w14:ligatures w14:val="standardContextual"/>
        </w:rPr>
      </w:pPr>
      <w:hyperlink w:anchor="_Toc163025276" w:history="1">
        <w:r w:rsidR="00864B1F" w:rsidRPr="004B0CF6">
          <w:rPr>
            <w:rStyle w:val="Hyperlink"/>
            <w:rFonts w:eastAsiaTheme="majorEastAsia"/>
            <w:noProof/>
            <w:lang w:eastAsia="en-US"/>
          </w:rPr>
          <w:t>Nossa Gestão</w:t>
        </w:r>
        <w:r w:rsidR="00864B1F" w:rsidRPr="004B0CF6">
          <w:rPr>
            <w:noProof/>
          </w:rPr>
          <w:tab/>
        </w:r>
        <w:r w:rsidR="00864B1F" w:rsidRPr="004B0CF6">
          <w:rPr>
            <w:noProof/>
          </w:rPr>
          <w:fldChar w:fldCharType="begin"/>
        </w:r>
        <w:r w:rsidR="00864B1F" w:rsidRPr="004B0CF6">
          <w:rPr>
            <w:noProof/>
          </w:rPr>
          <w:instrText xml:space="preserve"> PAGEREF _Toc163025276 \h </w:instrText>
        </w:r>
        <w:r w:rsidR="00864B1F" w:rsidRPr="004B0CF6">
          <w:rPr>
            <w:noProof/>
          </w:rPr>
        </w:r>
        <w:r w:rsidR="00864B1F" w:rsidRPr="004B0CF6">
          <w:rPr>
            <w:noProof/>
          </w:rPr>
          <w:fldChar w:fldCharType="separate"/>
        </w:r>
        <w:r w:rsidR="0026768B">
          <w:rPr>
            <w:noProof/>
          </w:rPr>
          <w:t>96</w:t>
        </w:r>
        <w:r w:rsidR="00864B1F" w:rsidRPr="004B0CF6">
          <w:rPr>
            <w:noProof/>
          </w:rPr>
          <w:fldChar w:fldCharType="end"/>
        </w:r>
      </w:hyperlink>
    </w:p>
    <w:p w14:paraId="0A79E7A5" w14:textId="265EA8E3"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77" w:history="1">
        <w:r w:rsidR="00864B1F" w:rsidRPr="004B0CF6">
          <w:rPr>
            <w:rStyle w:val="Hyperlink"/>
            <w:rFonts w:ascii="Tahoma" w:hAnsi="Tahoma" w:cs="Tahoma"/>
            <w:noProof/>
            <w:sz w:val="19"/>
            <w:szCs w:val="19"/>
          </w:rPr>
          <w:t>Pessoas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_Toc163025277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96</w:t>
        </w:r>
        <w:r w:rsidR="00864B1F" w:rsidRPr="004B0CF6">
          <w:rPr>
            <w:rFonts w:ascii="Tahoma" w:hAnsi="Tahoma" w:cs="Tahoma"/>
            <w:noProof/>
            <w:sz w:val="19"/>
            <w:szCs w:val="19"/>
          </w:rPr>
          <w:fldChar w:fldCharType="end"/>
        </w:r>
      </w:hyperlink>
    </w:p>
    <w:p w14:paraId="01B85DD1" w14:textId="4A3F1214"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78" w:history="1">
        <w:r w:rsidR="00864B1F" w:rsidRPr="004B0CF6">
          <w:rPr>
            <w:rStyle w:val="Hyperlink"/>
            <w:rFonts w:ascii="Tahoma" w:hAnsi="Tahoma" w:cs="Tahoma"/>
            <w:noProof/>
            <w:sz w:val="19"/>
            <w:szCs w:val="19"/>
          </w:rPr>
          <w:t>Tecnologia da informação</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_Toc163025278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99</w:t>
        </w:r>
        <w:r w:rsidR="00864B1F" w:rsidRPr="004B0CF6">
          <w:rPr>
            <w:rFonts w:ascii="Tahoma" w:hAnsi="Tahoma" w:cs="Tahoma"/>
            <w:noProof/>
            <w:sz w:val="19"/>
            <w:szCs w:val="19"/>
          </w:rPr>
          <w:fldChar w:fldCharType="end"/>
        </w:r>
      </w:hyperlink>
    </w:p>
    <w:p w14:paraId="18F3C93C" w14:textId="1228A7E2"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79" w:history="1">
        <w:r w:rsidR="00864B1F" w:rsidRPr="004B0CF6">
          <w:rPr>
            <w:rStyle w:val="Hyperlink"/>
            <w:rFonts w:ascii="Tahoma" w:hAnsi="Tahoma" w:cs="Tahoma"/>
            <w:noProof/>
            <w:sz w:val="19"/>
            <w:szCs w:val="19"/>
          </w:rPr>
          <w:t>Riscos e controles internos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_Toc163025279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101</w:t>
        </w:r>
        <w:r w:rsidR="00864B1F" w:rsidRPr="004B0CF6">
          <w:rPr>
            <w:rFonts w:ascii="Tahoma" w:hAnsi="Tahoma" w:cs="Tahoma"/>
            <w:noProof/>
            <w:sz w:val="19"/>
            <w:szCs w:val="19"/>
          </w:rPr>
          <w:fldChar w:fldCharType="end"/>
        </w:r>
      </w:hyperlink>
    </w:p>
    <w:p w14:paraId="5B7BC004" w14:textId="435F44B6"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80" w:history="1">
        <w:r w:rsidR="00864B1F" w:rsidRPr="004B0CF6">
          <w:rPr>
            <w:rStyle w:val="Hyperlink"/>
            <w:rFonts w:ascii="Tahoma" w:hAnsi="Tahoma" w:cs="Tahoma"/>
            <w:noProof/>
            <w:sz w:val="19"/>
            <w:szCs w:val="19"/>
          </w:rPr>
          <w:t>Custos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_Toc163025280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104</w:t>
        </w:r>
        <w:r w:rsidR="00864B1F" w:rsidRPr="004B0CF6">
          <w:rPr>
            <w:rFonts w:ascii="Tahoma" w:hAnsi="Tahoma" w:cs="Tahoma"/>
            <w:noProof/>
            <w:sz w:val="19"/>
            <w:szCs w:val="19"/>
          </w:rPr>
          <w:fldChar w:fldCharType="end"/>
        </w:r>
      </w:hyperlink>
    </w:p>
    <w:p w14:paraId="3582334B" w14:textId="66AF5508" w:rsidR="00864B1F" w:rsidRPr="004B0CF6" w:rsidRDefault="00541FB6" w:rsidP="004B0CF6">
      <w:pPr>
        <w:pStyle w:val="Sumrio2"/>
        <w:rPr>
          <w:rFonts w:ascii="Tahoma" w:eastAsiaTheme="minorEastAsia" w:hAnsi="Tahoma" w:cs="Tahoma"/>
          <w:noProof/>
          <w:kern w:val="2"/>
          <w:sz w:val="19"/>
          <w:szCs w:val="19"/>
          <w14:ligatures w14:val="standardContextual"/>
        </w:rPr>
      </w:pPr>
      <w:hyperlink w:anchor="_Toc163025281" w:history="1">
        <w:r w:rsidR="00864B1F" w:rsidRPr="004B0CF6">
          <w:rPr>
            <w:rStyle w:val="Hyperlink"/>
            <w:rFonts w:ascii="Tahoma" w:hAnsi="Tahoma" w:cs="Tahoma"/>
            <w:noProof/>
            <w:sz w:val="19"/>
            <w:szCs w:val="19"/>
          </w:rPr>
          <w:t>Licitações e contratos</w:t>
        </w:r>
        <w:r w:rsidR="00864B1F" w:rsidRPr="004B0CF6">
          <w:rPr>
            <w:rFonts w:ascii="Tahoma" w:hAnsi="Tahoma" w:cs="Tahoma"/>
            <w:noProof/>
            <w:sz w:val="19"/>
            <w:szCs w:val="19"/>
          </w:rPr>
          <w:tab/>
        </w:r>
        <w:r w:rsidR="00864B1F" w:rsidRPr="004B0CF6">
          <w:rPr>
            <w:rFonts w:ascii="Tahoma" w:hAnsi="Tahoma" w:cs="Tahoma"/>
            <w:noProof/>
            <w:sz w:val="19"/>
            <w:szCs w:val="19"/>
          </w:rPr>
          <w:fldChar w:fldCharType="begin"/>
        </w:r>
        <w:r w:rsidR="00864B1F" w:rsidRPr="004B0CF6">
          <w:rPr>
            <w:rFonts w:ascii="Tahoma" w:hAnsi="Tahoma" w:cs="Tahoma"/>
            <w:noProof/>
            <w:sz w:val="19"/>
            <w:szCs w:val="19"/>
          </w:rPr>
          <w:instrText xml:space="preserve"> PAGEREF _Toc163025281 \h </w:instrText>
        </w:r>
        <w:r w:rsidR="00864B1F" w:rsidRPr="004B0CF6">
          <w:rPr>
            <w:rFonts w:ascii="Tahoma" w:hAnsi="Tahoma" w:cs="Tahoma"/>
            <w:noProof/>
            <w:sz w:val="19"/>
            <w:szCs w:val="19"/>
          </w:rPr>
        </w:r>
        <w:r w:rsidR="00864B1F" w:rsidRPr="004B0CF6">
          <w:rPr>
            <w:rFonts w:ascii="Tahoma" w:hAnsi="Tahoma" w:cs="Tahoma"/>
            <w:noProof/>
            <w:sz w:val="19"/>
            <w:szCs w:val="19"/>
          </w:rPr>
          <w:fldChar w:fldCharType="separate"/>
        </w:r>
        <w:r w:rsidR="0026768B">
          <w:rPr>
            <w:rFonts w:ascii="Tahoma" w:hAnsi="Tahoma" w:cs="Tahoma"/>
            <w:noProof/>
            <w:sz w:val="19"/>
            <w:szCs w:val="19"/>
          </w:rPr>
          <w:t>107</w:t>
        </w:r>
        <w:r w:rsidR="00864B1F" w:rsidRPr="004B0CF6">
          <w:rPr>
            <w:rFonts w:ascii="Tahoma" w:hAnsi="Tahoma" w:cs="Tahoma"/>
            <w:noProof/>
            <w:sz w:val="19"/>
            <w:szCs w:val="19"/>
          </w:rPr>
          <w:fldChar w:fldCharType="end"/>
        </w:r>
      </w:hyperlink>
    </w:p>
    <w:p w14:paraId="5EF695EB" w14:textId="06675129" w:rsidR="00864B1F" w:rsidRPr="004B0CF6" w:rsidRDefault="00541FB6" w:rsidP="004B0CF6">
      <w:pPr>
        <w:pStyle w:val="Sumrio1"/>
        <w:rPr>
          <w:rFonts w:eastAsiaTheme="minorEastAsia"/>
          <w:noProof/>
          <w:kern w:val="2"/>
          <w14:ligatures w14:val="standardContextual"/>
        </w:rPr>
      </w:pPr>
      <w:hyperlink w:anchor="_Toc163025282" w:history="1">
        <w:r w:rsidR="00864B1F" w:rsidRPr="004B0CF6">
          <w:rPr>
            <w:rStyle w:val="Hyperlink"/>
            <w:rFonts w:eastAsiaTheme="majorEastAsia"/>
            <w:noProof/>
            <w:lang w:eastAsia="en-US"/>
          </w:rPr>
          <w:t>Nosso Futuro</w:t>
        </w:r>
        <w:r w:rsidR="00864B1F" w:rsidRPr="004B0CF6">
          <w:rPr>
            <w:noProof/>
          </w:rPr>
          <w:tab/>
        </w:r>
        <w:r w:rsidR="00864B1F" w:rsidRPr="004B0CF6">
          <w:rPr>
            <w:noProof/>
          </w:rPr>
          <w:fldChar w:fldCharType="begin"/>
        </w:r>
        <w:r w:rsidR="00864B1F" w:rsidRPr="004B0CF6">
          <w:rPr>
            <w:noProof/>
          </w:rPr>
          <w:instrText xml:space="preserve"> PAGEREF _Toc163025282 \h </w:instrText>
        </w:r>
        <w:r w:rsidR="00864B1F" w:rsidRPr="004B0CF6">
          <w:rPr>
            <w:noProof/>
          </w:rPr>
        </w:r>
        <w:r w:rsidR="00864B1F" w:rsidRPr="004B0CF6">
          <w:rPr>
            <w:noProof/>
          </w:rPr>
          <w:fldChar w:fldCharType="separate"/>
        </w:r>
        <w:r w:rsidR="0026768B">
          <w:rPr>
            <w:noProof/>
          </w:rPr>
          <w:t>111</w:t>
        </w:r>
        <w:r w:rsidR="00864B1F" w:rsidRPr="004B0CF6">
          <w:rPr>
            <w:noProof/>
          </w:rPr>
          <w:fldChar w:fldCharType="end"/>
        </w:r>
      </w:hyperlink>
    </w:p>
    <w:p w14:paraId="34E231C3" w14:textId="785CB149" w:rsidR="00864B1F" w:rsidRPr="004B0CF6" w:rsidRDefault="00541FB6" w:rsidP="004B0CF6">
      <w:pPr>
        <w:pStyle w:val="Sumrio1"/>
        <w:rPr>
          <w:rFonts w:eastAsiaTheme="minorEastAsia"/>
          <w:noProof/>
          <w:kern w:val="2"/>
          <w14:ligatures w14:val="standardContextual"/>
        </w:rPr>
      </w:pPr>
      <w:hyperlink w:anchor="_Toc163025283" w:history="1">
        <w:r w:rsidR="00864B1F" w:rsidRPr="004B0CF6">
          <w:rPr>
            <w:rStyle w:val="Hyperlink"/>
            <w:rFonts w:eastAsiaTheme="majorEastAsia"/>
            <w:noProof/>
            <w:lang w:eastAsia="en-US"/>
          </w:rPr>
          <w:t>Sumário GRI</w:t>
        </w:r>
        <w:r w:rsidR="00864B1F" w:rsidRPr="004B0CF6">
          <w:rPr>
            <w:noProof/>
          </w:rPr>
          <w:tab/>
        </w:r>
        <w:r w:rsidR="00864B1F" w:rsidRPr="004B0CF6">
          <w:rPr>
            <w:noProof/>
          </w:rPr>
          <w:fldChar w:fldCharType="begin"/>
        </w:r>
        <w:r w:rsidR="00864B1F" w:rsidRPr="004B0CF6">
          <w:rPr>
            <w:noProof/>
          </w:rPr>
          <w:instrText xml:space="preserve"> PAGEREF _Toc163025283 \h </w:instrText>
        </w:r>
        <w:r w:rsidR="00864B1F" w:rsidRPr="004B0CF6">
          <w:rPr>
            <w:noProof/>
          </w:rPr>
        </w:r>
        <w:r w:rsidR="00864B1F" w:rsidRPr="004B0CF6">
          <w:rPr>
            <w:noProof/>
          </w:rPr>
          <w:fldChar w:fldCharType="separate"/>
        </w:r>
        <w:r w:rsidR="0026768B">
          <w:rPr>
            <w:noProof/>
          </w:rPr>
          <w:t>112</w:t>
        </w:r>
        <w:r w:rsidR="00864B1F" w:rsidRPr="004B0CF6">
          <w:rPr>
            <w:noProof/>
          </w:rPr>
          <w:fldChar w:fldCharType="end"/>
        </w:r>
      </w:hyperlink>
    </w:p>
    <w:p w14:paraId="57FABEAB" w14:textId="0E38790E" w:rsidR="000D6D0A" w:rsidRDefault="00BB0E07" w:rsidP="00254F4A">
      <w:pPr>
        <w:pStyle w:val="Sumrio1"/>
        <w:sectPr w:rsidR="000D6D0A" w:rsidSect="00EF47B4">
          <w:headerReference w:type="default" r:id="rId16"/>
          <w:footerReference w:type="default" r:id="rId17"/>
          <w:pgSz w:w="11906" w:h="16838"/>
          <w:pgMar w:top="1440" w:right="1700" w:bottom="1440" w:left="1080" w:header="708" w:footer="708" w:gutter="0"/>
          <w:cols w:space="720"/>
        </w:sectPr>
      </w:pPr>
      <w:r w:rsidRPr="004B0CF6">
        <w:fldChar w:fldCharType="end"/>
      </w:r>
      <w:bookmarkStart w:id="0" w:name="_Toc92410420"/>
      <w:bookmarkStart w:id="1" w:name="_Toc92995157"/>
      <w:bookmarkStart w:id="2" w:name="_Toc93683619"/>
      <w:bookmarkStart w:id="3" w:name="_Toc94256453"/>
      <w:bookmarkStart w:id="4" w:name="_Toc94278178"/>
      <w:bookmarkStart w:id="5" w:name="_Toc97244788"/>
      <w:bookmarkStart w:id="6" w:name="_Toc105003775"/>
      <w:bookmarkStart w:id="7" w:name="_Toc105006458"/>
    </w:p>
    <w:p w14:paraId="59B78517" w14:textId="69BCDB1C" w:rsidR="006D6065" w:rsidRPr="0061399C" w:rsidRDefault="00BB0E07" w:rsidP="0061399C">
      <w:pPr>
        <w:pStyle w:val="Ttulo1"/>
        <w:spacing w:line="259" w:lineRule="auto"/>
        <w:ind w:left="432" w:hanging="432"/>
        <w:rPr>
          <w:rFonts w:ascii="Tahoma" w:eastAsiaTheme="majorEastAsia" w:hAnsi="Tahoma" w:cs="Tahoma"/>
          <w:color w:val="0098BA"/>
          <w:sz w:val="28"/>
          <w:szCs w:val="28"/>
          <w:lang w:eastAsia="en-US"/>
        </w:rPr>
      </w:pPr>
      <w:bookmarkStart w:id="8" w:name="_Toc131692225"/>
      <w:bookmarkStart w:id="9" w:name="_Toc163025240"/>
      <w:bookmarkStart w:id="10" w:name="_Toc162512577"/>
      <w:r w:rsidRPr="00923A56">
        <w:rPr>
          <w:rFonts w:ascii="Tahoma" w:eastAsiaTheme="majorEastAsia" w:hAnsi="Tahoma" w:cs="Tahoma"/>
          <w:color w:val="0098BA"/>
          <w:sz w:val="28"/>
          <w:szCs w:val="28"/>
          <w:lang w:eastAsia="en-US"/>
        </w:rPr>
        <w:lastRenderedPageBreak/>
        <w:t>Mensagem do Presidente</w:t>
      </w:r>
      <w:bookmarkEnd w:id="0"/>
      <w:bookmarkEnd w:id="1"/>
      <w:bookmarkEnd w:id="2"/>
      <w:bookmarkEnd w:id="3"/>
      <w:bookmarkEnd w:id="4"/>
      <w:bookmarkEnd w:id="5"/>
      <w:bookmarkEnd w:id="6"/>
      <w:bookmarkEnd w:id="7"/>
      <w:bookmarkEnd w:id="8"/>
      <w:bookmarkEnd w:id="9"/>
      <w:bookmarkEnd w:id="10"/>
    </w:p>
    <w:p w14:paraId="450842E2" w14:textId="1BCCE558" w:rsidR="000E101B" w:rsidRPr="00923A56" w:rsidRDefault="006D6065" w:rsidP="00870AAD">
      <w:pPr>
        <w:pStyle w:val="corpododocumento"/>
        <w:spacing w:after="120" w:line="360" w:lineRule="auto"/>
        <w:rPr>
          <w:color w:val="auto"/>
          <w:sz w:val="19"/>
          <w:szCs w:val="19"/>
        </w:rPr>
      </w:pPr>
      <w:r w:rsidRPr="00923A56">
        <w:rPr>
          <w:rFonts w:eastAsiaTheme="majorEastAsia"/>
          <w:noProof/>
          <w:color w:val="2F5496" w:themeColor="accent1" w:themeShade="BF"/>
          <w:sz w:val="19"/>
          <w:szCs w:val="19"/>
          <w:lang w:eastAsia="en-US"/>
        </w:rPr>
        <w:drawing>
          <wp:anchor distT="0" distB="0" distL="114300" distR="114300" simplePos="0" relativeHeight="251750400" behindDoc="0" locked="0" layoutInCell="1" allowOverlap="1" wp14:anchorId="507EAC3C" wp14:editId="23063823">
            <wp:simplePos x="0" y="0"/>
            <wp:positionH relativeFrom="column">
              <wp:posOffset>3807460</wp:posOffset>
            </wp:positionH>
            <wp:positionV relativeFrom="paragraph">
              <wp:posOffset>21645</wp:posOffset>
            </wp:positionV>
            <wp:extent cx="1897379" cy="1897379"/>
            <wp:effectExtent l="0" t="0" r="7621" b="7621"/>
            <wp:wrapTight wrapText="bothSides">
              <wp:wrapPolygon edited="0">
                <wp:start x="0" y="0"/>
                <wp:lineTo x="0" y="21477"/>
                <wp:lineTo x="21477" y="21477"/>
                <wp:lineTo x="21477" y="0"/>
                <wp:lineTo x="0" y="0"/>
              </wp:wrapPolygon>
            </wp:wrapTight>
            <wp:docPr id="175272980" name="Imagem 221" descr="Homem de terno e gravata e óculos&#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897379" cy="1897379"/>
                    </a:xfrm>
                    <a:prstGeom prst="rect">
                      <a:avLst/>
                    </a:prstGeom>
                    <a:noFill/>
                    <a:ln>
                      <a:noFill/>
                      <a:prstDash/>
                    </a:ln>
                  </pic:spPr>
                </pic:pic>
              </a:graphicData>
            </a:graphic>
          </wp:anchor>
        </w:drawing>
      </w:r>
    </w:p>
    <w:p w14:paraId="77289C35"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Nesse primeiro ano da atual gestão, a Finep atuou em consonância com o novo governo que promove a relevância do investimento em Ciência, Tecnologia e Inovação (CT&amp;I) como instrumento de desenvolvimento do país e estreitou o diálogo com as comunidades científica, industrial e empresarial. Nesse contexto, obtivemos resultados extremamente positivos que colocam a Finep em uma condição de forte protagonismo na alavancagem do Sistema Nacional de Ciência, Tecnologia e Inovação (SNCTI) e da nova Indústria Brasil.</w:t>
      </w:r>
    </w:p>
    <w:p w14:paraId="6BFDA433"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Em 2021, o Congresso Nacional aprovou a Lei Complementar 177 que impede o contingenciamento dos recursos do Fundo Nacional de Desenvolvimento Científico e Tecnológico (FNDCT) e altera sua condição de fundo contábil para financeiro. Além de ampliar o volume de recursos, torna o orçamento previsível e possibilita o planejamento das ações. Foram utilizados aproximadamente R$ 10 bilhões e, pela primeira vez nos últimos oito anos, os recursos do FNDCT foram disponibilizados em sua totalidade.</w:t>
      </w:r>
    </w:p>
    <w:p w14:paraId="7C91179C"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Além disso, o Presidente Lula editou Medida Provisória transformada em Lei pelo Congresso, que adota a Taxa Referencial (TR) como indexador dos empréstimos captados do FNDCT. Assim, a taxa de juros praticada pela Finep despencou de aproximadamente 6% para menos de 2% ao ano. Essa taxa aplicada no crédito voltado à inovação foi responsável por um crescimento extraordinário do interesse das empresas pelos recursos da FINEP e fez com que o número de empréstimos superasse as expectativas.</w:t>
      </w:r>
    </w:p>
    <w:p w14:paraId="6543A8D7"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 xml:space="preserve">O maior volume de recursos e as melhores condições de financiamento geraram trabalho intenso para o corpo funcional e corpo diretivo da Finep, que contratou 1.767 novos projetos, no valor de R$ 10,4 bilhões e liberou recursos para 2.543 projetos, no valor de R$ 7,5 bilhões, superando em 36% a meta prevista para o ano. </w:t>
      </w:r>
    </w:p>
    <w:p w14:paraId="6FB132F8"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 xml:space="preserve">Para além dessas marcas, a Finep também lançou e executou a 4ª edição do Mulheres Inovadoras, acelerando 31 startups, sendo sete da região Nordeste e seis de cada uma das outras regiões do Brasil. </w:t>
      </w:r>
    </w:p>
    <w:p w14:paraId="7BFD3F63"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Com atuação em todo o território nacional, os escritórios em Belém/PA, Fortaleza/CE, Brasília/DF, Florianópolis/SC, São Paulo/SP e sede no Rio de Janeiro/RJ foram demandados de forma intensa e o número de atividades como o FINEP Day se multiplicaram pelo país confirmando o grande interesse do público-alvo, ICTs e empresas, pelos mecanismos de apoio e financiamento de nossa empresa. Esta presença, aliada à descentralização dos recursos a partir de programas como o Tecnova, que lançou sua 3ª edição em 2023, com volume contratado de R$ 257.242.493,00 (recursos de subvenção e não-reembolsáveis), e o Centelha que contratou 498 Microempresas e Empresas de Pequeno Porte (EPP), amplia o alcance do fomento à inovação e à competitividade das Micro, Pequenas e Médias Empresas (MPMEs) brasileiras.</w:t>
      </w:r>
    </w:p>
    <w:p w14:paraId="3D75BD5D"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lastRenderedPageBreak/>
        <w:t>Na descentralização do crédito, agentes financeiros com operação regional, como Cresol Baser e Cresol Central, e nacional, como o Banco Sofisa, tiveram as primeiras operações, em 2023, nos estados do Amazonas, Roraima e Piauí. O volume contratado saltou de R$ 330.167.120,20 em 2022, com 163 contratos para R$ 1.461.049.814,62 em 2023, com 602 contratos firmados. As parcerias com novos agentes financeiros permitiram uma capilaridade ainda maior dos instrumentos de apoio a inovação em regiões como Norte, Nordeste e Centro-Oeste que contavam com poucos agentes descentralizados para operar os recursos da FINEP.</w:t>
      </w:r>
    </w:p>
    <w:p w14:paraId="68EE7120"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Em 2023, o governo federal reestruturou e reativou o Conselho Nacional de Desenvolvimento Industrial (CNDI), que foi criado em 2004 e estava sem funcionar há 7 anos. O Conselho propôs a nova política industrial que tem como objetivo fortalecer a indústria nacional em bases mais inovadoras, por meio de seis grandes eixos alinhados à nova política industrial. No programa Mais Inovação Brasil, que conta com recursos de R$ 66 bilhões até 2026, seremos responsáveis por R$ 41 bilhões.</w:t>
      </w:r>
    </w:p>
    <w:p w14:paraId="1E76B863"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 xml:space="preserve">Em resposta ao desafio apresentado pelo Presidente Lula, a Finep coordenou 13 seminários temáticos sobre a Neoindustrialização, tema do eixo II das reuniões temáticas, preparatórias para a 5ª Conferência Nacional de Ciência, Tecnologia e Inovação. A série de eventos teve início no dia 19 de dezembro de 2023 e foi finalizada em 27 de março de 2024, com a colaboração e participação de várias instituições, entre elas a Confederação Nacional da Indústria, o Conselho Nacional de Desenvolvimento Industrial, o Banco Nacional de Desenvolvimento Econômico e Social, a Associação Brasileira das Instituições de Pesquisa Tecnológica e Inovação, a Associação Nacional de Pesquisa e Desenvolvimento das Empresas Inovadoras, o Serviço Brasileiro de Apoio às Micro e Pequenas Empresas e o Ministério da Ciência, Tecnologia e Inovação. </w:t>
      </w:r>
    </w:p>
    <w:p w14:paraId="4B8C66AF"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 xml:space="preserve">Em julho de 2023, mais especificamente no dia de seu aniversário de 56 anos, dia 24, a Finep retomou o seu Conselho Consultivo durante a 75ª Reunião Anual da SBPC. Presidi a reunião, contando com a presença do Secretário de C&amp;T para o Desenvolvimento Social do MCTI e do presidente da SBPC. Foi um momento importante para refirmar o Conselho Consultivo como um instrumento relevante de gestão e não apenas uma estrutura formal. Depois dessa largada, fechamos o ano com três reuniões altamente produtivas e de grande êxito. Sem dúvida, o diálogo permanente com entidades como SBPC, ABC, ANDIFES, CONIF, ABRUEM, CONFAP, CONSECTI, dentre tantas outras, possibilita uma visão privilegiada de país no que concerne à política de CT&amp;I, possibilitando o aprimoramento dos editais e mecanismos de apoio ao setor. </w:t>
      </w:r>
    </w:p>
    <w:p w14:paraId="644C34AB"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Mas nenhuma empresa cresce sem olhar para seu corpo funcional e, sendo assim, nossa gestão fortaleceu o alinhamento das nossas atividades à visão estratégica de longo prazo, com foco na sustentabilidade social e equidade. Esta visão se refletiu na criação do Comitê Executivo de Diversidade e Sustentabilidade que orientará o comportamento ético e íntegro, o respeito às partes interessadas e aos direitos humanos, promovendo debates internos.</w:t>
      </w:r>
    </w:p>
    <w:p w14:paraId="5A8D6FF1"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 xml:space="preserve">Após quase dez anos sem o ingresso de novos analistas, lançamos o edital do Concurso Público da Finep. A iniciativa faz parte da estratégia de oxigenação do corpo funcional, no intuito de fazer frente aos desafios impostos à Finep para os próximos anos. O concurso observa os pilares da equidade e diversidade, ao aumentar a reserva de vagas para pessoas com deficiência e pessoas negras e estender os locais de prova para regiões nas quais a Finep possui representações, em linha com o ODS de redução das desigualdades. </w:t>
      </w:r>
    </w:p>
    <w:p w14:paraId="7F0C58FF"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lastRenderedPageBreak/>
        <w:t>Por fim, este relatório apresenta todo o trabalho da nossa gestão, com a demonstração dos resultados obtidos, com relação aos quais estamos plenamente satisfeitos. O Relato atende à Instrução Normativa TCU 84/2020, e cumpre o papel de relatório de gestão da Finep, uma das principais peças da prestação de contas anual publicadas pela empresa.</w:t>
      </w:r>
    </w:p>
    <w:p w14:paraId="17BF36C9" w14:textId="77777777" w:rsidR="00023622" w:rsidRPr="00023622" w:rsidRDefault="00023622" w:rsidP="00F311B9">
      <w:pPr>
        <w:pStyle w:val="corpododocumento"/>
        <w:spacing w:before="120" w:after="120" w:line="360" w:lineRule="auto"/>
        <w:rPr>
          <w:color w:val="auto"/>
          <w:sz w:val="19"/>
          <w:szCs w:val="19"/>
        </w:rPr>
      </w:pPr>
      <w:r w:rsidRPr="00023622">
        <w:rPr>
          <w:color w:val="auto"/>
          <w:sz w:val="19"/>
          <w:szCs w:val="19"/>
        </w:rPr>
        <w:t xml:space="preserve">A FINEP de fato voltou ao centro do sistema nacional de ciência, tecnologia e inovação. </w:t>
      </w:r>
    </w:p>
    <w:p w14:paraId="1B635C13" w14:textId="1DA57225" w:rsidR="000E101B" w:rsidRDefault="00023622" w:rsidP="00F311B9">
      <w:pPr>
        <w:pStyle w:val="corpododocumento"/>
        <w:spacing w:before="120" w:after="120" w:line="360" w:lineRule="auto"/>
        <w:rPr>
          <w:color w:val="auto"/>
          <w:sz w:val="19"/>
          <w:szCs w:val="19"/>
        </w:rPr>
      </w:pPr>
      <w:r w:rsidRPr="00023622">
        <w:rPr>
          <w:color w:val="auto"/>
          <w:sz w:val="19"/>
          <w:szCs w:val="19"/>
        </w:rPr>
        <w:t>Boa leitura!</w:t>
      </w:r>
    </w:p>
    <w:p w14:paraId="6D0734CA" w14:textId="77777777" w:rsidR="007218EA" w:rsidRDefault="007218EA" w:rsidP="00F311B9">
      <w:pPr>
        <w:pStyle w:val="corpododocumento"/>
        <w:spacing w:before="120" w:after="120" w:line="360" w:lineRule="auto"/>
        <w:rPr>
          <w:color w:val="auto"/>
          <w:sz w:val="19"/>
          <w:szCs w:val="19"/>
        </w:rPr>
      </w:pPr>
    </w:p>
    <w:p w14:paraId="294C075F" w14:textId="7814CC7B" w:rsidR="004710A1" w:rsidRPr="002C7B08" w:rsidRDefault="004710A1" w:rsidP="002C7B08">
      <w:pPr>
        <w:pStyle w:val="corpododocumento"/>
        <w:spacing w:after="120" w:line="360" w:lineRule="auto"/>
        <w:rPr>
          <w:color w:val="0098BA"/>
          <w:sz w:val="26"/>
          <w:szCs w:val="26"/>
        </w:rPr>
      </w:pPr>
      <w:r w:rsidRPr="002C7B08">
        <w:rPr>
          <w:color w:val="0098BA"/>
          <w:sz w:val="26"/>
          <w:szCs w:val="26"/>
        </w:rPr>
        <w:t>Declaração da missão, visão, valores e perfil de atuação da empresa</w:t>
      </w:r>
    </w:p>
    <w:p w14:paraId="30BACF5A" w14:textId="238FE50E" w:rsidR="000E101B" w:rsidRPr="00923A56" w:rsidRDefault="000E101B" w:rsidP="002C7B08">
      <w:pPr>
        <w:spacing w:before="120" w:after="120" w:line="360" w:lineRule="auto"/>
        <w:rPr>
          <w:rFonts w:ascii="Tahoma" w:hAnsi="Tahoma" w:cs="Tahoma"/>
          <w:sz w:val="19"/>
          <w:szCs w:val="19"/>
        </w:rPr>
      </w:pPr>
      <w:r w:rsidRPr="00923A56">
        <w:rPr>
          <w:rFonts w:ascii="Tahoma" w:hAnsi="Tahoma" w:cs="Tahoma"/>
          <w:noProof/>
          <w:sz w:val="19"/>
          <w:szCs w:val="19"/>
        </w:rPr>
        <w:drawing>
          <wp:inline distT="0" distB="0" distL="0" distR="0" wp14:anchorId="625318D5" wp14:editId="6D5E8081">
            <wp:extent cx="3682102" cy="3681454"/>
            <wp:effectExtent l="0" t="0" r="0" b="0"/>
            <wp:docPr id="1510626530" name="Imagem 1" descr="Gráfic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26530" name="Imagem 1510626530" descr="Gráfico, Diagrama&#10;&#10;Descrição gerada automaticamente"/>
                    <pic:cNvPicPr>
                      <a:picLocks noChangeAspect="1"/>
                    </pic:cNvPicPr>
                  </pic:nvPicPr>
                  <pic:blipFill>
                    <a:blip r:embed="rId19"/>
                    <a:stretch>
                      <a:fillRect/>
                    </a:stretch>
                  </pic:blipFill>
                  <pic:spPr>
                    <a:xfrm>
                      <a:off x="0" y="0"/>
                      <a:ext cx="3689622" cy="3688972"/>
                    </a:xfrm>
                    <a:prstGeom prst="rect">
                      <a:avLst/>
                    </a:prstGeom>
                  </pic:spPr>
                </pic:pic>
              </a:graphicData>
            </a:graphic>
          </wp:inline>
        </w:drawing>
      </w:r>
    </w:p>
    <w:p w14:paraId="79EACA77" w14:textId="77777777" w:rsidR="000E101B" w:rsidRDefault="000E101B" w:rsidP="000E101B">
      <w:pPr>
        <w:spacing w:before="120" w:after="120" w:line="360" w:lineRule="auto"/>
        <w:rPr>
          <w:rFonts w:ascii="Tahoma" w:hAnsi="Tahoma" w:cs="Tahoma"/>
          <w:sz w:val="19"/>
          <w:szCs w:val="19"/>
        </w:rPr>
      </w:pPr>
    </w:p>
    <w:p w14:paraId="00A8DA28" w14:textId="68C5EFD8" w:rsidR="007218EA" w:rsidRDefault="007218EA">
      <w:pPr>
        <w:autoSpaceDN w:val="0"/>
        <w:spacing w:after="160"/>
        <w:textAlignment w:val="baseline"/>
        <w:rPr>
          <w:rFonts w:ascii="Tahoma" w:hAnsi="Tahoma" w:cs="Tahoma"/>
          <w:sz w:val="19"/>
          <w:szCs w:val="19"/>
        </w:rPr>
      </w:pPr>
      <w:r>
        <w:rPr>
          <w:rFonts w:ascii="Tahoma" w:hAnsi="Tahoma" w:cs="Tahoma"/>
          <w:sz w:val="19"/>
          <w:szCs w:val="19"/>
        </w:rPr>
        <w:br w:type="page"/>
      </w:r>
    </w:p>
    <w:p w14:paraId="61FE5591" w14:textId="1866EE3B" w:rsidR="002F39AA" w:rsidRPr="00C5254E" w:rsidRDefault="002F39AA" w:rsidP="002F39AA">
      <w:pPr>
        <w:pStyle w:val="Ttulo2"/>
        <w:spacing w:before="0" w:after="120" w:line="360" w:lineRule="auto"/>
        <w:ind w:left="862" w:hanging="578"/>
        <w:rPr>
          <w:rFonts w:ascii="Tahoma" w:hAnsi="Tahoma" w:cs="Tahoma"/>
          <w:color w:val="0098BA"/>
        </w:rPr>
      </w:pPr>
      <w:bookmarkStart w:id="11" w:name="_Toc105003776"/>
      <w:bookmarkStart w:id="12" w:name="_Toc105006459"/>
      <w:bookmarkStart w:id="13" w:name="_Toc129115508"/>
      <w:bookmarkStart w:id="14" w:name="_Toc131692226"/>
      <w:bookmarkStart w:id="15" w:name="_Toc163025241"/>
      <w:bookmarkStart w:id="16" w:name="_Toc162512578"/>
      <w:bookmarkStart w:id="17" w:name="_Hlk128573821"/>
      <w:r w:rsidRPr="00C5254E">
        <w:rPr>
          <w:rFonts w:ascii="Tahoma" w:hAnsi="Tahoma" w:cs="Tahoma"/>
          <w:color w:val="0098BA"/>
        </w:rPr>
        <w:lastRenderedPageBreak/>
        <w:t xml:space="preserve">Finep em </w:t>
      </w:r>
      <w:bookmarkEnd w:id="11"/>
      <w:bookmarkEnd w:id="12"/>
      <w:bookmarkEnd w:id="13"/>
      <w:bookmarkEnd w:id="14"/>
      <w:r w:rsidR="007218EA" w:rsidRPr="00C5254E">
        <w:rPr>
          <w:rFonts w:ascii="Tahoma" w:hAnsi="Tahoma" w:cs="Tahoma"/>
          <w:color w:val="0098BA"/>
        </w:rPr>
        <w:t>números</w:t>
      </w:r>
      <w:bookmarkEnd w:id="15"/>
      <w:bookmarkEnd w:id="16"/>
    </w:p>
    <w:p w14:paraId="61EE03E7" w14:textId="41A3FE87" w:rsidR="003831BA" w:rsidRDefault="003831BA" w:rsidP="002F39AA">
      <w:pPr>
        <w:spacing w:before="120" w:after="120" w:line="360" w:lineRule="auto"/>
        <w:rPr>
          <w:rFonts w:ascii="Tahoma" w:hAnsi="Tahoma" w:cs="Tahoma"/>
          <w:sz w:val="19"/>
          <w:szCs w:val="19"/>
        </w:rPr>
      </w:pPr>
    </w:p>
    <w:p w14:paraId="4BF15987" w14:textId="77777777" w:rsidR="002C7B08" w:rsidRPr="00DC50D6" w:rsidRDefault="002C7B08" w:rsidP="002C7B08">
      <w:pPr>
        <w:autoSpaceDN w:val="0"/>
        <w:spacing w:after="160"/>
        <w:textAlignment w:val="baseline"/>
        <w:rPr>
          <w:rFonts w:ascii="Tahoma" w:hAnsi="Tahoma" w:cs="Tahoma"/>
          <w:color w:val="0098BA"/>
          <w:sz w:val="19"/>
          <w:szCs w:val="19"/>
        </w:rPr>
      </w:pPr>
      <w:r w:rsidRPr="00C0577B">
        <w:rPr>
          <w:rFonts w:ascii="Tahoma" w:hAnsi="Tahoma" w:cs="Tahoma"/>
          <w:color w:val="0098BA"/>
          <w:sz w:val="19"/>
          <w:szCs w:val="19"/>
        </w:rPr>
        <w:t xml:space="preserve">Síntese do desempenho operacional por instrumento - </w:t>
      </w:r>
      <w:r>
        <w:rPr>
          <w:rFonts w:ascii="Tahoma" w:hAnsi="Tahoma" w:cs="Tahoma"/>
          <w:color w:val="0098BA"/>
          <w:sz w:val="19"/>
          <w:szCs w:val="19"/>
        </w:rPr>
        <w:t>2023</w:t>
      </w:r>
    </w:p>
    <w:tbl>
      <w:tblPr>
        <w:tblW w:w="10529" w:type="dxa"/>
        <w:tblInd w:w="-289" w:type="dxa"/>
        <w:tblCellMar>
          <w:left w:w="10" w:type="dxa"/>
          <w:right w:w="10" w:type="dxa"/>
        </w:tblCellMar>
        <w:tblLook w:val="04A0" w:firstRow="1" w:lastRow="0" w:firstColumn="1" w:lastColumn="0" w:noHBand="0" w:noVBand="1"/>
      </w:tblPr>
      <w:tblGrid>
        <w:gridCol w:w="3397"/>
        <w:gridCol w:w="1560"/>
        <w:gridCol w:w="1951"/>
        <w:gridCol w:w="1418"/>
        <w:gridCol w:w="2203"/>
      </w:tblGrid>
      <w:tr w:rsidR="00C90AE6" w:rsidRPr="00C90AE6" w14:paraId="17AE1A95" w14:textId="77777777" w:rsidTr="00C90AE6">
        <w:trPr>
          <w:trHeight w:val="330"/>
        </w:trPr>
        <w:tc>
          <w:tcPr>
            <w:tcW w:w="3397" w:type="dxa"/>
            <w:vMerge w:val="restart"/>
            <w:tcBorders>
              <w:top w:val="single" w:sz="4" w:space="0" w:color="D9D9D9"/>
              <w:left w:val="single" w:sz="4" w:space="0" w:color="D9D9D9"/>
              <w:bottom w:val="single" w:sz="4" w:space="0" w:color="D9D9D9"/>
              <w:right w:val="single" w:sz="4" w:space="0" w:color="D9D9D9"/>
            </w:tcBorders>
            <w:shd w:val="clear" w:color="auto" w:fill="0098BA"/>
            <w:noWrap/>
            <w:tcMar>
              <w:top w:w="0" w:type="dxa"/>
              <w:left w:w="70" w:type="dxa"/>
              <w:bottom w:w="0" w:type="dxa"/>
              <w:right w:w="70" w:type="dxa"/>
            </w:tcMar>
            <w:vAlign w:val="center"/>
          </w:tcPr>
          <w:p w14:paraId="050468FD" w14:textId="4A2CBB58" w:rsidR="002C7B08" w:rsidRPr="00C90AE6" w:rsidRDefault="00C90AE6" w:rsidP="00C90AE6">
            <w:pPr>
              <w:jc w:val="center"/>
              <w:rPr>
                <w:rFonts w:ascii="Tahoma" w:hAnsi="Tahoma" w:cs="Tahoma"/>
                <w:color w:val="FFFFFF" w:themeColor="background1"/>
                <w:sz w:val="19"/>
                <w:szCs w:val="19"/>
              </w:rPr>
            </w:pPr>
            <w:r w:rsidRPr="00C90AE6">
              <w:rPr>
                <w:rFonts w:ascii="Tahoma" w:hAnsi="Tahoma" w:cs="Tahoma"/>
                <w:color w:val="FFFFFF" w:themeColor="background1"/>
                <w:sz w:val="19"/>
                <w:szCs w:val="19"/>
              </w:rPr>
              <w:t>i</w:t>
            </w:r>
            <w:r w:rsidR="002C7B08" w:rsidRPr="00C90AE6">
              <w:rPr>
                <w:rFonts w:ascii="Tahoma" w:hAnsi="Tahoma" w:cs="Tahoma"/>
                <w:color w:val="FFFFFF" w:themeColor="background1"/>
                <w:sz w:val="19"/>
                <w:szCs w:val="19"/>
              </w:rPr>
              <w:t>nstrumento</w:t>
            </w:r>
          </w:p>
        </w:tc>
        <w:tc>
          <w:tcPr>
            <w:tcW w:w="3511" w:type="dxa"/>
            <w:gridSpan w:val="2"/>
            <w:tcBorders>
              <w:top w:val="single" w:sz="4" w:space="0" w:color="D9D9D9"/>
              <w:bottom w:val="single" w:sz="4" w:space="0" w:color="D9D9D9"/>
              <w:right w:val="single" w:sz="4" w:space="0" w:color="D9D9D9"/>
            </w:tcBorders>
            <w:shd w:val="clear" w:color="auto" w:fill="0098BA"/>
            <w:noWrap/>
            <w:tcMar>
              <w:top w:w="0" w:type="dxa"/>
              <w:left w:w="70" w:type="dxa"/>
              <w:bottom w:w="0" w:type="dxa"/>
              <w:right w:w="70" w:type="dxa"/>
            </w:tcMar>
            <w:vAlign w:val="center"/>
          </w:tcPr>
          <w:p w14:paraId="153C5654" w14:textId="77777777" w:rsidR="002C7B08" w:rsidRPr="00C90AE6" w:rsidRDefault="002C7B08" w:rsidP="00C90AE6">
            <w:pPr>
              <w:jc w:val="center"/>
              <w:rPr>
                <w:rFonts w:ascii="Tahoma" w:hAnsi="Tahoma" w:cs="Tahoma"/>
                <w:color w:val="FFFFFF" w:themeColor="background1"/>
                <w:sz w:val="19"/>
                <w:szCs w:val="19"/>
              </w:rPr>
            </w:pPr>
            <w:r w:rsidRPr="00C90AE6">
              <w:rPr>
                <w:rFonts w:ascii="Tahoma" w:hAnsi="Tahoma" w:cs="Tahoma"/>
                <w:color w:val="FFFFFF" w:themeColor="background1"/>
                <w:sz w:val="19"/>
                <w:szCs w:val="19"/>
              </w:rPr>
              <w:t>contratação 2023</w:t>
            </w:r>
          </w:p>
        </w:tc>
        <w:tc>
          <w:tcPr>
            <w:tcW w:w="3621" w:type="dxa"/>
            <w:gridSpan w:val="2"/>
            <w:tcBorders>
              <w:top w:val="single" w:sz="4" w:space="0" w:color="D9D9D9"/>
              <w:bottom w:val="single" w:sz="4" w:space="0" w:color="D9D9D9"/>
              <w:right w:val="single" w:sz="4" w:space="0" w:color="D9D9D9"/>
            </w:tcBorders>
            <w:shd w:val="clear" w:color="auto" w:fill="0098BA"/>
            <w:noWrap/>
            <w:tcMar>
              <w:top w:w="0" w:type="dxa"/>
              <w:left w:w="70" w:type="dxa"/>
              <w:bottom w:w="0" w:type="dxa"/>
              <w:right w:w="70" w:type="dxa"/>
            </w:tcMar>
            <w:vAlign w:val="center"/>
          </w:tcPr>
          <w:p w14:paraId="46C892A2" w14:textId="285F8EAA" w:rsidR="002C7B08" w:rsidRPr="00C90AE6" w:rsidRDefault="002C7B08" w:rsidP="00C90AE6">
            <w:pPr>
              <w:jc w:val="center"/>
              <w:rPr>
                <w:rFonts w:ascii="Tahoma" w:hAnsi="Tahoma" w:cs="Tahoma"/>
                <w:color w:val="FFFFFF" w:themeColor="background1"/>
                <w:sz w:val="19"/>
                <w:szCs w:val="19"/>
              </w:rPr>
            </w:pPr>
            <w:r w:rsidRPr="00C90AE6">
              <w:rPr>
                <w:rFonts w:ascii="Tahoma" w:hAnsi="Tahoma" w:cs="Tahoma"/>
                <w:color w:val="FFFFFF" w:themeColor="background1"/>
                <w:sz w:val="19"/>
                <w:szCs w:val="19"/>
              </w:rPr>
              <w:t xml:space="preserve">liberação </w:t>
            </w:r>
            <w:r w:rsidR="008B02D3" w:rsidRPr="00C90AE6">
              <w:rPr>
                <w:rFonts w:ascii="Tahoma" w:hAnsi="Tahoma" w:cs="Tahoma"/>
                <w:color w:val="FFFFFF" w:themeColor="background1"/>
                <w:sz w:val="19"/>
                <w:szCs w:val="19"/>
              </w:rPr>
              <w:t xml:space="preserve">/ transferência </w:t>
            </w:r>
            <w:r w:rsidRPr="00C90AE6">
              <w:rPr>
                <w:rFonts w:ascii="Tahoma" w:hAnsi="Tahoma" w:cs="Tahoma"/>
                <w:color w:val="FFFFFF" w:themeColor="background1"/>
                <w:sz w:val="19"/>
                <w:szCs w:val="19"/>
              </w:rPr>
              <w:t>2023</w:t>
            </w:r>
          </w:p>
        </w:tc>
      </w:tr>
      <w:tr w:rsidR="002C7B08" w:rsidRPr="00C90AE6" w14:paraId="5A0CA252" w14:textId="77777777" w:rsidTr="00C90AE6">
        <w:trPr>
          <w:trHeight w:val="927"/>
        </w:trPr>
        <w:tc>
          <w:tcPr>
            <w:tcW w:w="3397" w:type="dxa"/>
            <w:vMerge/>
            <w:tcBorders>
              <w:top w:val="single" w:sz="4" w:space="0" w:color="D9D9D9"/>
              <w:left w:val="single" w:sz="4" w:space="0" w:color="D9D9D9"/>
              <w:bottom w:val="single" w:sz="4" w:space="0" w:color="D9D9D9"/>
              <w:right w:val="single" w:sz="4" w:space="0" w:color="D9D9D9"/>
            </w:tcBorders>
            <w:shd w:val="clear" w:color="auto" w:fill="0098BA"/>
            <w:noWrap/>
            <w:tcMar>
              <w:top w:w="0" w:type="dxa"/>
              <w:left w:w="70" w:type="dxa"/>
              <w:bottom w:w="0" w:type="dxa"/>
              <w:right w:w="70" w:type="dxa"/>
            </w:tcMar>
            <w:vAlign w:val="center"/>
          </w:tcPr>
          <w:p w14:paraId="0D3E95C8" w14:textId="77777777" w:rsidR="002C7B08" w:rsidRPr="00C90AE6" w:rsidRDefault="002C7B08" w:rsidP="006C1650">
            <w:pPr>
              <w:rPr>
                <w:rFonts w:ascii="Tahoma" w:hAnsi="Tahoma" w:cs="Tahoma"/>
                <w:color w:val="FFFFFF"/>
                <w:sz w:val="19"/>
                <w:szCs w:val="19"/>
              </w:rPr>
            </w:pPr>
          </w:p>
        </w:tc>
        <w:tc>
          <w:tcPr>
            <w:tcW w:w="1560" w:type="dxa"/>
            <w:tcBorders>
              <w:top w:val="single" w:sz="4" w:space="0" w:color="D9D9D9"/>
              <w:bottom w:val="single" w:sz="4" w:space="0" w:color="D9D9D9"/>
              <w:right w:val="single" w:sz="4" w:space="0" w:color="D9D9D9"/>
            </w:tcBorders>
            <w:shd w:val="clear" w:color="auto" w:fill="0098BA"/>
            <w:tcMar>
              <w:top w:w="0" w:type="dxa"/>
              <w:left w:w="70" w:type="dxa"/>
              <w:bottom w:w="0" w:type="dxa"/>
              <w:right w:w="70" w:type="dxa"/>
            </w:tcMar>
            <w:vAlign w:val="center"/>
          </w:tcPr>
          <w:p w14:paraId="3504D05B" w14:textId="402AE8C8" w:rsidR="002C7B08" w:rsidRPr="00C90AE6" w:rsidRDefault="002C7B08" w:rsidP="00C90AE6">
            <w:pPr>
              <w:jc w:val="center"/>
              <w:rPr>
                <w:rFonts w:ascii="Tahoma" w:hAnsi="Tahoma" w:cs="Tahoma"/>
                <w:color w:val="FFFFFF" w:themeColor="background1"/>
                <w:sz w:val="19"/>
                <w:szCs w:val="19"/>
              </w:rPr>
            </w:pPr>
            <w:r w:rsidRPr="00C90AE6">
              <w:rPr>
                <w:rFonts w:ascii="Tahoma" w:hAnsi="Tahoma" w:cs="Tahoma"/>
                <w:color w:val="FFFFFF" w:themeColor="background1"/>
                <w:sz w:val="19"/>
                <w:szCs w:val="19"/>
              </w:rPr>
              <w:t xml:space="preserve">número de projetos </w:t>
            </w:r>
            <w:r w:rsidR="001C0561" w:rsidRPr="00C90AE6">
              <w:rPr>
                <w:rFonts w:ascii="Tahoma" w:hAnsi="Tahoma" w:cs="Tahoma"/>
                <w:color w:val="FFFFFF" w:themeColor="background1"/>
                <w:sz w:val="19"/>
                <w:szCs w:val="19"/>
              </w:rPr>
              <w:t xml:space="preserve">/ TEDs </w:t>
            </w:r>
            <w:r w:rsidRPr="00C90AE6">
              <w:rPr>
                <w:rFonts w:ascii="Tahoma" w:hAnsi="Tahoma" w:cs="Tahoma"/>
                <w:color w:val="FFFFFF" w:themeColor="background1"/>
                <w:sz w:val="19"/>
                <w:szCs w:val="19"/>
              </w:rPr>
              <w:t>contratados</w:t>
            </w:r>
          </w:p>
        </w:tc>
        <w:tc>
          <w:tcPr>
            <w:tcW w:w="1951" w:type="dxa"/>
            <w:tcBorders>
              <w:top w:val="single" w:sz="4" w:space="0" w:color="D9D9D9"/>
              <w:bottom w:val="single" w:sz="4" w:space="0" w:color="D9D9D9"/>
              <w:right w:val="single" w:sz="4" w:space="0" w:color="D9D9D9"/>
            </w:tcBorders>
            <w:shd w:val="clear" w:color="auto" w:fill="0098BA"/>
            <w:tcMar>
              <w:top w:w="0" w:type="dxa"/>
              <w:left w:w="70" w:type="dxa"/>
              <w:bottom w:w="0" w:type="dxa"/>
              <w:right w:w="70" w:type="dxa"/>
            </w:tcMar>
            <w:vAlign w:val="center"/>
          </w:tcPr>
          <w:p w14:paraId="14B9FD77" w14:textId="77777777" w:rsidR="002C7B08" w:rsidRPr="00C90AE6" w:rsidRDefault="002C7B08" w:rsidP="00C90AE6">
            <w:pPr>
              <w:jc w:val="center"/>
              <w:rPr>
                <w:rFonts w:ascii="Tahoma" w:hAnsi="Tahoma" w:cs="Tahoma"/>
                <w:color w:val="FFFFFF" w:themeColor="background1"/>
                <w:sz w:val="19"/>
                <w:szCs w:val="19"/>
              </w:rPr>
            </w:pPr>
            <w:r w:rsidRPr="00C90AE6">
              <w:rPr>
                <w:rFonts w:ascii="Tahoma" w:hAnsi="Tahoma" w:cs="Tahoma"/>
                <w:color w:val="FFFFFF" w:themeColor="background1"/>
                <w:sz w:val="19"/>
                <w:szCs w:val="19"/>
              </w:rPr>
              <w:t>valor contratado (R$)</w:t>
            </w:r>
          </w:p>
        </w:tc>
        <w:tc>
          <w:tcPr>
            <w:tcW w:w="1418" w:type="dxa"/>
            <w:tcBorders>
              <w:top w:val="single" w:sz="4" w:space="0" w:color="D9D9D9"/>
              <w:bottom w:val="single" w:sz="4" w:space="0" w:color="D9D9D9"/>
              <w:right w:val="single" w:sz="4" w:space="0" w:color="D9D9D9"/>
            </w:tcBorders>
            <w:shd w:val="clear" w:color="auto" w:fill="0098BA"/>
            <w:tcMar>
              <w:top w:w="0" w:type="dxa"/>
              <w:left w:w="70" w:type="dxa"/>
              <w:bottom w:w="0" w:type="dxa"/>
              <w:right w:w="70" w:type="dxa"/>
            </w:tcMar>
            <w:vAlign w:val="center"/>
          </w:tcPr>
          <w:p w14:paraId="3E3D7FDE" w14:textId="69CF402C" w:rsidR="002C7B08" w:rsidRPr="00C90AE6" w:rsidRDefault="002C7B08" w:rsidP="00C90AE6">
            <w:pPr>
              <w:jc w:val="center"/>
              <w:rPr>
                <w:rFonts w:ascii="Tahoma" w:hAnsi="Tahoma" w:cs="Tahoma"/>
                <w:color w:val="FFFFFF" w:themeColor="background1"/>
                <w:sz w:val="19"/>
                <w:szCs w:val="19"/>
              </w:rPr>
            </w:pPr>
            <w:r w:rsidRPr="00C90AE6">
              <w:rPr>
                <w:rFonts w:ascii="Tahoma" w:hAnsi="Tahoma" w:cs="Tahoma"/>
                <w:color w:val="FFFFFF" w:themeColor="background1"/>
                <w:sz w:val="19"/>
                <w:szCs w:val="19"/>
              </w:rPr>
              <w:t xml:space="preserve">úmero de projetos </w:t>
            </w:r>
            <w:r w:rsidR="008B02D3" w:rsidRPr="00C90AE6">
              <w:rPr>
                <w:rFonts w:ascii="Tahoma" w:hAnsi="Tahoma" w:cs="Tahoma"/>
                <w:color w:val="FFFFFF" w:themeColor="background1"/>
                <w:sz w:val="19"/>
                <w:szCs w:val="19"/>
              </w:rPr>
              <w:t xml:space="preserve">ou TEDs </w:t>
            </w:r>
            <w:r w:rsidRPr="00C90AE6">
              <w:rPr>
                <w:rFonts w:ascii="Tahoma" w:hAnsi="Tahoma" w:cs="Tahoma"/>
                <w:color w:val="FFFFFF" w:themeColor="background1"/>
                <w:sz w:val="19"/>
                <w:szCs w:val="19"/>
              </w:rPr>
              <w:t>que receberam liberações</w:t>
            </w:r>
          </w:p>
        </w:tc>
        <w:tc>
          <w:tcPr>
            <w:tcW w:w="2203" w:type="dxa"/>
            <w:tcBorders>
              <w:top w:val="single" w:sz="4" w:space="0" w:color="D9D9D9"/>
              <w:bottom w:val="single" w:sz="4" w:space="0" w:color="D9D9D9"/>
              <w:right w:val="single" w:sz="4" w:space="0" w:color="D9D9D9"/>
            </w:tcBorders>
            <w:shd w:val="clear" w:color="auto" w:fill="0098BA"/>
            <w:tcMar>
              <w:top w:w="0" w:type="dxa"/>
              <w:left w:w="70" w:type="dxa"/>
              <w:bottom w:w="0" w:type="dxa"/>
              <w:right w:w="70" w:type="dxa"/>
            </w:tcMar>
            <w:vAlign w:val="center"/>
          </w:tcPr>
          <w:p w14:paraId="585F45FB" w14:textId="468156C4" w:rsidR="002C7B08" w:rsidRPr="00C90AE6" w:rsidRDefault="002C7B08" w:rsidP="00C90AE6">
            <w:pPr>
              <w:jc w:val="center"/>
              <w:rPr>
                <w:rFonts w:ascii="Tahoma" w:hAnsi="Tahoma" w:cs="Tahoma"/>
                <w:color w:val="FFFFFF" w:themeColor="background1"/>
                <w:sz w:val="19"/>
                <w:szCs w:val="19"/>
              </w:rPr>
            </w:pPr>
            <w:r w:rsidRPr="00C90AE6">
              <w:rPr>
                <w:rFonts w:ascii="Tahoma" w:hAnsi="Tahoma" w:cs="Tahoma"/>
                <w:color w:val="FFFFFF" w:themeColor="background1"/>
                <w:sz w:val="19"/>
                <w:szCs w:val="19"/>
              </w:rPr>
              <w:t>Valor liberado</w:t>
            </w:r>
            <w:r w:rsidR="008B02D3" w:rsidRPr="00C90AE6">
              <w:rPr>
                <w:rFonts w:ascii="Tahoma" w:hAnsi="Tahoma" w:cs="Tahoma"/>
                <w:color w:val="FFFFFF" w:themeColor="background1"/>
                <w:sz w:val="19"/>
                <w:szCs w:val="19"/>
              </w:rPr>
              <w:t xml:space="preserve"> / transferido </w:t>
            </w:r>
            <w:r w:rsidRPr="00C90AE6">
              <w:rPr>
                <w:rFonts w:ascii="Tahoma" w:hAnsi="Tahoma" w:cs="Tahoma"/>
                <w:color w:val="FFFFFF" w:themeColor="background1"/>
                <w:sz w:val="19"/>
                <w:szCs w:val="19"/>
              </w:rPr>
              <w:t>(R$)</w:t>
            </w:r>
          </w:p>
        </w:tc>
      </w:tr>
      <w:tr w:rsidR="002C7B08" w:rsidRPr="00C90AE6" w14:paraId="5A22A70B" w14:textId="77777777" w:rsidTr="006C1650">
        <w:trPr>
          <w:trHeight w:val="259"/>
        </w:trPr>
        <w:tc>
          <w:tcPr>
            <w:tcW w:w="3397" w:type="dxa"/>
            <w:tcBorders>
              <w:top w:val="single" w:sz="4" w:space="0" w:color="D9D9D9"/>
              <w:right w:val="single" w:sz="4" w:space="0" w:color="D9D9D9"/>
            </w:tcBorders>
            <w:shd w:val="clear" w:color="auto" w:fill="auto"/>
            <w:noWrap/>
            <w:tcMar>
              <w:top w:w="0" w:type="dxa"/>
              <w:left w:w="70" w:type="dxa"/>
              <w:bottom w:w="0" w:type="dxa"/>
              <w:right w:w="70" w:type="dxa"/>
            </w:tcMar>
            <w:vAlign w:val="center"/>
          </w:tcPr>
          <w:p w14:paraId="31BC1276" w14:textId="77777777" w:rsidR="002C7B08" w:rsidRPr="00C90AE6" w:rsidRDefault="002C7B08" w:rsidP="006C1650">
            <w:pPr>
              <w:rPr>
                <w:rFonts w:ascii="Tahoma" w:hAnsi="Tahoma" w:cs="Tahoma"/>
                <w:color w:val="000000"/>
                <w:sz w:val="19"/>
                <w:szCs w:val="19"/>
              </w:rPr>
            </w:pPr>
            <w:r w:rsidRPr="00C90AE6">
              <w:rPr>
                <w:rFonts w:ascii="Tahoma" w:hAnsi="Tahoma" w:cs="Tahoma"/>
                <w:color w:val="000000"/>
                <w:sz w:val="19"/>
                <w:szCs w:val="19"/>
              </w:rPr>
              <w:t>Não reembolsável ICTs</w:t>
            </w:r>
          </w:p>
        </w:tc>
        <w:tc>
          <w:tcPr>
            <w:tcW w:w="1560" w:type="dxa"/>
            <w:tcBorders>
              <w:top w:val="single" w:sz="4" w:space="0" w:color="D9D9D9"/>
              <w:left w:val="single" w:sz="4" w:space="0" w:color="D9D9D9"/>
              <w:right w:val="single" w:sz="4" w:space="0" w:color="D9D9D9"/>
            </w:tcBorders>
            <w:shd w:val="clear" w:color="auto" w:fill="auto"/>
            <w:noWrap/>
            <w:tcMar>
              <w:top w:w="0" w:type="dxa"/>
              <w:left w:w="70" w:type="dxa"/>
              <w:bottom w:w="0" w:type="dxa"/>
              <w:right w:w="70" w:type="dxa"/>
            </w:tcMar>
          </w:tcPr>
          <w:p w14:paraId="171CF736" w14:textId="77777777" w:rsidR="002C7B08" w:rsidRPr="00C90AE6" w:rsidRDefault="002C7B08" w:rsidP="006C1650">
            <w:pPr>
              <w:jc w:val="center"/>
              <w:rPr>
                <w:rFonts w:ascii="Tahoma" w:hAnsi="Tahoma" w:cs="Tahoma"/>
                <w:color w:val="000000"/>
                <w:sz w:val="19"/>
                <w:szCs w:val="19"/>
              </w:rPr>
            </w:pPr>
            <w:r w:rsidRPr="00C90AE6">
              <w:rPr>
                <w:rFonts w:ascii="Tahoma" w:hAnsi="Tahoma" w:cs="Tahoma"/>
                <w:sz w:val="19"/>
                <w:szCs w:val="19"/>
              </w:rPr>
              <w:t>370</w:t>
            </w:r>
          </w:p>
        </w:tc>
        <w:tc>
          <w:tcPr>
            <w:tcW w:w="1951" w:type="dxa"/>
            <w:tcBorders>
              <w:top w:val="single" w:sz="4" w:space="0" w:color="D9D9D9"/>
              <w:left w:val="single" w:sz="4" w:space="0" w:color="D9D9D9"/>
              <w:right w:val="single" w:sz="4" w:space="0" w:color="D9D9D9"/>
            </w:tcBorders>
            <w:shd w:val="clear" w:color="auto" w:fill="auto"/>
            <w:noWrap/>
            <w:tcMar>
              <w:top w:w="0" w:type="dxa"/>
              <w:left w:w="70" w:type="dxa"/>
              <w:bottom w:w="0" w:type="dxa"/>
              <w:right w:w="70" w:type="dxa"/>
            </w:tcMar>
          </w:tcPr>
          <w:p w14:paraId="4D448AE3" w14:textId="77777777" w:rsidR="002C7B08" w:rsidRPr="00C90AE6" w:rsidRDefault="002C7B08" w:rsidP="006C1650">
            <w:pPr>
              <w:jc w:val="right"/>
              <w:rPr>
                <w:rFonts w:ascii="Tahoma" w:hAnsi="Tahoma" w:cs="Tahoma"/>
                <w:color w:val="000000"/>
                <w:sz w:val="19"/>
                <w:szCs w:val="19"/>
              </w:rPr>
            </w:pPr>
            <w:r w:rsidRPr="00C90AE6">
              <w:rPr>
                <w:rFonts w:ascii="Tahoma" w:hAnsi="Tahoma" w:cs="Tahoma"/>
                <w:sz w:val="19"/>
                <w:szCs w:val="19"/>
              </w:rPr>
              <w:t xml:space="preserve">1.287.941.596,31 </w:t>
            </w:r>
          </w:p>
        </w:tc>
        <w:tc>
          <w:tcPr>
            <w:tcW w:w="1418" w:type="dxa"/>
            <w:tcBorders>
              <w:top w:val="single" w:sz="4" w:space="0" w:color="D9D9D9"/>
              <w:left w:val="single" w:sz="4" w:space="0" w:color="D9D9D9"/>
              <w:right w:val="single" w:sz="4" w:space="0" w:color="D9D9D9"/>
            </w:tcBorders>
            <w:shd w:val="clear" w:color="auto" w:fill="auto"/>
            <w:noWrap/>
            <w:tcMar>
              <w:top w:w="0" w:type="dxa"/>
              <w:left w:w="70" w:type="dxa"/>
              <w:bottom w:w="0" w:type="dxa"/>
              <w:right w:w="70" w:type="dxa"/>
            </w:tcMar>
            <w:vAlign w:val="center"/>
          </w:tcPr>
          <w:p w14:paraId="5991101D" w14:textId="77777777" w:rsidR="002C7B08" w:rsidRPr="00C90AE6" w:rsidRDefault="002C7B08" w:rsidP="006C1650">
            <w:pPr>
              <w:jc w:val="center"/>
              <w:rPr>
                <w:rFonts w:ascii="Tahoma" w:hAnsi="Tahoma" w:cs="Tahoma"/>
                <w:color w:val="000000"/>
                <w:sz w:val="19"/>
                <w:szCs w:val="19"/>
              </w:rPr>
            </w:pPr>
            <w:r w:rsidRPr="00C90AE6">
              <w:rPr>
                <w:rFonts w:ascii="Tahoma" w:hAnsi="Tahoma" w:cs="Tahoma"/>
                <w:color w:val="000000"/>
                <w:sz w:val="19"/>
                <w:szCs w:val="19"/>
              </w:rPr>
              <w:t>622</w:t>
            </w:r>
          </w:p>
        </w:tc>
        <w:tc>
          <w:tcPr>
            <w:tcW w:w="2203" w:type="dxa"/>
            <w:tcBorders>
              <w:top w:val="single" w:sz="4" w:space="0" w:color="D9D9D9"/>
              <w:left w:val="single" w:sz="4" w:space="0" w:color="D9D9D9"/>
            </w:tcBorders>
            <w:shd w:val="clear" w:color="auto" w:fill="auto"/>
            <w:noWrap/>
            <w:tcMar>
              <w:top w:w="0" w:type="dxa"/>
              <w:left w:w="70" w:type="dxa"/>
              <w:bottom w:w="0" w:type="dxa"/>
              <w:right w:w="70" w:type="dxa"/>
            </w:tcMar>
            <w:vAlign w:val="center"/>
          </w:tcPr>
          <w:p w14:paraId="2D2406B9" w14:textId="77777777" w:rsidR="002C7B08" w:rsidRPr="00C90AE6" w:rsidRDefault="002C7B08" w:rsidP="006C1650">
            <w:pPr>
              <w:jc w:val="right"/>
              <w:rPr>
                <w:rFonts w:ascii="Tahoma" w:hAnsi="Tahoma" w:cs="Tahoma"/>
                <w:color w:val="000000"/>
                <w:sz w:val="19"/>
                <w:szCs w:val="19"/>
              </w:rPr>
            </w:pPr>
            <w:r w:rsidRPr="00C90AE6">
              <w:rPr>
                <w:rFonts w:ascii="Tahoma" w:hAnsi="Tahoma" w:cs="Tahoma"/>
                <w:color w:val="000000"/>
                <w:sz w:val="19"/>
                <w:szCs w:val="19"/>
              </w:rPr>
              <w:t>1.513.190.367,09</w:t>
            </w:r>
          </w:p>
        </w:tc>
      </w:tr>
      <w:tr w:rsidR="002C7B08" w:rsidRPr="00C90AE6" w14:paraId="42CB8D0B" w14:textId="77777777" w:rsidTr="006C1650">
        <w:trPr>
          <w:trHeight w:val="259"/>
        </w:trPr>
        <w:tc>
          <w:tcPr>
            <w:tcW w:w="3397" w:type="dxa"/>
            <w:tcBorders>
              <w:right w:val="single" w:sz="4" w:space="0" w:color="D9D9D9"/>
            </w:tcBorders>
            <w:shd w:val="clear" w:color="auto" w:fill="auto"/>
            <w:noWrap/>
            <w:tcMar>
              <w:top w:w="0" w:type="dxa"/>
              <w:left w:w="70" w:type="dxa"/>
              <w:bottom w:w="0" w:type="dxa"/>
              <w:right w:w="70" w:type="dxa"/>
            </w:tcMar>
            <w:vAlign w:val="center"/>
          </w:tcPr>
          <w:p w14:paraId="7E6F47E7" w14:textId="77777777" w:rsidR="002C7B08" w:rsidRPr="00C90AE6" w:rsidRDefault="002C7B08" w:rsidP="006C1650">
            <w:pPr>
              <w:rPr>
                <w:rFonts w:ascii="Tahoma" w:hAnsi="Tahoma" w:cs="Tahoma"/>
                <w:color w:val="000000"/>
                <w:sz w:val="19"/>
                <w:szCs w:val="19"/>
              </w:rPr>
            </w:pPr>
            <w:r w:rsidRPr="00C90AE6">
              <w:rPr>
                <w:rFonts w:ascii="Tahoma" w:hAnsi="Tahoma" w:cs="Tahoma"/>
                <w:color w:val="000000"/>
                <w:sz w:val="19"/>
                <w:szCs w:val="19"/>
              </w:rPr>
              <w:t>Subvenção direta</w:t>
            </w:r>
          </w:p>
        </w:tc>
        <w:tc>
          <w:tcPr>
            <w:tcW w:w="1560" w:type="dxa"/>
            <w:tcBorders>
              <w:left w:val="single" w:sz="4" w:space="0" w:color="D9D9D9"/>
              <w:right w:val="single" w:sz="4" w:space="0" w:color="D9D9D9"/>
            </w:tcBorders>
            <w:shd w:val="clear" w:color="auto" w:fill="auto"/>
            <w:noWrap/>
            <w:tcMar>
              <w:top w:w="0" w:type="dxa"/>
              <w:left w:w="70" w:type="dxa"/>
              <w:bottom w:w="0" w:type="dxa"/>
              <w:right w:w="70" w:type="dxa"/>
            </w:tcMar>
          </w:tcPr>
          <w:p w14:paraId="0E26733D" w14:textId="77777777" w:rsidR="002C7B08" w:rsidRPr="00C90AE6" w:rsidRDefault="002C7B08" w:rsidP="006C1650">
            <w:pPr>
              <w:jc w:val="center"/>
              <w:rPr>
                <w:rFonts w:ascii="Tahoma" w:hAnsi="Tahoma" w:cs="Tahoma"/>
                <w:color w:val="000000"/>
                <w:sz w:val="19"/>
                <w:szCs w:val="19"/>
              </w:rPr>
            </w:pPr>
            <w:r w:rsidRPr="00C90AE6">
              <w:rPr>
                <w:rFonts w:ascii="Tahoma" w:hAnsi="Tahoma" w:cs="Tahoma"/>
                <w:sz w:val="19"/>
                <w:szCs w:val="19"/>
              </w:rPr>
              <w:t>189</w:t>
            </w:r>
          </w:p>
        </w:tc>
        <w:tc>
          <w:tcPr>
            <w:tcW w:w="1951" w:type="dxa"/>
            <w:tcBorders>
              <w:left w:val="single" w:sz="4" w:space="0" w:color="D9D9D9"/>
              <w:right w:val="single" w:sz="4" w:space="0" w:color="D9D9D9"/>
            </w:tcBorders>
            <w:shd w:val="clear" w:color="auto" w:fill="auto"/>
            <w:noWrap/>
            <w:tcMar>
              <w:top w:w="0" w:type="dxa"/>
              <w:left w:w="70" w:type="dxa"/>
              <w:bottom w:w="0" w:type="dxa"/>
              <w:right w:w="70" w:type="dxa"/>
            </w:tcMar>
          </w:tcPr>
          <w:p w14:paraId="741FAA9F" w14:textId="77777777" w:rsidR="002C7B08" w:rsidRPr="00C90AE6" w:rsidRDefault="002C7B08" w:rsidP="006C1650">
            <w:pPr>
              <w:jc w:val="right"/>
              <w:rPr>
                <w:rFonts w:ascii="Tahoma" w:hAnsi="Tahoma" w:cs="Tahoma"/>
                <w:color w:val="000000"/>
                <w:sz w:val="19"/>
                <w:szCs w:val="19"/>
              </w:rPr>
            </w:pPr>
            <w:r w:rsidRPr="00C90AE6">
              <w:rPr>
                <w:rFonts w:ascii="Tahoma" w:hAnsi="Tahoma" w:cs="Tahoma"/>
                <w:sz w:val="19"/>
                <w:szCs w:val="19"/>
              </w:rPr>
              <w:t xml:space="preserve">1.457.241.483,22 </w:t>
            </w:r>
          </w:p>
        </w:tc>
        <w:tc>
          <w:tcPr>
            <w:tcW w:w="1418"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7DE19031" w14:textId="77777777" w:rsidR="002C7B08" w:rsidRPr="00C90AE6" w:rsidRDefault="002C7B08" w:rsidP="006C1650">
            <w:pPr>
              <w:jc w:val="center"/>
              <w:rPr>
                <w:rFonts w:ascii="Tahoma" w:hAnsi="Tahoma" w:cs="Tahoma"/>
                <w:color w:val="000000"/>
                <w:sz w:val="19"/>
                <w:szCs w:val="19"/>
              </w:rPr>
            </w:pPr>
            <w:r w:rsidRPr="00C90AE6">
              <w:rPr>
                <w:rFonts w:ascii="Tahoma" w:hAnsi="Tahoma" w:cs="Tahoma"/>
                <w:color w:val="000000"/>
                <w:sz w:val="19"/>
                <w:szCs w:val="19"/>
              </w:rPr>
              <w:t>270</w:t>
            </w:r>
          </w:p>
        </w:tc>
        <w:tc>
          <w:tcPr>
            <w:tcW w:w="2203" w:type="dxa"/>
            <w:tcBorders>
              <w:left w:val="single" w:sz="4" w:space="0" w:color="D9D9D9"/>
            </w:tcBorders>
            <w:shd w:val="clear" w:color="auto" w:fill="auto"/>
            <w:noWrap/>
            <w:tcMar>
              <w:top w:w="0" w:type="dxa"/>
              <w:left w:w="70" w:type="dxa"/>
              <w:bottom w:w="0" w:type="dxa"/>
              <w:right w:w="70" w:type="dxa"/>
            </w:tcMar>
            <w:vAlign w:val="center"/>
          </w:tcPr>
          <w:p w14:paraId="5165A082" w14:textId="77777777" w:rsidR="002C7B08" w:rsidRPr="00C90AE6" w:rsidRDefault="002C7B08" w:rsidP="006C1650">
            <w:pPr>
              <w:jc w:val="right"/>
              <w:rPr>
                <w:rFonts w:ascii="Tahoma" w:hAnsi="Tahoma" w:cs="Tahoma"/>
                <w:color w:val="000000"/>
                <w:sz w:val="19"/>
                <w:szCs w:val="19"/>
              </w:rPr>
            </w:pPr>
            <w:r w:rsidRPr="00C90AE6">
              <w:rPr>
                <w:rFonts w:ascii="Tahoma" w:hAnsi="Tahoma" w:cs="Tahoma"/>
                <w:color w:val="000000"/>
                <w:sz w:val="19"/>
                <w:szCs w:val="19"/>
              </w:rPr>
              <w:t>462.800.571,61</w:t>
            </w:r>
          </w:p>
        </w:tc>
      </w:tr>
      <w:tr w:rsidR="002C7B08" w:rsidRPr="00C90AE6" w14:paraId="3C06B97B" w14:textId="77777777" w:rsidTr="006C1650">
        <w:trPr>
          <w:trHeight w:val="259"/>
        </w:trPr>
        <w:tc>
          <w:tcPr>
            <w:tcW w:w="3397" w:type="dxa"/>
            <w:tcBorders>
              <w:right w:val="single" w:sz="4" w:space="0" w:color="D9D9D9"/>
            </w:tcBorders>
            <w:shd w:val="clear" w:color="auto" w:fill="auto"/>
            <w:noWrap/>
            <w:tcMar>
              <w:top w:w="0" w:type="dxa"/>
              <w:left w:w="70" w:type="dxa"/>
              <w:bottom w:w="0" w:type="dxa"/>
              <w:right w:w="70" w:type="dxa"/>
            </w:tcMar>
            <w:vAlign w:val="center"/>
          </w:tcPr>
          <w:p w14:paraId="15EEB577" w14:textId="77777777" w:rsidR="002C7B08" w:rsidRPr="00C90AE6" w:rsidRDefault="002C7B08" w:rsidP="006C1650">
            <w:pPr>
              <w:rPr>
                <w:rFonts w:ascii="Tahoma" w:hAnsi="Tahoma" w:cs="Tahoma"/>
                <w:color w:val="000000"/>
                <w:sz w:val="19"/>
                <w:szCs w:val="19"/>
              </w:rPr>
            </w:pPr>
            <w:r w:rsidRPr="00C90AE6">
              <w:rPr>
                <w:rFonts w:ascii="Tahoma" w:hAnsi="Tahoma" w:cs="Tahoma"/>
                <w:color w:val="000000"/>
                <w:sz w:val="19"/>
                <w:szCs w:val="19"/>
              </w:rPr>
              <w:t>Subvenção descentralizada - empresas</w:t>
            </w:r>
          </w:p>
        </w:tc>
        <w:tc>
          <w:tcPr>
            <w:tcW w:w="1560" w:type="dxa"/>
            <w:tcBorders>
              <w:left w:val="single" w:sz="4" w:space="0" w:color="D9D9D9"/>
              <w:right w:val="single" w:sz="4" w:space="0" w:color="D9D9D9"/>
            </w:tcBorders>
            <w:shd w:val="clear" w:color="auto" w:fill="auto"/>
            <w:noWrap/>
            <w:tcMar>
              <w:top w:w="0" w:type="dxa"/>
              <w:left w:w="70" w:type="dxa"/>
              <w:bottom w:w="0" w:type="dxa"/>
              <w:right w:w="70" w:type="dxa"/>
            </w:tcMar>
          </w:tcPr>
          <w:p w14:paraId="01B4613D" w14:textId="77777777" w:rsidR="002C7B08" w:rsidRPr="00C90AE6" w:rsidRDefault="002C7B08" w:rsidP="006C1650">
            <w:pPr>
              <w:jc w:val="center"/>
              <w:rPr>
                <w:rFonts w:ascii="Tahoma" w:hAnsi="Tahoma" w:cs="Tahoma"/>
                <w:color w:val="000000"/>
                <w:sz w:val="19"/>
                <w:szCs w:val="19"/>
              </w:rPr>
            </w:pPr>
            <w:r w:rsidRPr="00C90AE6">
              <w:rPr>
                <w:rFonts w:ascii="Tahoma" w:hAnsi="Tahoma" w:cs="Tahoma"/>
                <w:sz w:val="19"/>
                <w:szCs w:val="19"/>
              </w:rPr>
              <w:t>499</w:t>
            </w:r>
          </w:p>
        </w:tc>
        <w:tc>
          <w:tcPr>
            <w:tcW w:w="1951" w:type="dxa"/>
            <w:tcBorders>
              <w:left w:val="single" w:sz="4" w:space="0" w:color="D9D9D9"/>
              <w:right w:val="single" w:sz="4" w:space="0" w:color="D9D9D9"/>
            </w:tcBorders>
            <w:shd w:val="clear" w:color="auto" w:fill="auto"/>
            <w:noWrap/>
            <w:tcMar>
              <w:top w:w="0" w:type="dxa"/>
              <w:left w:w="70" w:type="dxa"/>
              <w:bottom w:w="0" w:type="dxa"/>
              <w:right w:w="70" w:type="dxa"/>
            </w:tcMar>
          </w:tcPr>
          <w:p w14:paraId="00030DD2" w14:textId="77777777" w:rsidR="002C7B08" w:rsidRPr="00C90AE6" w:rsidRDefault="002C7B08" w:rsidP="006C1650">
            <w:pPr>
              <w:jc w:val="right"/>
              <w:rPr>
                <w:rFonts w:ascii="Tahoma" w:hAnsi="Tahoma" w:cs="Tahoma"/>
                <w:color w:val="000000"/>
                <w:sz w:val="19"/>
                <w:szCs w:val="19"/>
              </w:rPr>
            </w:pPr>
            <w:r w:rsidRPr="00C90AE6">
              <w:rPr>
                <w:rFonts w:ascii="Tahoma" w:hAnsi="Tahoma" w:cs="Tahoma"/>
                <w:sz w:val="19"/>
                <w:szCs w:val="19"/>
              </w:rPr>
              <w:t xml:space="preserve">19.186.235,23 </w:t>
            </w:r>
          </w:p>
        </w:tc>
        <w:tc>
          <w:tcPr>
            <w:tcW w:w="1418"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1035EEA9" w14:textId="77777777" w:rsidR="002C7B08" w:rsidRPr="00C90AE6" w:rsidRDefault="002C7B08" w:rsidP="006C1650">
            <w:pPr>
              <w:jc w:val="center"/>
              <w:rPr>
                <w:rFonts w:ascii="Tahoma" w:hAnsi="Tahoma" w:cs="Tahoma"/>
                <w:color w:val="000000"/>
                <w:sz w:val="19"/>
                <w:szCs w:val="19"/>
              </w:rPr>
            </w:pPr>
            <w:r w:rsidRPr="00C90AE6">
              <w:rPr>
                <w:rFonts w:ascii="Tahoma" w:hAnsi="Tahoma" w:cs="Tahoma"/>
                <w:color w:val="000000"/>
                <w:sz w:val="19"/>
                <w:szCs w:val="19"/>
              </w:rPr>
              <w:t>816</w:t>
            </w:r>
          </w:p>
        </w:tc>
        <w:tc>
          <w:tcPr>
            <w:tcW w:w="2203" w:type="dxa"/>
            <w:tcBorders>
              <w:left w:val="single" w:sz="4" w:space="0" w:color="D9D9D9"/>
            </w:tcBorders>
            <w:shd w:val="clear" w:color="auto" w:fill="auto"/>
            <w:noWrap/>
            <w:tcMar>
              <w:top w:w="0" w:type="dxa"/>
              <w:left w:w="70" w:type="dxa"/>
              <w:bottom w:w="0" w:type="dxa"/>
              <w:right w:w="70" w:type="dxa"/>
            </w:tcMar>
            <w:vAlign w:val="center"/>
          </w:tcPr>
          <w:p w14:paraId="00118ACE" w14:textId="77777777" w:rsidR="002C7B08" w:rsidRPr="00C90AE6" w:rsidRDefault="002C7B08" w:rsidP="006C1650">
            <w:pPr>
              <w:jc w:val="right"/>
              <w:rPr>
                <w:rFonts w:ascii="Tahoma" w:hAnsi="Tahoma" w:cs="Tahoma"/>
                <w:color w:val="000000"/>
                <w:sz w:val="19"/>
                <w:szCs w:val="19"/>
              </w:rPr>
            </w:pPr>
            <w:r w:rsidRPr="00C90AE6">
              <w:rPr>
                <w:rFonts w:ascii="Tahoma" w:hAnsi="Tahoma" w:cs="Tahoma"/>
                <w:color w:val="000000"/>
                <w:sz w:val="19"/>
                <w:szCs w:val="19"/>
              </w:rPr>
              <w:t>28.244.069,31</w:t>
            </w:r>
          </w:p>
        </w:tc>
      </w:tr>
      <w:tr w:rsidR="002C7B08" w:rsidRPr="00C90AE6" w14:paraId="4B7CA2E0" w14:textId="77777777" w:rsidTr="006C1650">
        <w:trPr>
          <w:trHeight w:val="259"/>
        </w:trPr>
        <w:tc>
          <w:tcPr>
            <w:tcW w:w="3397" w:type="dxa"/>
            <w:tcBorders>
              <w:right w:val="single" w:sz="4" w:space="0" w:color="D9D9D9"/>
            </w:tcBorders>
            <w:shd w:val="clear" w:color="auto" w:fill="auto"/>
            <w:noWrap/>
            <w:tcMar>
              <w:top w:w="0" w:type="dxa"/>
              <w:left w:w="70" w:type="dxa"/>
              <w:bottom w:w="0" w:type="dxa"/>
              <w:right w:w="70" w:type="dxa"/>
            </w:tcMar>
            <w:vAlign w:val="center"/>
          </w:tcPr>
          <w:p w14:paraId="690689CF" w14:textId="77777777" w:rsidR="002C7B08" w:rsidRPr="00C90AE6" w:rsidRDefault="002C7B08" w:rsidP="006C1650">
            <w:pPr>
              <w:rPr>
                <w:rFonts w:ascii="Tahoma" w:hAnsi="Tahoma" w:cs="Tahoma"/>
                <w:color w:val="000000"/>
                <w:sz w:val="19"/>
                <w:szCs w:val="19"/>
              </w:rPr>
            </w:pPr>
            <w:r w:rsidRPr="00C90AE6">
              <w:rPr>
                <w:rFonts w:ascii="Tahoma" w:hAnsi="Tahoma" w:cs="Tahoma"/>
                <w:color w:val="000000"/>
                <w:sz w:val="19"/>
                <w:szCs w:val="19"/>
              </w:rPr>
              <w:t>Não reembolsável empresas</w:t>
            </w:r>
          </w:p>
        </w:tc>
        <w:tc>
          <w:tcPr>
            <w:tcW w:w="1560" w:type="dxa"/>
            <w:tcBorders>
              <w:left w:val="single" w:sz="4" w:space="0" w:color="D9D9D9"/>
              <w:right w:val="single" w:sz="4" w:space="0" w:color="D9D9D9"/>
            </w:tcBorders>
            <w:shd w:val="clear" w:color="auto" w:fill="auto"/>
            <w:noWrap/>
            <w:tcMar>
              <w:top w:w="0" w:type="dxa"/>
              <w:left w:w="70" w:type="dxa"/>
              <w:bottom w:w="0" w:type="dxa"/>
              <w:right w:w="70" w:type="dxa"/>
            </w:tcMar>
          </w:tcPr>
          <w:p w14:paraId="3AE1C7C8" w14:textId="77777777" w:rsidR="002C7B08" w:rsidRPr="00C90AE6" w:rsidRDefault="002C7B08" w:rsidP="006C1650">
            <w:pPr>
              <w:jc w:val="center"/>
              <w:rPr>
                <w:rFonts w:ascii="Tahoma" w:hAnsi="Tahoma" w:cs="Tahoma"/>
                <w:color w:val="000000"/>
                <w:sz w:val="19"/>
                <w:szCs w:val="19"/>
              </w:rPr>
            </w:pPr>
            <w:r w:rsidRPr="00C90AE6">
              <w:rPr>
                <w:rFonts w:ascii="Tahoma" w:hAnsi="Tahoma" w:cs="Tahoma"/>
                <w:sz w:val="19"/>
                <w:szCs w:val="19"/>
              </w:rPr>
              <w:t>14</w:t>
            </w:r>
          </w:p>
        </w:tc>
        <w:tc>
          <w:tcPr>
            <w:tcW w:w="1951" w:type="dxa"/>
            <w:tcBorders>
              <w:left w:val="single" w:sz="4" w:space="0" w:color="D9D9D9"/>
              <w:right w:val="single" w:sz="4" w:space="0" w:color="D9D9D9"/>
            </w:tcBorders>
            <w:shd w:val="clear" w:color="auto" w:fill="auto"/>
            <w:noWrap/>
            <w:tcMar>
              <w:top w:w="0" w:type="dxa"/>
              <w:left w:w="70" w:type="dxa"/>
              <w:bottom w:w="0" w:type="dxa"/>
              <w:right w:w="70" w:type="dxa"/>
            </w:tcMar>
          </w:tcPr>
          <w:p w14:paraId="02BA079F" w14:textId="77777777" w:rsidR="002C7B08" w:rsidRPr="00C90AE6" w:rsidRDefault="002C7B08" w:rsidP="006C1650">
            <w:pPr>
              <w:jc w:val="right"/>
              <w:rPr>
                <w:rFonts w:ascii="Tahoma" w:hAnsi="Tahoma" w:cs="Tahoma"/>
                <w:color w:val="000000"/>
                <w:sz w:val="19"/>
                <w:szCs w:val="19"/>
              </w:rPr>
            </w:pPr>
            <w:r w:rsidRPr="00C90AE6">
              <w:rPr>
                <w:rFonts w:ascii="Tahoma" w:hAnsi="Tahoma" w:cs="Tahoma"/>
                <w:sz w:val="19"/>
                <w:szCs w:val="19"/>
              </w:rPr>
              <w:t xml:space="preserve">35.025.611,89 </w:t>
            </w:r>
          </w:p>
        </w:tc>
        <w:tc>
          <w:tcPr>
            <w:tcW w:w="1418"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35C30893" w14:textId="77777777" w:rsidR="002C7B08" w:rsidRPr="00C90AE6" w:rsidRDefault="002C7B08" w:rsidP="006C1650">
            <w:pPr>
              <w:jc w:val="center"/>
              <w:rPr>
                <w:rFonts w:ascii="Tahoma" w:hAnsi="Tahoma" w:cs="Tahoma"/>
                <w:color w:val="000000"/>
                <w:sz w:val="19"/>
                <w:szCs w:val="19"/>
              </w:rPr>
            </w:pPr>
            <w:r w:rsidRPr="00C90AE6">
              <w:rPr>
                <w:rFonts w:ascii="Tahoma" w:hAnsi="Tahoma" w:cs="Tahoma"/>
                <w:color w:val="000000"/>
                <w:sz w:val="19"/>
                <w:szCs w:val="19"/>
              </w:rPr>
              <w:t>39</w:t>
            </w:r>
          </w:p>
        </w:tc>
        <w:tc>
          <w:tcPr>
            <w:tcW w:w="2203" w:type="dxa"/>
            <w:tcBorders>
              <w:left w:val="single" w:sz="4" w:space="0" w:color="D9D9D9"/>
            </w:tcBorders>
            <w:shd w:val="clear" w:color="auto" w:fill="auto"/>
            <w:noWrap/>
            <w:tcMar>
              <w:top w:w="0" w:type="dxa"/>
              <w:left w:w="70" w:type="dxa"/>
              <w:bottom w:w="0" w:type="dxa"/>
              <w:right w:w="70" w:type="dxa"/>
            </w:tcMar>
            <w:vAlign w:val="center"/>
          </w:tcPr>
          <w:p w14:paraId="162CB085" w14:textId="77777777" w:rsidR="002C7B08" w:rsidRPr="00C90AE6" w:rsidRDefault="002C7B08" w:rsidP="006C1650">
            <w:pPr>
              <w:jc w:val="right"/>
              <w:rPr>
                <w:rFonts w:ascii="Tahoma" w:hAnsi="Tahoma" w:cs="Tahoma"/>
                <w:color w:val="000000"/>
                <w:sz w:val="19"/>
                <w:szCs w:val="19"/>
              </w:rPr>
            </w:pPr>
            <w:r w:rsidRPr="00C90AE6">
              <w:rPr>
                <w:rFonts w:ascii="Tahoma" w:hAnsi="Tahoma" w:cs="Tahoma"/>
                <w:color w:val="000000"/>
                <w:sz w:val="19"/>
                <w:szCs w:val="19"/>
              </w:rPr>
              <w:t>29.662.472,93</w:t>
            </w:r>
          </w:p>
        </w:tc>
      </w:tr>
      <w:tr w:rsidR="002C7B08" w:rsidRPr="00C90AE6" w14:paraId="6264586F" w14:textId="77777777" w:rsidTr="006C1650">
        <w:trPr>
          <w:trHeight w:val="259"/>
        </w:trPr>
        <w:tc>
          <w:tcPr>
            <w:tcW w:w="3397" w:type="dxa"/>
            <w:tcBorders>
              <w:right w:val="single" w:sz="4" w:space="0" w:color="D9D9D9"/>
            </w:tcBorders>
            <w:shd w:val="clear" w:color="auto" w:fill="auto"/>
            <w:noWrap/>
            <w:tcMar>
              <w:top w:w="0" w:type="dxa"/>
              <w:left w:w="70" w:type="dxa"/>
              <w:bottom w:w="0" w:type="dxa"/>
              <w:right w:w="70" w:type="dxa"/>
            </w:tcMar>
            <w:vAlign w:val="center"/>
          </w:tcPr>
          <w:p w14:paraId="07814CEF" w14:textId="77777777" w:rsidR="002C7B08" w:rsidRPr="00C90AE6" w:rsidRDefault="002C7B08" w:rsidP="006C1650">
            <w:pPr>
              <w:rPr>
                <w:rFonts w:ascii="Tahoma" w:hAnsi="Tahoma" w:cs="Tahoma"/>
                <w:color w:val="000000"/>
                <w:sz w:val="19"/>
                <w:szCs w:val="19"/>
              </w:rPr>
            </w:pPr>
            <w:r w:rsidRPr="00C90AE6">
              <w:rPr>
                <w:rFonts w:ascii="Tahoma" w:hAnsi="Tahoma" w:cs="Tahoma"/>
                <w:color w:val="000000"/>
                <w:sz w:val="19"/>
                <w:szCs w:val="19"/>
              </w:rPr>
              <w:t>Crédito direto</w:t>
            </w:r>
          </w:p>
        </w:tc>
        <w:tc>
          <w:tcPr>
            <w:tcW w:w="1560" w:type="dxa"/>
            <w:tcBorders>
              <w:left w:val="single" w:sz="4" w:space="0" w:color="D9D9D9"/>
              <w:right w:val="single" w:sz="4" w:space="0" w:color="D9D9D9"/>
            </w:tcBorders>
            <w:shd w:val="clear" w:color="auto" w:fill="auto"/>
            <w:noWrap/>
            <w:tcMar>
              <w:top w:w="0" w:type="dxa"/>
              <w:left w:w="70" w:type="dxa"/>
              <w:bottom w:w="0" w:type="dxa"/>
              <w:right w:w="70" w:type="dxa"/>
            </w:tcMar>
          </w:tcPr>
          <w:p w14:paraId="06713356" w14:textId="77777777" w:rsidR="002C7B08" w:rsidRPr="00C90AE6" w:rsidRDefault="002C7B08" w:rsidP="006C1650">
            <w:pPr>
              <w:jc w:val="center"/>
              <w:rPr>
                <w:rFonts w:ascii="Tahoma" w:hAnsi="Tahoma" w:cs="Tahoma"/>
                <w:color w:val="000000"/>
                <w:sz w:val="19"/>
                <w:szCs w:val="19"/>
              </w:rPr>
            </w:pPr>
            <w:r w:rsidRPr="00C90AE6">
              <w:rPr>
                <w:rFonts w:ascii="Tahoma" w:hAnsi="Tahoma" w:cs="Tahoma"/>
                <w:sz w:val="19"/>
                <w:szCs w:val="19"/>
              </w:rPr>
              <w:t>92</w:t>
            </w:r>
          </w:p>
        </w:tc>
        <w:tc>
          <w:tcPr>
            <w:tcW w:w="1951" w:type="dxa"/>
            <w:tcBorders>
              <w:left w:val="single" w:sz="4" w:space="0" w:color="D9D9D9"/>
              <w:right w:val="single" w:sz="4" w:space="0" w:color="D9D9D9"/>
            </w:tcBorders>
            <w:shd w:val="clear" w:color="auto" w:fill="auto"/>
            <w:noWrap/>
            <w:tcMar>
              <w:top w:w="0" w:type="dxa"/>
              <w:left w:w="70" w:type="dxa"/>
              <w:bottom w:w="0" w:type="dxa"/>
              <w:right w:w="70" w:type="dxa"/>
            </w:tcMar>
          </w:tcPr>
          <w:p w14:paraId="3FCB1ACC" w14:textId="77777777" w:rsidR="002C7B08" w:rsidRPr="00C90AE6" w:rsidRDefault="002C7B08" w:rsidP="006C1650">
            <w:pPr>
              <w:jc w:val="right"/>
              <w:rPr>
                <w:rFonts w:ascii="Tahoma" w:hAnsi="Tahoma" w:cs="Tahoma"/>
                <w:color w:val="000000"/>
                <w:sz w:val="19"/>
                <w:szCs w:val="19"/>
              </w:rPr>
            </w:pPr>
            <w:r w:rsidRPr="00C90AE6">
              <w:rPr>
                <w:rFonts w:ascii="Tahoma" w:hAnsi="Tahoma" w:cs="Tahoma"/>
                <w:sz w:val="19"/>
                <w:szCs w:val="19"/>
              </w:rPr>
              <w:t xml:space="preserve">6.124.840.079,25 </w:t>
            </w:r>
          </w:p>
        </w:tc>
        <w:tc>
          <w:tcPr>
            <w:tcW w:w="1418"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6DCFD28F" w14:textId="77777777" w:rsidR="002C7B08" w:rsidRPr="00C90AE6" w:rsidRDefault="002C7B08" w:rsidP="006C1650">
            <w:pPr>
              <w:jc w:val="center"/>
              <w:rPr>
                <w:rFonts w:ascii="Tahoma" w:hAnsi="Tahoma" w:cs="Tahoma"/>
                <w:color w:val="000000"/>
                <w:sz w:val="19"/>
                <w:szCs w:val="19"/>
              </w:rPr>
            </w:pPr>
            <w:r w:rsidRPr="00C90AE6">
              <w:rPr>
                <w:rFonts w:ascii="Tahoma" w:hAnsi="Tahoma" w:cs="Tahoma"/>
                <w:color w:val="000000"/>
                <w:sz w:val="19"/>
                <w:szCs w:val="19"/>
              </w:rPr>
              <w:t>169</w:t>
            </w:r>
          </w:p>
        </w:tc>
        <w:tc>
          <w:tcPr>
            <w:tcW w:w="2203" w:type="dxa"/>
            <w:tcBorders>
              <w:left w:val="single" w:sz="4" w:space="0" w:color="D9D9D9"/>
            </w:tcBorders>
            <w:shd w:val="clear" w:color="auto" w:fill="auto"/>
            <w:noWrap/>
            <w:tcMar>
              <w:top w:w="0" w:type="dxa"/>
              <w:left w:w="70" w:type="dxa"/>
              <w:bottom w:w="0" w:type="dxa"/>
              <w:right w:w="70" w:type="dxa"/>
            </w:tcMar>
            <w:vAlign w:val="center"/>
          </w:tcPr>
          <w:p w14:paraId="58CD989B" w14:textId="77777777" w:rsidR="002C7B08" w:rsidRPr="00C90AE6" w:rsidRDefault="002C7B08" w:rsidP="006C1650">
            <w:pPr>
              <w:jc w:val="right"/>
              <w:rPr>
                <w:rFonts w:ascii="Tahoma" w:hAnsi="Tahoma" w:cs="Tahoma"/>
                <w:color w:val="000000"/>
                <w:sz w:val="19"/>
                <w:szCs w:val="19"/>
              </w:rPr>
            </w:pPr>
            <w:r w:rsidRPr="00C90AE6">
              <w:rPr>
                <w:rFonts w:ascii="Tahoma" w:hAnsi="Tahoma" w:cs="Tahoma"/>
                <w:color w:val="000000"/>
                <w:sz w:val="19"/>
                <w:szCs w:val="19"/>
              </w:rPr>
              <w:t>4.250.530.504,10</w:t>
            </w:r>
          </w:p>
        </w:tc>
      </w:tr>
      <w:tr w:rsidR="002C7B08" w:rsidRPr="00C90AE6" w14:paraId="76867149" w14:textId="77777777" w:rsidTr="006C1650">
        <w:trPr>
          <w:trHeight w:val="259"/>
        </w:trPr>
        <w:tc>
          <w:tcPr>
            <w:tcW w:w="3397" w:type="dxa"/>
            <w:tcBorders>
              <w:right w:val="single" w:sz="4" w:space="0" w:color="D9D9D9"/>
            </w:tcBorders>
            <w:shd w:val="clear" w:color="auto" w:fill="auto"/>
            <w:noWrap/>
            <w:tcMar>
              <w:top w:w="0" w:type="dxa"/>
              <w:left w:w="70" w:type="dxa"/>
              <w:bottom w:w="0" w:type="dxa"/>
              <w:right w:w="70" w:type="dxa"/>
            </w:tcMar>
            <w:vAlign w:val="center"/>
          </w:tcPr>
          <w:p w14:paraId="3EA18A44" w14:textId="77777777" w:rsidR="002C7B08" w:rsidRPr="00C90AE6" w:rsidRDefault="002C7B08" w:rsidP="006C1650">
            <w:pPr>
              <w:rPr>
                <w:rFonts w:ascii="Tahoma" w:hAnsi="Tahoma" w:cs="Tahoma"/>
                <w:color w:val="000000"/>
                <w:sz w:val="19"/>
                <w:szCs w:val="19"/>
              </w:rPr>
            </w:pPr>
            <w:r w:rsidRPr="00C90AE6">
              <w:rPr>
                <w:rFonts w:ascii="Tahoma" w:hAnsi="Tahoma" w:cs="Tahoma"/>
                <w:color w:val="000000"/>
                <w:sz w:val="19"/>
                <w:szCs w:val="19"/>
              </w:rPr>
              <w:t>Crédito descentralizado - beneficiárias</w:t>
            </w:r>
          </w:p>
        </w:tc>
        <w:tc>
          <w:tcPr>
            <w:tcW w:w="1560" w:type="dxa"/>
            <w:tcBorders>
              <w:left w:val="single" w:sz="4" w:space="0" w:color="D9D9D9"/>
              <w:right w:val="single" w:sz="4" w:space="0" w:color="D9D9D9"/>
            </w:tcBorders>
            <w:shd w:val="clear" w:color="auto" w:fill="auto"/>
            <w:noWrap/>
            <w:tcMar>
              <w:top w:w="0" w:type="dxa"/>
              <w:left w:w="70" w:type="dxa"/>
              <w:bottom w:w="0" w:type="dxa"/>
              <w:right w:w="70" w:type="dxa"/>
            </w:tcMar>
          </w:tcPr>
          <w:p w14:paraId="56423AC7" w14:textId="77777777" w:rsidR="002C7B08" w:rsidRPr="00C90AE6" w:rsidRDefault="002C7B08" w:rsidP="006C1650">
            <w:pPr>
              <w:jc w:val="center"/>
              <w:rPr>
                <w:rFonts w:ascii="Tahoma" w:hAnsi="Tahoma" w:cs="Tahoma"/>
                <w:color w:val="000000"/>
                <w:sz w:val="19"/>
                <w:szCs w:val="19"/>
              </w:rPr>
            </w:pPr>
            <w:r w:rsidRPr="00C90AE6">
              <w:rPr>
                <w:rFonts w:ascii="Tahoma" w:hAnsi="Tahoma" w:cs="Tahoma"/>
                <w:sz w:val="19"/>
                <w:szCs w:val="19"/>
              </w:rPr>
              <w:t>602</w:t>
            </w:r>
          </w:p>
        </w:tc>
        <w:tc>
          <w:tcPr>
            <w:tcW w:w="1951" w:type="dxa"/>
            <w:tcBorders>
              <w:left w:val="single" w:sz="4" w:space="0" w:color="D9D9D9"/>
              <w:right w:val="single" w:sz="4" w:space="0" w:color="D9D9D9"/>
            </w:tcBorders>
            <w:shd w:val="clear" w:color="auto" w:fill="auto"/>
            <w:noWrap/>
            <w:tcMar>
              <w:top w:w="0" w:type="dxa"/>
              <w:left w:w="70" w:type="dxa"/>
              <w:bottom w:w="0" w:type="dxa"/>
              <w:right w:w="70" w:type="dxa"/>
            </w:tcMar>
          </w:tcPr>
          <w:p w14:paraId="45D5C999" w14:textId="77777777" w:rsidR="002C7B08" w:rsidRPr="00C90AE6" w:rsidRDefault="002C7B08" w:rsidP="006C1650">
            <w:pPr>
              <w:jc w:val="right"/>
              <w:rPr>
                <w:rFonts w:ascii="Tahoma" w:hAnsi="Tahoma" w:cs="Tahoma"/>
                <w:color w:val="000000"/>
                <w:sz w:val="19"/>
                <w:szCs w:val="19"/>
              </w:rPr>
            </w:pPr>
            <w:r w:rsidRPr="00C90AE6">
              <w:rPr>
                <w:rFonts w:ascii="Tahoma" w:hAnsi="Tahoma" w:cs="Tahoma"/>
                <w:sz w:val="19"/>
                <w:szCs w:val="19"/>
              </w:rPr>
              <w:t xml:space="preserve">1.461.049.814,62 </w:t>
            </w:r>
          </w:p>
        </w:tc>
        <w:tc>
          <w:tcPr>
            <w:tcW w:w="1418"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35A3BC3D" w14:textId="77777777" w:rsidR="002C7B08" w:rsidRPr="00C90AE6" w:rsidRDefault="002C7B08" w:rsidP="006C1650">
            <w:pPr>
              <w:jc w:val="center"/>
              <w:rPr>
                <w:rFonts w:ascii="Tahoma" w:hAnsi="Tahoma" w:cs="Tahoma"/>
                <w:color w:val="000000"/>
                <w:sz w:val="19"/>
                <w:szCs w:val="19"/>
              </w:rPr>
            </w:pPr>
            <w:r w:rsidRPr="00C90AE6">
              <w:rPr>
                <w:rFonts w:ascii="Tahoma" w:hAnsi="Tahoma" w:cs="Tahoma"/>
                <w:sz w:val="19"/>
                <w:szCs w:val="19"/>
              </w:rPr>
              <w:t>623</w:t>
            </w:r>
          </w:p>
        </w:tc>
        <w:tc>
          <w:tcPr>
            <w:tcW w:w="2203" w:type="dxa"/>
            <w:tcBorders>
              <w:left w:val="single" w:sz="4" w:space="0" w:color="D9D9D9"/>
            </w:tcBorders>
            <w:shd w:val="clear" w:color="auto" w:fill="auto"/>
            <w:noWrap/>
            <w:tcMar>
              <w:top w:w="0" w:type="dxa"/>
              <w:left w:w="70" w:type="dxa"/>
              <w:bottom w:w="0" w:type="dxa"/>
              <w:right w:w="70" w:type="dxa"/>
            </w:tcMar>
            <w:vAlign w:val="center"/>
          </w:tcPr>
          <w:p w14:paraId="657938D7" w14:textId="77777777" w:rsidR="002C7B08" w:rsidRPr="00C90AE6" w:rsidRDefault="002C7B08" w:rsidP="006C1650">
            <w:pPr>
              <w:jc w:val="right"/>
              <w:rPr>
                <w:rFonts w:ascii="Tahoma" w:hAnsi="Tahoma" w:cs="Tahoma"/>
                <w:color w:val="000000"/>
                <w:sz w:val="19"/>
                <w:szCs w:val="19"/>
              </w:rPr>
            </w:pPr>
            <w:r w:rsidRPr="00C90AE6">
              <w:rPr>
                <w:rFonts w:ascii="Tahoma" w:hAnsi="Tahoma" w:cs="Tahoma"/>
                <w:sz w:val="19"/>
                <w:szCs w:val="19"/>
              </w:rPr>
              <w:t>1.179.740.385,21</w:t>
            </w:r>
          </w:p>
        </w:tc>
      </w:tr>
      <w:tr w:rsidR="002C7B08" w:rsidRPr="00C90AE6" w14:paraId="75B39003" w14:textId="77777777" w:rsidTr="006C1650">
        <w:trPr>
          <w:trHeight w:val="259"/>
        </w:trPr>
        <w:tc>
          <w:tcPr>
            <w:tcW w:w="3397" w:type="dxa"/>
            <w:tcBorders>
              <w:right w:val="single" w:sz="4" w:space="0" w:color="D9D9D9"/>
            </w:tcBorders>
            <w:shd w:val="clear" w:color="auto" w:fill="auto"/>
            <w:noWrap/>
            <w:tcMar>
              <w:top w:w="0" w:type="dxa"/>
              <w:left w:w="70" w:type="dxa"/>
              <w:bottom w:w="0" w:type="dxa"/>
              <w:right w:w="70" w:type="dxa"/>
            </w:tcMar>
            <w:vAlign w:val="center"/>
          </w:tcPr>
          <w:p w14:paraId="1EB4EDEA" w14:textId="77777777" w:rsidR="002C7B08" w:rsidRPr="00C90AE6" w:rsidRDefault="002C7B08" w:rsidP="006C1650">
            <w:pPr>
              <w:rPr>
                <w:rFonts w:ascii="Tahoma" w:hAnsi="Tahoma" w:cs="Tahoma"/>
                <w:sz w:val="19"/>
                <w:szCs w:val="19"/>
              </w:rPr>
            </w:pPr>
            <w:r w:rsidRPr="00C90AE6">
              <w:rPr>
                <w:rFonts w:ascii="Tahoma" w:hAnsi="Tahoma" w:cs="Tahoma"/>
                <w:color w:val="000000"/>
                <w:sz w:val="19"/>
                <w:szCs w:val="19"/>
              </w:rPr>
              <w:t>Aquisição de Instrumentos Conversíveis em Participação no Capital Social*</w:t>
            </w:r>
          </w:p>
        </w:tc>
        <w:tc>
          <w:tcPr>
            <w:tcW w:w="1560"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1E17EF2B" w14:textId="77777777" w:rsidR="002C7B08" w:rsidRPr="00C90AE6" w:rsidRDefault="002C7B08" w:rsidP="006C1650">
            <w:pPr>
              <w:jc w:val="center"/>
              <w:rPr>
                <w:rFonts w:ascii="Tahoma" w:hAnsi="Tahoma" w:cs="Tahoma"/>
                <w:color w:val="000000"/>
                <w:sz w:val="19"/>
                <w:szCs w:val="19"/>
              </w:rPr>
            </w:pPr>
            <w:r w:rsidRPr="00C90AE6">
              <w:rPr>
                <w:rFonts w:ascii="Tahoma" w:hAnsi="Tahoma" w:cs="Tahoma"/>
                <w:sz w:val="19"/>
                <w:szCs w:val="19"/>
              </w:rPr>
              <w:t>1</w:t>
            </w:r>
          </w:p>
        </w:tc>
        <w:tc>
          <w:tcPr>
            <w:tcW w:w="1951"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173F1133" w14:textId="79491177" w:rsidR="002C7B08" w:rsidRPr="00C90AE6" w:rsidRDefault="002C7B08" w:rsidP="006C1650">
            <w:pPr>
              <w:jc w:val="right"/>
              <w:rPr>
                <w:rFonts w:ascii="Tahoma" w:hAnsi="Tahoma" w:cs="Tahoma"/>
                <w:color w:val="000000"/>
                <w:sz w:val="19"/>
                <w:szCs w:val="19"/>
              </w:rPr>
            </w:pPr>
            <w:r w:rsidRPr="00C90AE6">
              <w:rPr>
                <w:rFonts w:ascii="Tahoma" w:hAnsi="Tahoma" w:cs="Tahoma"/>
                <w:sz w:val="19"/>
                <w:szCs w:val="19"/>
              </w:rPr>
              <w:t>1.500.000,00</w:t>
            </w:r>
            <w:r w:rsidR="003A2FC9">
              <w:rPr>
                <w:rFonts w:ascii="Tahoma" w:hAnsi="Tahoma" w:cs="Tahoma"/>
                <w:sz w:val="19"/>
                <w:szCs w:val="19"/>
              </w:rPr>
              <w:t xml:space="preserve"> </w:t>
            </w:r>
          </w:p>
        </w:tc>
        <w:tc>
          <w:tcPr>
            <w:tcW w:w="1418"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69839D6D" w14:textId="77777777" w:rsidR="002C7B08" w:rsidRPr="00C90AE6" w:rsidRDefault="002C7B08" w:rsidP="006C1650">
            <w:pPr>
              <w:jc w:val="center"/>
              <w:rPr>
                <w:rFonts w:ascii="Tahoma" w:hAnsi="Tahoma" w:cs="Tahoma"/>
                <w:color w:val="000000"/>
                <w:sz w:val="19"/>
                <w:szCs w:val="19"/>
              </w:rPr>
            </w:pPr>
            <w:r w:rsidRPr="00C90AE6">
              <w:rPr>
                <w:rFonts w:ascii="Tahoma" w:hAnsi="Tahoma" w:cs="Tahoma"/>
                <w:color w:val="000000"/>
                <w:sz w:val="19"/>
                <w:szCs w:val="19"/>
              </w:rPr>
              <w:t>4</w:t>
            </w:r>
          </w:p>
        </w:tc>
        <w:tc>
          <w:tcPr>
            <w:tcW w:w="2203" w:type="dxa"/>
            <w:tcBorders>
              <w:left w:val="single" w:sz="4" w:space="0" w:color="D9D9D9"/>
            </w:tcBorders>
            <w:shd w:val="clear" w:color="auto" w:fill="auto"/>
            <w:noWrap/>
            <w:tcMar>
              <w:top w:w="0" w:type="dxa"/>
              <w:left w:w="70" w:type="dxa"/>
              <w:bottom w:w="0" w:type="dxa"/>
              <w:right w:w="70" w:type="dxa"/>
            </w:tcMar>
            <w:vAlign w:val="center"/>
          </w:tcPr>
          <w:p w14:paraId="793B5EDF" w14:textId="77777777" w:rsidR="002C7B08" w:rsidRPr="00C90AE6" w:rsidRDefault="002C7B08" w:rsidP="006C1650">
            <w:pPr>
              <w:jc w:val="right"/>
              <w:rPr>
                <w:rFonts w:ascii="Tahoma" w:hAnsi="Tahoma" w:cs="Tahoma"/>
                <w:color w:val="000000"/>
                <w:sz w:val="19"/>
                <w:szCs w:val="19"/>
              </w:rPr>
            </w:pPr>
            <w:r w:rsidRPr="00C90AE6">
              <w:rPr>
                <w:rFonts w:ascii="Tahoma" w:hAnsi="Tahoma" w:cs="Tahoma"/>
                <w:color w:val="000000"/>
                <w:sz w:val="19"/>
                <w:szCs w:val="19"/>
              </w:rPr>
              <w:t>1.660.577,00</w:t>
            </w:r>
          </w:p>
        </w:tc>
      </w:tr>
      <w:tr w:rsidR="00C90AE6" w:rsidRPr="00C90AE6" w14:paraId="5079420C" w14:textId="77777777" w:rsidTr="006C1650">
        <w:trPr>
          <w:trHeight w:val="259"/>
        </w:trPr>
        <w:tc>
          <w:tcPr>
            <w:tcW w:w="3397" w:type="dxa"/>
            <w:tcBorders>
              <w:right w:val="single" w:sz="4" w:space="0" w:color="D9D9D9"/>
            </w:tcBorders>
            <w:shd w:val="clear" w:color="auto" w:fill="auto"/>
            <w:noWrap/>
            <w:tcMar>
              <w:top w:w="0" w:type="dxa"/>
              <w:left w:w="70" w:type="dxa"/>
              <w:bottom w:w="0" w:type="dxa"/>
              <w:right w:w="70" w:type="dxa"/>
            </w:tcMar>
            <w:vAlign w:val="center"/>
          </w:tcPr>
          <w:p w14:paraId="59822408" w14:textId="650E64A9" w:rsidR="00137422" w:rsidRPr="00C90AE6" w:rsidRDefault="00EE7070" w:rsidP="006C1650">
            <w:pPr>
              <w:rPr>
                <w:rFonts w:ascii="Tahoma" w:hAnsi="Tahoma" w:cs="Tahoma"/>
                <w:sz w:val="19"/>
                <w:szCs w:val="19"/>
              </w:rPr>
            </w:pPr>
            <w:r w:rsidRPr="00C90AE6">
              <w:rPr>
                <w:rFonts w:ascii="Tahoma" w:hAnsi="Tahoma" w:cs="Tahoma"/>
                <w:sz w:val="19"/>
                <w:szCs w:val="19"/>
              </w:rPr>
              <w:t>Termo de Execução Descentralizada</w:t>
            </w:r>
          </w:p>
        </w:tc>
        <w:tc>
          <w:tcPr>
            <w:tcW w:w="1560"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70AD2E74" w14:textId="3A82C146" w:rsidR="00137422" w:rsidRPr="00C90AE6" w:rsidRDefault="00EE7070" w:rsidP="006C1650">
            <w:pPr>
              <w:jc w:val="center"/>
              <w:rPr>
                <w:rFonts w:ascii="Tahoma" w:hAnsi="Tahoma" w:cs="Tahoma"/>
                <w:sz w:val="19"/>
                <w:szCs w:val="19"/>
              </w:rPr>
            </w:pPr>
            <w:r w:rsidRPr="00C90AE6">
              <w:rPr>
                <w:rFonts w:ascii="Tahoma" w:hAnsi="Tahoma" w:cs="Tahoma"/>
                <w:sz w:val="19"/>
                <w:szCs w:val="19"/>
              </w:rPr>
              <w:t>13</w:t>
            </w:r>
          </w:p>
        </w:tc>
        <w:tc>
          <w:tcPr>
            <w:tcW w:w="1951"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3EDC1964" w14:textId="032FFAF2" w:rsidR="00137422" w:rsidRPr="00C90AE6" w:rsidRDefault="00EE7070" w:rsidP="006C1650">
            <w:pPr>
              <w:jc w:val="right"/>
              <w:rPr>
                <w:rFonts w:ascii="Tahoma" w:hAnsi="Tahoma" w:cs="Tahoma"/>
                <w:sz w:val="19"/>
                <w:szCs w:val="19"/>
              </w:rPr>
            </w:pPr>
            <w:r w:rsidRPr="00C90AE6">
              <w:rPr>
                <w:rFonts w:ascii="Tahoma" w:hAnsi="Tahoma" w:cs="Tahoma"/>
                <w:sz w:val="19"/>
                <w:szCs w:val="19"/>
              </w:rPr>
              <w:t>1.975.384.259,96</w:t>
            </w:r>
            <w:r w:rsidR="003A2FC9">
              <w:rPr>
                <w:rFonts w:ascii="Tahoma" w:hAnsi="Tahoma" w:cs="Tahoma"/>
                <w:sz w:val="19"/>
                <w:szCs w:val="19"/>
              </w:rPr>
              <w:t xml:space="preserve"> </w:t>
            </w:r>
          </w:p>
        </w:tc>
        <w:tc>
          <w:tcPr>
            <w:tcW w:w="1418" w:type="dxa"/>
            <w:tcBorders>
              <w:left w:val="single" w:sz="4" w:space="0" w:color="D9D9D9"/>
              <w:right w:val="single" w:sz="4" w:space="0" w:color="D9D9D9"/>
            </w:tcBorders>
            <w:shd w:val="clear" w:color="auto" w:fill="auto"/>
            <w:noWrap/>
            <w:tcMar>
              <w:top w:w="0" w:type="dxa"/>
              <w:left w:w="70" w:type="dxa"/>
              <w:bottom w:w="0" w:type="dxa"/>
              <w:right w:w="70" w:type="dxa"/>
            </w:tcMar>
            <w:vAlign w:val="center"/>
          </w:tcPr>
          <w:p w14:paraId="1CC6F7E8" w14:textId="28950D76" w:rsidR="00137422" w:rsidRPr="00C90AE6" w:rsidRDefault="00EE7070" w:rsidP="006C1650">
            <w:pPr>
              <w:jc w:val="center"/>
              <w:rPr>
                <w:rFonts w:ascii="Tahoma" w:hAnsi="Tahoma" w:cs="Tahoma"/>
                <w:sz w:val="19"/>
                <w:szCs w:val="19"/>
              </w:rPr>
            </w:pPr>
            <w:r w:rsidRPr="00C90AE6">
              <w:rPr>
                <w:rFonts w:ascii="Tahoma" w:hAnsi="Tahoma" w:cs="Tahoma"/>
                <w:sz w:val="19"/>
                <w:szCs w:val="19"/>
              </w:rPr>
              <w:t>11</w:t>
            </w:r>
          </w:p>
        </w:tc>
        <w:tc>
          <w:tcPr>
            <w:tcW w:w="2203" w:type="dxa"/>
            <w:tcBorders>
              <w:left w:val="single" w:sz="4" w:space="0" w:color="D9D9D9"/>
            </w:tcBorders>
            <w:shd w:val="clear" w:color="auto" w:fill="auto"/>
            <w:noWrap/>
            <w:tcMar>
              <w:top w:w="0" w:type="dxa"/>
              <w:left w:w="70" w:type="dxa"/>
              <w:bottom w:w="0" w:type="dxa"/>
              <w:right w:w="70" w:type="dxa"/>
            </w:tcMar>
            <w:vAlign w:val="center"/>
          </w:tcPr>
          <w:p w14:paraId="18214C4F" w14:textId="35FEB28D" w:rsidR="00137422" w:rsidRPr="00C90AE6" w:rsidRDefault="00836C64" w:rsidP="00836C64">
            <w:pPr>
              <w:jc w:val="right"/>
              <w:rPr>
                <w:rFonts w:ascii="Tahoma" w:hAnsi="Tahoma" w:cs="Tahoma"/>
                <w:sz w:val="19"/>
                <w:szCs w:val="19"/>
              </w:rPr>
            </w:pPr>
            <w:r w:rsidRPr="00836C64">
              <w:rPr>
                <w:rFonts w:ascii="Tahoma" w:hAnsi="Tahoma" w:cs="Tahoma"/>
                <w:sz w:val="19"/>
                <w:szCs w:val="19"/>
              </w:rPr>
              <w:t>2.181.394.243,61</w:t>
            </w:r>
          </w:p>
        </w:tc>
      </w:tr>
      <w:tr w:rsidR="00C90AE6" w:rsidRPr="00C90AE6" w14:paraId="73A6FE6B" w14:textId="77777777" w:rsidTr="006C1650">
        <w:trPr>
          <w:trHeight w:val="259"/>
        </w:trPr>
        <w:tc>
          <w:tcPr>
            <w:tcW w:w="3397" w:type="dxa"/>
            <w:tcBorders>
              <w:top w:val="single" w:sz="4" w:space="0" w:color="D9D9D9"/>
              <w:bottom w:val="single" w:sz="4" w:space="0" w:color="D9D9D9"/>
              <w:right w:val="single" w:sz="4" w:space="0" w:color="D9D9D9"/>
            </w:tcBorders>
            <w:shd w:val="clear" w:color="auto" w:fill="auto"/>
            <w:noWrap/>
            <w:tcMar>
              <w:top w:w="0" w:type="dxa"/>
              <w:left w:w="70" w:type="dxa"/>
              <w:bottom w:w="0" w:type="dxa"/>
              <w:right w:w="70" w:type="dxa"/>
            </w:tcMar>
            <w:vAlign w:val="center"/>
          </w:tcPr>
          <w:p w14:paraId="04A8BECD" w14:textId="77777777" w:rsidR="002C7B08" w:rsidRPr="00C90AE6" w:rsidRDefault="002C7B08" w:rsidP="006C1650">
            <w:pPr>
              <w:rPr>
                <w:rFonts w:ascii="Tahoma" w:hAnsi="Tahoma" w:cs="Tahoma"/>
                <w:b/>
                <w:bCs/>
                <w:sz w:val="19"/>
                <w:szCs w:val="19"/>
              </w:rPr>
            </w:pPr>
            <w:r w:rsidRPr="00C90AE6">
              <w:rPr>
                <w:rFonts w:ascii="Tahoma" w:hAnsi="Tahoma" w:cs="Tahoma"/>
                <w:b/>
                <w:bCs/>
                <w:sz w:val="19"/>
                <w:szCs w:val="19"/>
              </w:rPr>
              <w:t>Total</w:t>
            </w:r>
          </w:p>
        </w:tc>
        <w:tc>
          <w:tcPr>
            <w:tcW w:w="1560" w:type="dxa"/>
            <w:tcBorders>
              <w:top w:val="single" w:sz="4" w:space="0" w:color="D9D9D9"/>
              <w:left w:val="single" w:sz="4" w:space="0" w:color="D9D9D9"/>
              <w:bottom w:val="single" w:sz="4" w:space="0" w:color="D9D9D9"/>
              <w:right w:val="single" w:sz="4" w:space="0" w:color="D9D9D9"/>
            </w:tcBorders>
            <w:shd w:val="clear" w:color="auto" w:fill="auto"/>
            <w:noWrap/>
            <w:tcMar>
              <w:top w:w="0" w:type="dxa"/>
              <w:left w:w="70" w:type="dxa"/>
              <w:bottom w:w="0" w:type="dxa"/>
              <w:right w:w="70" w:type="dxa"/>
            </w:tcMar>
          </w:tcPr>
          <w:p w14:paraId="58AC6DC0" w14:textId="13AB059F" w:rsidR="002C7B08" w:rsidRPr="00C90AE6" w:rsidRDefault="002C7B08" w:rsidP="006C1650">
            <w:pPr>
              <w:jc w:val="center"/>
              <w:rPr>
                <w:rFonts w:ascii="Tahoma" w:hAnsi="Tahoma" w:cs="Tahoma"/>
                <w:b/>
                <w:bCs/>
                <w:sz w:val="19"/>
                <w:szCs w:val="19"/>
              </w:rPr>
            </w:pPr>
            <w:r w:rsidRPr="00C90AE6">
              <w:rPr>
                <w:rFonts w:ascii="Tahoma" w:hAnsi="Tahoma" w:cs="Tahoma"/>
                <w:b/>
                <w:bCs/>
                <w:sz w:val="19"/>
                <w:szCs w:val="19"/>
              </w:rPr>
              <w:t>1.7</w:t>
            </w:r>
            <w:r w:rsidR="00836C64" w:rsidRPr="00C90AE6">
              <w:rPr>
                <w:rFonts w:ascii="Tahoma" w:hAnsi="Tahoma" w:cs="Tahoma"/>
                <w:b/>
                <w:bCs/>
                <w:sz w:val="19"/>
                <w:szCs w:val="19"/>
              </w:rPr>
              <w:t>80</w:t>
            </w:r>
          </w:p>
        </w:tc>
        <w:tc>
          <w:tcPr>
            <w:tcW w:w="1951" w:type="dxa"/>
            <w:tcBorders>
              <w:top w:val="single" w:sz="4" w:space="0" w:color="D9D9D9"/>
              <w:left w:val="single" w:sz="4" w:space="0" w:color="D9D9D9"/>
              <w:bottom w:val="single" w:sz="4" w:space="0" w:color="D9D9D9"/>
              <w:right w:val="single" w:sz="4" w:space="0" w:color="D9D9D9"/>
            </w:tcBorders>
            <w:shd w:val="clear" w:color="auto" w:fill="auto"/>
            <w:noWrap/>
            <w:tcMar>
              <w:top w:w="0" w:type="dxa"/>
              <w:left w:w="70" w:type="dxa"/>
              <w:bottom w:w="0" w:type="dxa"/>
              <w:right w:w="70" w:type="dxa"/>
            </w:tcMar>
          </w:tcPr>
          <w:p w14:paraId="69FB5030" w14:textId="1F40B920" w:rsidR="002C7B08" w:rsidRPr="00C90AE6" w:rsidRDefault="00836C64" w:rsidP="006C1650">
            <w:pPr>
              <w:jc w:val="right"/>
              <w:rPr>
                <w:rFonts w:ascii="Tahoma" w:hAnsi="Tahoma" w:cs="Tahoma"/>
                <w:b/>
                <w:bCs/>
                <w:sz w:val="19"/>
                <w:szCs w:val="19"/>
              </w:rPr>
            </w:pPr>
            <w:r w:rsidRPr="00C90AE6">
              <w:rPr>
                <w:rFonts w:ascii="Tahoma" w:hAnsi="Tahoma" w:cs="Tahoma"/>
                <w:b/>
                <w:bCs/>
                <w:sz w:val="19"/>
                <w:szCs w:val="19"/>
              </w:rPr>
              <w:t>12.362.169.080,48</w:t>
            </w:r>
          </w:p>
        </w:tc>
        <w:tc>
          <w:tcPr>
            <w:tcW w:w="1418" w:type="dxa"/>
            <w:tcBorders>
              <w:top w:val="single" w:sz="4" w:space="0" w:color="D9D9D9"/>
              <w:left w:val="single" w:sz="4" w:space="0" w:color="D9D9D9"/>
              <w:bottom w:val="single" w:sz="4" w:space="0" w:color="D9D9D9"/>
              <w:right w:val="single" w:sz="4" w:space="0" w:color="D9D9D9"/>
            </w:tcBorders>
            <w:shd w:val="clear" w:color="auto" w:fill="auto"/>
            <w:noWrap/>
            <w:tcMar>
              <w:top w:w="0" w:type="dxa"/>
              <w:left w:w="70" w:type="dxa"/>
              <w:bottom w:w="0" w:type="dxa"/>
              <w:right w:w="70" w:type="dxa"/>
            </w:tcMar>
            <w:vAlign w:val="center"/>
          </w:tcPr>
          <w:p w14:paraId="694041CA" w14:textId="5FBC7953" w:rsidR="002C7B08" w:rsidRPr="00C90AE6" w:rsidRDefault="002C7B08" w:rsidP="006C1650">
            <w:pPr>
              <w:jc w:val="center"/>
              <w:rPr>
                <w:rFonts w:ascii="Tahoma" w:hAnsi="Tahoma" w:cs="Tahoma"/>
                <w:b/>
                <w:bCs/>
                <w:sz w:val="19"/>
                <w:szCs w:val="19"/>
              </w:rPr>
            </w:pPr>
            <w:r w:rsidRPr="00C90AE6">
              <w:rPr>
                <w:rFonts w:ascii="Tahoma" w:hAnsi="Tahoma" w:cs="Tahoma"/>
                <w:b/>
                <w:bCs/>
                <w:sz w:val="19"/>
                <w:szCs w:val="19"/>
              </w:rPr>
              <w:t>2.</w:t>
            </w:r>
            <w:r w:rsidR="00836C64" w:rsidRPr="00C90AE6">
              <w:rPr>
                <w:rFonts w:ascii="Tahoma" w:hAnsi="Tahoma" w:cs="Tahoma"/>
                <w:b/>
                <w:bCs/>
                <w:sz w:val="19"/>
                <w:szCs w:val="19"/>
              </w:rPr>
              <w:t>624</w:t>
            </w:r>
          </w:p>
        </w:tc>
        <w:tc>
          <w:tcPr>
            <w:tcW w:w="2203" w:type="dxa"/>
            <w:tcBorders>
              <w:top w:val="single" w:sz="4" w:space="0" w:color="D9D9D9"/>
              <w:left w:val="single" w:sz="4" w:space="0" w:color="D9D9D9"/>
              <w:bottom w:val="single" w:sz="4" w:space="0" w:color="D9D9D9"/>
            </w:tcBorders>
            <w:shd w:val="clear" w:color="auto" w:fill="auto"/>
            <w:noWrap/>
            <w:tcMar>
              <w:top w:w="0" w:type="dxa"/>
              <w:left w:w="70" w:type="dxa"/>
              <w:bottom w:w="0" w:type="dxa"/>
              <w:right w:w="70" w:type="dxa"/>
            </w:tcMar>
            <w:vAlign w:val="center"/>
          </w:tcPr>
          <w:p w14:paraId="6128C1FD" w14:textId="0B4B94FB" w:rsidR="002C7B08" w:rsidRPr="00C90AE6" w:rsidRDefault="00836C64" w:rsidP="006C1650">
            <w:pPr>
              <w:jc w:val="right"/>
              <w:rPr>
                <w:rFonts w:ascii="Tahoma" w:hAnsi="Tahoma" w:cs="Tahoma"/>
                <w:b/>
                <w:bCs/>
                <w:sz w:val="19"/>
                <w:szCs w:val="19"/>
              </w:rPr>
            </w:pPr>
            <w:r w:rsidRPr="00C90AE6">
              <w:rPr>
                <w:rFonts w:ascii="Tahoma" w:hAnsi="Tahoma" w:cs="Tahoma"/>
                <w:b/>
                <w:bCs/>
                <w:sz w:val="19"/>
                <w:szCs w:val="19"/>
              </w:rPr>
              <w:t>9.647.223.190,86</w:t>
            </w:r>
          </w:p>
        </w:tc>
      </w:tr>
    </w:tbl>
    <w:p w14:paraId="687B4435" w14:textId="77777777" w:rsidR="002C7B08" w:rsidRPr="00C90AE6" w:rsidRDefault="002C7B08" w:rsidP="002C7B08">
      <w:pPr>
        <w:spacing w:before="60"/>
        <w:rPr>
          <w:rFonts w:ascii="Tahoma" w:hAnsi="Tahoma" w:cs="Tahoma"/>
          <w:sz w:val="18"/>
          <w:szCs w:val="18"/>
        </w:rPr>
      </w:pPr>
      <w:r w:rsidRPr="00C90AE6">
        <w:rPr>
          <w:rFonts w:ascii="Tahoma" w:hAnsi="Tahoma" w:cs="Tahoma"/>
          <w:sz w:val="18"/>
          <w:szCs w:val="18"/>
        </w:rPr>
        <w:t>* Compromissos assumidos e aportes de recursos a empresas apoiadas pelo Finep Startup.</w:t>
      </w:r>
    </w:p>
    <w:p w14:paraId="5BF4907A" w14:textId="47C3F4B8" w:rsidR="002C7B08" w:rsidRPr="00C90AE6" w:rsidRDefault="00836C64" w:rsidP="00836C64">
      <w:pPr>
        <w:spacing w:before="60"/>
        <w:rPr>
          <w:rFonts w:ascii="Tahoma" w:hAnsi="Tahoma" w:cs="Tahoma"/>
          <w:sz w:val="18"/>
          <w:szCs w:val="18"/>
        </w:rPr>
      </w:pPr>
      <w:r w:rsidRPr="00C90AE6">
        <w:rPr>
          <w:rFonts w:ascii="Tahoma" w:hAnsi="Tahoma" w:cs="Tahoma"/>
          <w:sz w:val="18"/>
          <w:szCs w:val="18"/>
        </w:rPr>
        <w:t>** Transferências de recursos do orçamento do FNDCT para o CNPq e o MCTI. Esses recursos destinaram-se ao pagamento de bolsas e ações de fomento executadas pelo CNPq e ao apoio de programas desenvolvidos por Organizações Sociais que mantêm contrato de gestão com o Ministério.</w:t>
      </w:r>
    </w:p>
    <w:p w14:paraId="674E0715" w14:textId="77777777" w:rsidR="00836C64" w:rsidRPr="002F39AA" w:rsidRDefault="00836C64" w:rsidP="00836C64">
      <w:pPr>
        <w:spacing w:before="60"/>
        <w:rPr>
          <w:rFonts w:asciiTheme="majorHAnsi" w:hAnsiTheme="majorHAnsi" w:cstheme="majorHAnsi"/>
          <w:sz w:val="18"/>
          <w:szCs w:val="18"/>
          <w:shd w:val="clear" w:color="auto" w:fill="FFFF00"/>
        </w:rPr>
      </w:pPr>
    </w:p>
    <w:tbl>
      <w:tblPr>
        <w:tblW w:w="10651" w:type="dxa"/>
        <w:tblInd w:w="-289" w:type="dxa"/>
        <w:tblCellMar>
          <w:left w:w="10" w:type="dxa"/>
          <w:right w:w="10" w:type="dxa"/>
        </w:tblCellMar>
        <w:tblLook w:val="04A0" w:firstRow="1" w:lastRow="0" w:firstColumn="1" w:lastColumn="0" w:noHBand="0" w:noVBand="1"/>
      </w:tblPr>
      <w:tblGrid>
        <w:gridCol w:w="5005"/>
        <w:gridCol w:w="5646"/>
      </w:tblGrid>
      <w:tr w:rsidR="002C7B08" w:rsidRPr="00923A56" w14:paraId="032F261D" w14:textId="77777777" w:rsidTr="006C1650">
        <w:trPr>
          <w:trHeight w:val="675"/>
        </w:trPr>
        <w:tc>
          <w:tcPr>
            <w:tcW w:w="500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0" w:type="dxa"/>
              <w:left w:w="108" w:type="dxa"/>
              <w:bottom w:w="0" w:type="dxa"/>
              <w:right w:w="108" w:type="dxa"/>
            </w:tcMar>
            <w:vAlign w:val="center"/>
          </w:tcPr>
          <w:p w14:paraId="50576F63" w14:textId="77777777" w:rsidR="002C7B08" w:rsidRPr="00923A56" w:rsidRDefault="002C7B08" w:rsidP="006C1650">
            <w:pPr>
              <w:rPr>
                <w:rFonts w:ascii="Tahoma" w:hAnsi="Tahoma" w:cs="Tahoma"/>
                <w:color w:val="000000"/>
                <w:sz w:val="18"/>
                <w:szCs w:val="18"/>
              </w:rPr>
            </w:pPr>
            <w:r w:rsidRPr="72C514BD">
              <w:rPr>
                <w:rFonts w:ascii="Tahoma" w:hAnsi="Tahoma" w:cs="Tahoma"/>
                <w:color w:val="000000" w:themeColor="text1"/>
                <w:sz w:val="18"/>
                <w:szCs w:val="18"/>
              </w:rPr>
              <w:t>Investimento em FIP não exclusivo</w:t>
            </w:r>
          </w:p>
        </w:tc>
        <w:tc>
          <w:tcPr>
            <w:tcW w:w="56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0" w:type="dxa"/>
              <w:left w:w="108" w:type="dxa"/>
              <w:bottom w:w="0" w:type="dxa"/>
              <w:right w:w="108" w:type="dxa"/>
            </w:tcMar>
            <w:vAlign w:val="center"/>
          </w:tcPr>
          <w:p w14:paraId="4559055A" w14:textId="77777777" w:rsidR="002C7B08" w:rsidRPr="00923A56" w:rsidRDefault="002C7B08" w:rsidP="006C1650">
            <w:pPr>
              <w:rPr>
                <w:rFonts w:ascii="Tahoma" w:hAnsi="Tahoma" w:cs="Tahoma"/>
                <w:color w:val="000000"/>
                <w:sz w:val="18"/>
                <w:szCs w:val="18"/>
              </w:rPr>
            </w:pPr>
            <w:r>
              <w:rPr>
                <w:rFonts w:ascii="Tahoma" w:hAnsi="Tahoma" w:cs="Tahoma"/>
                <w:color w:val="000000"/>
                <w:sz w:val="18"/>
                <w:szCs w:val="18"/>
              </w:rPr>
              <w:t>Os</w:t>
            </w:r>
            <w:r w:rsidRPr="00BE7345">
              <w:rPr>
                <w:rFonts w:ascii="Tahoma" w:hAnsi="Tahoma" w:cs="Tahoma"/>
                <w:color w:val="000000"/>
                <w:sz w:val="18"/>
                <w:szCs w:val="18"/>
              </w:rPr>
              <w:t xml:space="preserve"> Fundos estão no período de desinvestimento, ou seja, na fase de venda das empresas da carteira e devolução de recursos aos cotistas. Não houve novos investimentos em 2023</w:t>
            </w:r>
            <w:r w:rsidRPr="00923A56">
              <w:rPr>
                <w:rFonts w:ascii="Tahoma" w:hAnsi="Tahoma" w:cs="Tahoma"/>
                <w:color w:val="000000"/>
                <w:sz w:val="18"/>
                <w:szCs w:val="18"/>
              </w:rPr>
              <w:t>.</w:t>
            </w:r>
          </w:p>
        </w:tc>
      </w:tr>
      <w:tr w:rsidR="002C7B08" w:rsidRPr="00923A56" w14:paraId="003D2C6E" w14:textId="77777777" w:rsidTr="006C1650">
        <w:trPr>
          <w:trHeight w:val="450"/>
        </w:trPr>
        <w:tc>
          <w:tcPr>
            <w:tcW w:w="500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0" w:type="dxa"/>
              <w:left w:w="108" w:type="dxa"/>
              <w:bottom w:w="0" w:type="dxa"/>
              <w:right w:w="108" w:type="dxa"/>
            </w:tcMar>
            <w:vAlign w:val="center"/>
          </w:tcPr>
          <w:p w14:paraId="42D5E6E6" w14:textId="77777777" w:rsidR="002C7B08" w:rsidRPr="00923A56" w:rsidRDefault="002C7B08" w:rsidP="006C1650">
            <w:pPr>
              <w:rPr>
                <w:rFonts w:ascii="Tahoma" w:hAnsi="Tahoma" w:cs="Tahoma"/>
                <w:color w:val="000000"/>
                <w:sz w:val="18"/>
                <w:szCs w:val="18"/>
              </w:rPr>
            </w:pPr>
            <w:r w:rsidRPr="00923A56">
              <w:rPr>
                <w:rFonts w:ascii="Tahoma" w:hAnsi="Tahoma" w:cs="Tahoma"/>
                <w:color w:val="000000"/>
                <w:sz w:val="18"/>
                <w:szCs w:val="18"/>
              </w:rPr>
              <w:t>Investimento em FIP exclusivo</w:t>
            </w:r>
          </w:p>
        </w:tc>
        <w:tc>
          <w:tcPr>
            <w:tcW w:w="56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0" w:type="dxa"/>
              <w:left w:w="108" w:type="dxa"/>
              <w:bottom w:w="0" w:type="dxa"/>
              <w:right w:w="108" w:type="dxa"/>
            </w:tcMar>
            <w:vAlign w:val="center"/>
          </w:tcPr>
          <w:p w14:paraId="2307E086" w14:textId="77777777" w:rsidR="002C7B08" w:rsidRPr="00923A56" w:rsidRDefault="002C7B08" w:rsidP="006C1650">
            <w:pPr>
              <w:rPr>
                <w:rFonts w:ascii="Tahoma" w:hAnsi="Tahoma" w:cs="Tahoma"/>
                <w:color w:val="000000"/>
                <w:sz w:val="18"/>
                <w:szCs w:val="18"/>
              </w:rPr>
            </w:pPr>
            <w:r w:rsidRPr="00923A56">
              <w:rPr>
                <w:rFonts w:ascii="Tahoma" w:hAnsi="Tahoma" w:cs="Tahoma"/>
                <w:color w:val="000000"/>
                <w:sz w:val="18"/>
                <w:szCs w:val="18"/>
              </w:rPr>
              <w:t>Até 202</w:t>
            </w:r>
            <w:r>
              <w:rPr>
                <w:rFonts w:ascii="Tahoma" w:hAnsi="Tahoma" w:cs="Tahoma"/>
                <w:color w:val="000000"/>
                <w:sz w:val="18"/>
                <w:szCs w:val="18"/>
              </w:rPr>
              <w:t>3</w:t>
            </w:r>
            <w:r w:rsidRPr="00923A56">
              <w:rPr>
                <w:rFonts w:ascii="Tahoma" w:hAnsi="Tahoma" w:cs="Tahoma"/>
                <w:color w:val="000000"/>
                <w:sz w:val="18"/>
                <w:szCs w:val="18"/>
              </w:rPr>
              <w:t xml:space="preserve">, </w:t>
            </w:r>
            <w:r>
              <w:rPr>
                <w:rFonts w:ascii="Tahoma" w:hAnsi="Tahoma" w:cs="Tahoma"/>
                <w:color w:val="000000"/>
                <w:sz w:val="18"/>
                <w:szCs w:val="18"/>
              </w:rPr>
              <w:t>foram a</w:t>
            </w:r>
            <w:r w:rsidRPr="00923A56">
              <w:rPr>
                <w:rFonts w:ascii="Tahoma" w:hAnsi="Tahoma" w:cs="Tahoma"/>
                <w:color w:val="000000"/>
                <w:sz w:val="18"/>
                <w:szCs w:val="18"/>
              </w:rPr>
              <w:t>portados R$ 1</w:t>
            </w:r>
            <w:r>
              <w:rPr>
                <w:rFonts w:ascii="Tahoma" w:hAnsi="Tahoma" w:cs="Tahoma"/>
                <w:color w:val="000000"/>
                <w:sz w:val="18"/>
                <w:szCs w:val="18"/>
              </w:rPr>
              <w:t>40</w:t>
            </w:r>
            <w:r w:rsidRPr="00923A56">
              <w:rPr>
                <w:rFonts w:ascii="Tahoma" w:hAnsi="Tahoma" w:cs="Tahoma"/>
                <w:color w:val="000000"/>
                <w:sz w:val="18"/>
                <w:szCs w:val="18"/>
              </w:rPr>
              <w:t xml:space="preserve"> mi de um total de R$ 380 mi comprometidos no Fundo</w:t>
            </w:r>
            <w:r>
              <w:rPr>
                <w:rFonts w:ascii="Tahoma" w:hAnsi="Tahoma" w:cs="Tahoma"/>
                <w:color w:val="000000"/>
                <w:sz w:val="18"/>
                <w:szCs w:val="18"/>
              </w:rPr>
              <w:t>, que investiu em</w:t>
            </w:r>
            <w:r w:rsidRPr="00923A56">
              <w:rPr>
                <w:rFonts w:ascii="Tahoma" w:hAnsi="Tahoma" w:cs="Tahoma"/>
                <w:color w:val="000000"/>
                <w:sz w:val="18"/>
                <w:szCs w:val="18"/>
              </w:rPr>
              <w:t xml:space="preserve"> quatro empresas</w:t>
            </w:r>
            <w:r>
              <w:rPr>
                <w:rFonts w:ascii="Tahoma" w:hAnsi="Tahoma" w:cs="Tahoma"/>
                <w:color w:val="000000"/>
                <w:sz w:val="18"/>
                <w:szCs w:val="18"/>
              </w:rPr>
              <w:t>. Em dezembro de 2023, havia</w:t>
            </w:r>
            <w:r w:rsidRPr="00923A56">
              <w:rPr>
                <w:rFonts w:ascii="Tahoma" w:hAnsi="Tahoma" w:cs="Tahoma"/>
                <w:color w:val="000000"/>
                <w:sz w:val="18"/>
                <w:szCs w:val="18"/>
              </w:rPr>
              <w:t xml:space="preserve"> duas </w:t>
            </w:r>
            <w:r>
              <w:rPr>
                <w:rFonts w:ascii="Tahoma" w:hAnsi="Tahoma" w:cs="Tahoma"/>
                <w:color w:val="000000"/>
                <w:sz w:val="18"/>
                <w:szCs w:val="18"/>
              </w:rPr>
              <w:t>empresas</w:t>
            </w:r>
            <w:r w:rsidRPr="00923A56">
              <w:rPr>
                <w:rFonts w:ascii="Tahoma" w:hAnsi="Tahoma" w:cs="Tahoma"/>
                <w:color w:val="000000"/>
                <w:sz w:val="18"/>
                <w:szCs w:val="18"/>
              </w:rPr>
              <w:t xml:space="preserve"> na carteira</w:t>
            </w:r>
            <w:r>
              <w:rPr>
                <w:rFonts w:ascii="Tahoma" w:hAnsi="Tahoma" w:cs="Tahoma"/>
                <w:color w:val="000000"/>
                <w:sz w:val="18"/>
                <w:szCs w:val="18"/>
              </w:rPr>
              <w:t xml:space="preserve">. Das quatro originalmente investidas, </w:t>
            </w:r>
            <w:r w:rsidRPr="00923A56">
              <w:rPr>
                <w:rFonts w:ascii="Tahoma" w:hAnsi="Tahoma" w:cs="Tahoma"/>
                <w:color w:val="000000"/>
                <w:sz w:val="18"/>
                <w:szCs w:val="18"/>
              </w:rPr>
              <w:t xml:space="preserve">uma foi vendida </w:t>
            </w:r>
            <w:r>
              <w:rPr>
                <w:rFonts w:ascii="Tahoma" w:hAnsi="Tahoma" w:cs="Tahoma"/>
                <w:color w:val="000000"/>
                <w:sz w:val="18"/>
                <w:szCs w:val="18"/>
              </w:rPr>
              <w:t xml:space="preserve">em 2022 </w:t>
            </w:r>
            <w:r w:rsidRPr="00923A56">
              <w:rPr>
                <w:rFonts w:ascii="Tahoma" w:hAnsi="Tahoma" w:cs="Tahoma"/>
                <w:color w:val="000000"/>
                <w:sz w:val="18"/>
                <w:szCs w:val="18"/>
              </w:rPr>
              <w:t>e outra cancelada sem retorno</w:t>
            </w:r>
            <w:r>
              <w:rPr>
                <w:rFonts w:ascii="Tahoma" w:hAnsi="Tahoma" w:cs="Tahoma"/>
                <w:color w:val="000000"/>
                <w:sz w:val="18"/>
                <w:szCs w:val="18"/>
              </w:rPr>
              <w:t xml:space="preserve"> para o Fundo</w:t>
            </w:r>
            <w:r w:rsidRPr="00923A56">
              <w:rPr>
                <w:rFonts w:ascii="Tahoma" w:hAnsi="Tahoma" w:cs="Tahoma"/>
                <w:color w:val="000000"/>
                <w:sz w:val="18"/>
                <w:szCs w:val="18"/>
              </w:rPr>
              <w:t>, por condições adversas de mercado.</w:t>
            </w:r>
          </w:p>
        </w:tc>
      </w:tr>
      <w:tr w:rsidR="002C7B08" w:rsidRPr="00923A56" w14:paraId="463EB295" w14:textId="77777777" w:rsidTr="006C1650">
        <w:trPr>
          <w:trHeight w:val="450"/>
        </w:trPr>
        <w:tc>
          <w:tcPr>
            <w:tcW w:w="500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0" w:type="dxa"/>
              <w:left w:w="108" w:type="dxa"/>
              <w:bottom w:w="0" w:type="dxa"/>
              <w:right w:w="108" w:type="dxa"/>
            </w:tcMar>
            <w:vAlign w:val="center"/>
          </w:tcPr>
          <w:p w14:paraId="45DE30D5" w14:textId="77777777" w:rsidR="002C7B08" w:rsidRPr="00923A56" w:rsidRDefault="002C7B08" w:rsidP="006C1650">
            <w:pPr>
              <w:rPr>
                <w:rFonts w:ascii="Tahoma" w:hAnsi="Tahoma" w:cs="Tahoma"/>
                <w:color w:val="000000"/>
                <w:sz w:val="18"/>
                <w:szCs w:val="18"/>
              </w:rPr>
            </w:pPr>
            <w:r w:rsidRPr="00923A56">
              <w:rPr>
                <w:rFonts w:ascii="Tahoma" w:hAnsi="Tahoma" w:cs="Tahoma"/>
                <w:color w:val="000000"/>
                <w:sz w:val="18"/>
                <w:szCs w:val="18"/>
              </w:rPr>
              <w:t>Capacitação e Premiação - Mulheres Inovadoras</w:t>
            </w:r>
          </w:p>
        </w:tc>
        <w:tc>
          <w:tcPr>
            <w:tcW w:w="56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0" w:type="dxa"/>
              <w:left w:w="108" w:type="dxa"/>
              <w:bottom w:w="0" w:type="dxa"/>
              <w:right w:w="108" w:type="dxa"/>
            </w:tcMar>
            <w:vAlign w:val="center"/>
          </w:tcPr>
          <w:p w14:paraId="7804300C" w14:textId="77777777" w:rsidR="002C7B08" w:rsidRDefault="002C7B08" w:rsidP="006C1650">
            <w:pPr>
              <w:rPr>
                <w:rFonts w:ascii="Tahoma" w:hAnsi="Tahoma" w:cs="Tahoma"/>
                <w:color w:val="000000"/>
                <w:sz w:val="18"/>
                <w:szCs w:val="18"/>
              </w:rPr>
            </w:pPr>
            <w:r w:rsidRPr="00781A40">
              <w:rPr>
                <w:rFonts w:ascii="Tahoma" w:hAnsi="Tahoma" w:cs="Tahoma"/>
                <w:color w:val="000000"/>
                <w:sz w:val="18"/>
                <w:szCs w:val="18"/>
              </w:rPr>
              <w:t xml:space="preserve">Em 2023, a Finep lançou e executou a </w:t>
            </w:r>
            <w:hyperlink r:id="rId20" w:history="1">
              <w:r w:rsidRPr="00781A40">
                <w:rPr>
                  <w:rStyle w:val="Hyperlink"/>
                  <w:rFonts w:ascii="Tahoma" w:hAnsi="Tahoma" w:cs="Tahoma"/>
                  <w:sz w:val="18"/>
                  <w:szCs w:val="18"/>
                </w:rPr>
                <w:t>4ª edição do Mulheres Inovadoras</w:t>
              </w:r>
            </w:hyperlink>
            <w:r w:rsidRPr="00781A40">
              <w:rPr>
                <w:rFonts w:ascii="Tahoma" w:hAnsi="Tahoma" w:cs="Tahoma"/>
                <w:color w:val="000000"/>
                <w:sz w:val="18"/>
                <w:szCs w:val="18"/>
              </w:rPr>
              <w:t xml:space="preserve">, acelerando </w:t>
            </w:r>
            <w:hyperlink r:id="rId21" w:history="1">
              <w:r w:rsidRPr="00781A40">
                <w:rPr>
                  <w:rStyle w:val="Hyperlink"/>
                  <w:rFonts w:ascii="Tahoma" w:hAnsi="Tahoma" w:cs="Tahoma"/>
                  <w:sz w:val="18"/>
                  <w:szCs w:val="18"/>
                </w:rPr>
                <w:t>31 startups</w:t>
              </w:r>
            </w:hyperlink>
            <w:r w:rsidRPr="00781A40">
              <w:rPr>
                <w:rFonts w:ascii="Tahoma" w:hAnsi="Tahoma" w:cs="Tahoma"/>
                <w:color w:val="000000"/>
                <w:sz w:val="18"/>
                <w:szCs w:val="18"/>
              </w:rPr>
              <w:t>, sendo sete da região Nordeste e seis de cada uma das outras regiões do Brasil. Ao final, todas as startups foram premiadas</w:t>
            </w:r>
            <w:r>
              <w:rPr>
                <w:rFonts w:ascii="Tahoma" w:hAnsi="Tahoma" w:cs="Tahoma"/>
                <w:color w:val="000000"/>
                <w:sz w:val="18"/>
                <w:szCs w:val="18"/>
              </w:rPr>
              <w:t>:</w:t>
            </w:r>
          </w:p>
          <w:p w14:paraId="53B42E53" w14:textId="77777777" w:rsidR="002C7B08" w:rsidRPr="00781A40" w:rsidRDefault="002C7B08" w:rsidP="006C1650">
            <w:pPr>
              <w:pStyle w:val="PargrafodaLista"/>
              <w:numPr>
                <w:ilvl w:val="0"/>
                <w:numId w:val="46"/>
              </w:numPr>
              <w:rPr>
                <w:rFonts w:ascii="Tahoma" w:hAnsi="Tahoma" w:cs="Tahoma"/>
                <w:color w:val="000000"/>
                <w:sz w:val="18"/>
                <w:szCs w:val="18"/>
              </w:rPr>
            </w:pPr>
            <w:r w:rsidRPr="00781A40">
              <w:rPr>
                <w:rFonts w:ascii="Tahoma" w:hAnsi="Tahoma" w:cs="Tahoma"/>
                <w:color w:val="000000"/>
                <w:sz w:val="18"/>
                <w:szCs w:val="18"/>
              </w:rPr>
              <w:t>A 1ª colocada de cada região recebeu um prêmio de R$ 100.000,00;</w:t>
            </w:r>
          </w:p>
          <w:p w14:paraId="42620AA2" w14:textId="77777777" w:rsidR="002C7B08" w:rsidRPr="00923A56" w:rsidRDefault="002C7B08" w:rsidP="006C1650">
            <w:pPr>
              <w:pStyle w:val="PargrafodaLista"/>
              <w:numPr>
                <w:ilvl w:val="0"/>
                <w:numId w:val="46"/>
              </w:numPr>
              <w:rPr>
                <w:rFonts w:ascii="Tahoma" w:hAnsi="Tahoma" w:cs="Tahoma"/>
                <w:color w:val="000000"/>
                <w:sz w:val="18"/>
                <w:szCs w:val="18"/>
              </w:rPr>
            </w:pPr>
            <w:r w:rsidRPr="00781A40">
              <w:rPr>
                <w:rFonts w:ascii="Tahoma" w:hAnsi="Tahoma" w:cs="Tahoma"/>
                <w:color w:val="000000"/>
                <w:sz w:val="18"/>
                <w:szCs w:val="18"/>
              </w:rPr>
              <w:t xml:space="preserve">As demais startups finalistas classificadas </w:t>
            </w:r>
            <w:r>
              <w:rPr>
                <w:rFonts w:ascii="Tahoma" w:hAnsi="Tahoma" w:cs="Tahoma"/>
                <w:color w:val="000000"/>
                <w:sz w:val="18"/>
                <w:szCs w:val="18"/>
              </w:rPr>
              <w:t>foram</w:t>
            </w:r>
            <w:r w:rsidRPr="00781A40">
              <w:rPr>
                <w:rFonts w:ascii="Tahoma" w:hAnsi="Tahoma" w:cs="Tahoma"/>
                <w:color w:val="000000"/>
                <w:sz w:val="18"/>
                <w:szCs w:val="18"/>
              </w:rPr>
              <w:t xml:space="preserve"> premiadas com R$ 52.000,00.</w:t>
            </w:r>
          </w:p>
        </w:tc>
      </w:tr>
      <w:tr w:rsidR="002C7B08" w:rsidRPr="00923A56" w14:paraId="3C4CF59D" w14:textId="77777777" w:rsidTr="006C1650">
        <w:trPr>
          <w:trHeight w:val="450"/>
        </w:trPr>
        <w:tc>
          <w:tcPr>
            <w:tcW w:w="500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0" w:type="dxa"/>
              <w:left w:w="108" w:type="dxa"/>
              <w:bottom w:w="0" w:type="dxa"/>
              <w:right w:w="108" w:type="dxa"/>
            </w:tcMar>
            <w:vAlign w:val="center"/>
          </w:tcPr>
          <w:p w14:paraId="6E55CDC6" w14:textId="77777777" w:rsidR="002C7B08" w:rsidRPr="00923A56" w:rsidRDefault="002C7B08" w:rsidP="006C1650">
            <w:pPr>
              <w:rPr>
                <w:rFonts w:ascii="Tahoma" w:hAnsi="Tahoma" w:cs="Tahoma"/>
                <w:color w:val="000000"/>
                <w:sz w:val="18"/>
                <w:szCs w:val="18"/>
              </w:rPr>
            </w:pPr>
            <w:r w:rsidRPr="00923A56">
              <w:rPr>
                <w:rFonts w:ascii="Tahoma" w:hAnsi="Tahoma" w:cs="Tahoma"/>
                <w:color w:val="000000"/>
                <w:sz w:val="18"/>
                <w:szCs w:val="18"/>
              </w:rPr>
              <w:t>Capacitação e Premiação - Espaço Finep</w:t>
            </w:r>
          </w:p>
        </w:tc>
        <w:tc>
          <w:tcPr>
            <w:tcW w:w="56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0" w:type="dxa"/>
              <w:left w:w="108" w:type="dxa"/>
              <w:bottom w:w="0" w:type="dxa"/>
              <w:right w:w="108" w:type="dxa"/>
            </w:tcMar>
            <w:vAlign w:val="center"/>
          </w:tcPr>
          <w:p w14:paraId="6CC4285A" w14:textId="77777777" w:rsidR="002C7B08" w:rsidRPr="00923A56" w:rsidRDefault="002C7B08" w:rsidP="006C1650">
            <w:pPr>
              <w:rPr>
                <w:rFonts w:ascii="Tahoma" w:hAnsi="Tahoma" w:cs="Tahoma"/>
                <w:color w:val="000000"/>
                <w:sz w:val="18"/>
                <w:szCs w:val="18"/>
              </w:rPr>
            </w:pPr>
            <w:r>
              <w:rPr>
                <w:rFonts w:ascii="Tahoma" w:hAnsi="Tahoma" w:cs="Tahoma"/>
                <w:color w:val="000000"/>
                <w:sz w:val="18"/>
                <w:szCs w:val="18"/>
              </w:rPr>
              <w:t>N</w:t>
            </w:r>
            <w:r w:rsidRPr="00781A40">
              <w:rPr>
                <w:rFonts w:ascii="Tahoma" w:hAnsi="Tahoma" w:cs="Tahoma"/>
                <w:color w:val="000000"/>
                <w:sz w:val="18"/>
                <w:szCs w:val="18"/>
              </w:rPr>
              <w:t>ão foi executada uma nova edição do programa em 2023</w:t>
            </w:r>
            <w:r>
              <w:rPr>
                <w:rFonts w:ascii="Tahoma" w:hAnsi="Tahoma" w:cs="Tahoma"/>
                <w:color w:val="000000"/>
                <w:sz w:val="18"/>
                <w:szCs w:val="18"/>
              </w:rPr>
              <w:t>.</w:t>
            </w:r>
          </w:p>
        </w:tc>
      </w:tr>
    </w:tbl>
    <w:p w14:paraId="6F7757AE" w14:textId="77777777" w:rsidR="002C7B08" w:rsidRDefault="002C7B08" w:rsidP="002C7B08">
      <w:pPr>
        <w:spacing w:after="160"/>
        <w:textAlignment w:val="baseline"/>
        <w:rPr>
          <w:rFonts w:ascii="Tahoma" w:hAnsi="Tahoma" w:cs="Tahoma"/>
          <w:sz w:val="19"/>
          <w:szCs w:val="19"/>
        </w:rPr>
      </w:pPr>
    </w:p>
    <w:p w14:paraId="506BB1A2" w14:textId="77777777" w:rsidR="002C7B08" w:rsidRDefault="002C7B08" w:rsidP="002C7B08">
      <w:pPr>
        <w:textAlignment w:val="baseline"/>
        <w:rPr>
          <w:rFonts w:ascii="Tahoma" w:hAnsi="Tahoma" w:cs="Tahoma"/>
          <w:sz w:val="19"/>
          <w:szCs w:val="19"/>
        </w:rPr>
      </w:pPr>
      <w:r>
        <w:rPr>
          <w:rFonts w:ascii="Tahoma" w:hAnsi="Tahoma" w:cs="Tahoma"/>
          <w:sz w:val="19"/>
          <w:szCs w:val="19"/>
        </w:rPr>
        <w:t>Notas:</w:t>
      </w:r>
    </w:p>
    <w:p w14:paraId="4E8A84C5" w14:textId="77777777" w:rsidR="002C7B08" w:rsidRDefault="002C7B08" w:rsidP="002C7B08">
      <w:pPr>
        <w:textAlignment w:val="baseline"/>
        <w:rPr>
          <w:rFonts w:ascii="Tahoma" w:hAnsi="Tahoma" w:cs="Tahoma"/>
          <w:sz w:val="19"/>
          <w:szCs w:val="19"/>
        </w:rPr>
      </w:pPr>
      <w:r w:rsidRPr="00DC50D6">
        <w:rPr>
          <w:rFonts w:ascii="Tahoma" w:hAnsi="Tahoma" w:cs="Tahoma"/>
          <w:sz w:val="19"/>
          <w:szCs w:val="19"/>
        </w:rPr>
        <w:t>Startups são empresas inovadoras com alto potencial de crescimento e retorno, que trabalham em condições de incerteza.</w:t>
      </w:r>
    </w:p>
    <w:p w14:paraId="33144924" w14:textId="77777777" w:rsidR="002C7B08" w:rsidRDefault="002C7B08" w:rsidP="002C7B08">
      <w:pPr>
        <w:textAlignment w:val="baseline"/>
        <w:rPr>
          <w:rFonts w:ascii="Tahoma" w:hAnsi="Tahoma" w:cs="Tahoma"/>
          <w:sz w:val="19"/>
          <w:szCs w:val="19"/>
        </w:rPr>
      </w:pPr>
      <w:r>
        <w:rPr>
          <w:rFonts w:ascii="Tahoma" w:hAnsi="Tahoma" w:cs="Tahoma"/>
          <w:sz w:val="19"/>
          <w:szCs w:val="19"/>
        </w:rPr>
        <w:t>Embora utilize a concessão de recursos financeiros como prêmios, o instrumento Capacitação e Premiação não é considerado um instrumento financeiro, pois tem foco na oferta de espaço, conhecimento, articulação e mentorias.</w:t>
      </w:r>
    </w:p>
    <w:p w14:paraId="62EF7A34" w14:textId="77FEE0FF" w:rsidR="003831BA" w:rsidRDefault="003831BA" w:rsidP="002F39AA">
      <w:pPr>
        <w:spacing w:before="120" w:after="120" w:line="360" w:lineRule="auto"/>
        <w:rPr>
          <w:rFonts w:ascii="Tahoma" w:hAnsi="Tahoma" w:cs="Tahoma"/>
          <w:sz w:val="19"/>
          <w:szCs w:val="19"/>
        </w:rPr>
      </w:pPr>
    </w:p>
    <w:p w14:paraId="706316CA" w14:textId="77777777" w:rsidR="00822E29" w:rsidRDefault="00822E29">
      <w:pPr>
        <w:autoSpaceDN w:val="0"/>
        <w:spacing w:after="160"/>
        <w:textAlignment w:val="baseline"/>
        <w:rPr>
          <w:rFonts w:ascii="Tahoma" w:hAnsi="Tahoma" w:cs="Tahoma"/>
          <w:sz w:val="19"/>
          <w:szCs w:val="19"/>
        </w:rPr>
      </w:pPr>
      <w:bookmarkStart w:id="18" w:name="_Toc92410421"/>
      <w:bookmarkStart w:id="19" w:name="_Toc92995158"/>
      <w:bookmarkStart w:id="20" w:name="_Toc93683620"/>
      <w:bookmarkStart w:id="21" w:name="_Toc94256454"/>
      <w:bookmarkStart w:id="22" w:name="_Toc94278179"/>
      <w:bookmarkStart w:id="23" w:name="_Toc97244789"/>
      <w:bookmarkStart w:id="24" w:name="_Toc105003777"/>
      <w:bookmarkStart w:id="25" w:name="_Toc105006460"/>
    </w:p>
    <w:p w14:paraId="31666E61" w14:textId="0F7F3F98" w:rsidR="00822E29" w:rsidRDefault="00C90AE6">
      <w:pPr>
        <w:autoSpaceDN w:val="0"/>
        <w:spacing w:after="160"/>
        <w:textAlignment w:val="baseline"/>
        <w:rPr>
          <w:rFonts w:ascii="Tahoma" w:hAnsi="Tahoma" w:cs="Tahoma"/>
          <w:sz w:val="19"/>
          <w:szCs w:val="19"/>
        </w:rPr>
      </w:pPr>
      <w:r w:rsidRPr="00C90AE6">
        <w:rPr>
          <w:rFonts w:ascii="Tahoma" w:hAnsi="Tahoma" w:cs="Tahoma"/>
          <w:sz w:val="19"/>
          <w:szCs w:val="19"/>
        </w:rPr>
        <w:lastRenderedPageBreak/>
        <w:t>Os recursos do FNDCT transferidos por TED em 2023 destinaram-se às seguintes instituições/programas:</w:t>
      </w:r>
    </w:p>
    <w:tbl>
      <w:tblPr>
        <w:tblW w:w="10149" w:type="dxa"/>
        <w:tblBorders>
          <w:top w:val="single" w:sz="8" w:space="0" w:color="BFBFBF" w:themeColor="background1" w:themeShade="BF"/>
          <w:bottom w:val="single" w:sz="8" w:space="0" w:color="BFBFBF" w:themeColor="background1" w:themeShade="BF"/>
          <w:insideH w:val="single" w:sz="8" w:space="0" w:color="BFBFBF" w:themeColor="background1" w:themeShade="BF"/>
          <w:insideV w:val="single" w:sz="8" w:space="0" w:color="BFBFBF" w:themeColor="background1" w:themeShade="BF"/>
        </w:tblBorders>
        <w:tblCellMar>
          <w:left w:w="0" w:type="dxa"/>
          <w:right w:w="0" w:type="dxa"/>
        </w:tblCellMar>
        <w:tblLook w:val="04A0" w:firstRow="1" w:lastRow="0" w:firstColumn="1" w:lastColumn="0" w:noHBand="0" w:noVBand="1"/>
      </w:tblPr>
      <w:tblGrid>
        <w:gridCol w:w="5812"/>
        <w:gridCol w:w="1985"/>
        <w:gridCol w:w="2352"/>
      </w:tblGrid>
      <w:tr w:rsidR="007B042A" w:rsidRPr="007B042A" w14:paraId="715980FB" w14:textId="77777777" w:rsidTr="00145E5A">
        <w:trPr>
          <w:trHeight w:val="454"/>
        </w:trPr>
        <w:tc>
          <w:tcPr>
            <w:tcW w:w="5812" w:type="dxa"/>
            <w:shd w:val="clear" w:color="auto" w:fill="auto"/>
            <w:tcMar>
              <w:top w:w="13" w:type="dxa"/>
              <w:left w:w="59" w:type="dxa"/>
              <w:bottom w:w="0" w:type="dxa"/>
              <w:right w:w="59" w:type="dxa"/>
            </w:tcMar>
            <w:vAlign w:val="center"/>
            <w:hideMark/>
          </w:tcPr>
          <w:p w14:paraId="199E0E6F" w14:textId="77777777" w:rsidR="007B042A" w:rsidRPr="007B042A" w:rsidRDefault="007B042A" w:rsidP="007B042A">
            <w:pPr>
              <w:rPr>
                <w:rFonts w:ascii="Arial" w:hAnsi="Arial" w:cs="Arial"/>
                <w:sz w:val="19"/>
                <w:szCs w:val="19"/>
              </w:rPr>
            </w:pPr>
            <w:r w:rsidRPr="007B042A">
              <w:rPr>
                <w:rFonts w:ascii="Tahoma" w:hAnsi="Tahoma"/>
                <w:color w:val="0098BA"/>
                <w:kern w:val="24"/>
                <w:sz w:val="19"/>
                <w:szCs w:val="19"/>
              </w:rPr>
              <w:t>Transferências realizadas (2023)</w:t>
            </w:r>
          </w:p>
        </w:tc>
        <w:tc>
          <w:tcPr>
            <w:tcW w:w="1985" w:type="dxa"/>
            <w:shd w:val="clear" w:color="auto" w:fill="auto"/>
            <w:tcMar>
              <w:top w:w="13" w:type="dxa"/>
              <w:left w:w="59" w:type="dxa"/>
              <w:bottom w:w="0" w:type="dxa"/>
              <w:right w:w="59" w:type="dxa"/>
            </w:tcMar>
            <w:vAlign w:val="center"/>
            <w:hideMark/>
          </w:tcPr>
          <w:p w14:paraId="5F9C65BB" w14:textId="77777777" w:rsidR="007B042A" w:rsidRPr="007B042A" w:rsidRDefault="007B042A" w:rsidP="007B042A">
            <w:pPr>
              <w:jc w:val="center"/>
              <w:rPr>
                <w:rFonts w:ascii="Arial" w:hAnsi="Arial" w:cs="Arial"/>
                <w:sz w:val="19"/>
                <w:szCs w:val="19"/>
              </w:rPr>
            </w:pPr>
            <w:r w:rsidRPr="007B042A">
              <w:rPr>
                <w:rFonts w:ascii="Tahoma" w:hAnsi="Tahoma"/>
                <w:color w:val="0098BA"/>
                <w:kern w:val="24"/>
                <w:sz w:val="19"/>
                <w:szCs w:val="19"/>
              </w:rPr>
              <w:t>Número de TEDs</w:t>
            </w:r>
          </w:p>
        </w:tc>
        <w:tc>
          <w:tcPr>
            <w:tcW w:w="2352" w:type="dxa"/>
            <w:shd w:val="clear" w:color="auto" w:fill="auto"/>
            <w:tcMar>
              <w:top w:w="13" w:type="dxa"/>
              <w:left w:w="59" w:type="dxa"/>
              <w:bottom w:w="0" w:type="dxa"/>
              <w:right w:w="59" w:type="dxa"/>
            </w:tcMar>
            <w:vAlign w:val="center"/>
            <w:hideMark/>
          </w:tcPr>
          <w:p w14:paraId="0DF7AAA0" w14:textId="77777777" w:rsidR="007B042A" w:rsidRPr="007B042A" w:rsidRDefault="007B042A" w:rsidP="007B042A">
            <w:pPr>
              <w:jc w:val="center"/>
              <w:rPr>
                <w:rFonts w:ascii="Arial" w:hAnsi="Arial" w:cs="Arial"/>
                <w:sz w:val="19"/>
                <w:szCs w:val="19"/>
              </w:rPr>
            </w:pPr>
            <w:r w:rsidRPr="007B042A">
              <w:rPr>
                <w:rFonts w:ascii="Tahoma" w:hAnsi="Tahoma"/>
                <w:color w:val="0098BA"/>
                <w:kern w:val="24"/>
                <w:sz w:val="19"/>
                <w:szCs w:val="19"/>
                <w:highlight w:val="white"/>
              </w:rPr>
              <w:t>Valor transferido (R$)</w:t>
            </w:r>
          </w:p>
        </w:tc>
      </w:tr>
      <w:tr w:rsidR="007B042A" w:rsidRPr="007B042A" w14:paraId="34CF62D0" w14:textId="77777777" w:rsidTr="00145E5A">
        <w:trPr>
          <w:trHeight w:val="454"/>
        </w:trPr>
        <w:tc>
          <w:tcPr>
            <w:tcW w:w="5812" w:type="dxa"/>
            <w:shd w:val="clear" w:color="auto" w:fill="auto"/>
            <w:tcMar>
              <w:top w:w="13" w:type="dxa"/>
              <w:left w:w="59" w:type="dxa"/>
              <w:bottom w:w="0" w:type="dxa"/>
              <w:right w:w="59" w:type="dxa"/>
            </w:tcMar>
            <w:vAlign w:val="center"/>
            <w:hideMark/>
          </w:tcPr>
          <w:p w14:paraId="11B61A9E" w14:textId="77777777" w:rsidR="007B042A" w:rsidRPr="007B042A" w:rsidRDefault="007B042A" w:rsidP="007B042A">
            <w:pPr>
              <w:rPr>
                <w:rFonts w:ascii="Arial" w:hAnsi="Arial" w:cs="Arial"/>
                <w:sz w:val="19"/>
                <w:szCs w:val="19"/>
              </w:rPr>
            </w:pPr>
            <w:r w:rsidRPr="007B042A">
              <w:rPr>
                <w:rFonts w:ascii="Tahoma" w:hAnsi="Tahoma"/>
                <w:b/>
                <w:bCs/>
                <w:color w:val="000000"/>
                <w:kern w:val="24"/>
                <w:sz w:val="19"/>
                <w:szCs w:val="19"/>
              </w:rPr>
              <w:t>CNPq</w:t>
            </w:r>
            <w:r w:rsidRPr="007B042A">
              <w:rPr>
                <w:rFonts w:ascii="Tahoma" w:hAnsi="Tahoma"/>
                <w:color w:val="000000"/>
                <w:kern w:val="24"/>
                <w:sz w:val="19"/>
                <w:szCs w:val="19"/>
              </w:rPr>
              <w:t xml:space="preserve"> (Conselho Nacional de Desenvolvimento Científico e Tecnológico)</w:t>
            </w:r>
          </w:p>
        </w:tc>
        <w:tc>
          <w:tcPr>
            <w:tcW w:w="1985" w:type="dxa"/>
            <w:shd w:val="clear" w:color="auto" w:fill="auto"/>
            <w:tcMar>
              <w:top w:w="13" w:type="dxa"/>
              <w:left w:w="59" w:type="dxa"/>
              <w:bottom w:w="0" w:type="dxa"/>
              <w:right w:w="59" w:type="dxa"/>
            </w:tcMar>
            <w:vAlign w:val="center"/>
            <w:hideMark/>
          </w:tcPr>
          <w:p w14:paraId="1227D593" w14:textId="77777777" w:rsidR="007B042A" w:rsidRPr="007B042A" w:rsidRDefault="007B042A" w:rsidP="007B042A">
            <w:pPr>
              <w:jc w:val="center"/>
              <w:rPr>
                <w:rFonts w:ascii="Arial" w:hAnsi="Arial" w:cs="Arial"/>
                <w:sz w:val="19"/>
                <w:szCs w:val="19"/>
              </w:rPr>
            </w:pPr>
            <w:r w:rsidRPr="007B042A">
              <w:rPr>
                <w:rFonts w:ascii="Tahoma" w:hAnsi="Tahoma"/>
                <w:color w:val="000000"/>
                <w:kern w:val="24"/>
                <w:sz w:val="19"/>
                <w:szCs w:val="19"/>
              </w:rPr>
              <w:t>70</w:t>
            </w:r>
          </w:p>
        </w:tc>
        <w:tc>
          <w:tcPr>
            <w:tcW w:w="2352" w:type="dxa"/>
            <w:shd w:val="clear" w:color="auto" w:fill="auto"/>
            <w:tcMar>
              <w:top w:w="13" w:type="dxa"/>
              <w:left w:w="59" w:type="dxa"/>
              <w:bottom w:w="0" w:type="dxa"/>
              <w:right w:w="59" w:type="dxa"/>
            </w:tcMar>
            <w:vAlign w:val="center"/>
            <w:hideMark/>
          </w:tcPr>
          <w:p w14:paraId="1D392865" w14:textId="77777777" w:rsidR="007B042A" w:rsidRPr="007B042A" w:rsidRDefault="007B042A" w:rsidP="00741036">
            <w:pPr>
              <w:jc w:val="right"/>
              <w:rPr>
                <w:rFonts w:ascii="Arial" w:hAnsi="Arial" w:cs="Arial"/>
                <w:sz w:val="19"/>
                <w:szCs w:val="19"/>
              </w:rPr>
            </w:pPr>
            <w:r w:rsidRPr="007B042A">
              <w:rPr>
                <w:rFonts w:ascii="Tahoma" w:hAnsi="Tahoma"/>
                <w:color w:val="000000"/>
                <w:kern w:val="24"/>
                <w:sz w:val="19"/>
                <w:szCs w:val="19"/>
                <w:highlight w:val="white"/>
              </w:rPr>
              <w:t>937.309.983,61</w:t>
            </w:r>
          </w:p>
        </w:tc>
      </w:tr>
      <w:tr w:rsidR="007B042A" w:rsidRPr="00F311B9" w14:paraId="334DE0DC" w14:textId="77777777" w:rsidTr="00145E5A">
        <w:trPr>
          <w:gridAfter w:val="2"/>
          <w:wAfter w:w="4337" w:type="dxa"/>
          <w:trHeight w:val="340"/>
        </w:trPr>
        <w:tc>
          <w:tcPr>
            <w:tcW w:w="5812" w:type="dxa"/>
            <w:shd w:val="clear" w:color="auto" w:fill="auto"/>
            <w:tcMar>
              <w:top w:w="67" w:type="dxa"/>
              <w:left w:w="59" w:type="dxa"/>
              <w:bottom w:w="67" w:type="dxa"/>
              <w:right w:w="59" w:type="dxa"/>
            </w:tcMar>
            <w:vAlign w:val="center"/>
            <w:hideMark/>
          </w:tcPr>
          <w:p w14:paraId="130EA147" w14:textId="77777777" w:rsidR="007B042A" w:rsidRPr="00F311B9" w:rsidRDefault="007B042A" w:rsidP="007B042A">
            <w:pPr>
              <w:rPr>
                <w:rFonts w:ascii="Tahoma" w:hAnsi="Tahoma"/>
                <w:b/>
                <w:bCs/>
                <w:color w:val="000000"/>
                <w:kern w:val="24"/>
                <w:sz w:val="19"/>
                <w:szCs w:val="19"/>
              </w:rPr>
            </w:pPr>
            <w:r w:rsidRPr="00F311B9">
              <w:rPr>
                <w:rFonts w:ascii="Tahoma" w:hAnsi="Tahoma"/>
                <w:b/>
                <w:bCs/>
                <w:color w:val="000000"/>
                <w:kern w:val="24"/>
                <w:sz w:val="19"/>
                <w:szCs w:val="19"/>
              </w:rPr>
              <w:t>Organizações Sociais</w:t>
            </w:r>
          </w:p>
        </w:tc>
      </w:tr>
      <w:tr w:rsidR="007B042A" w:rsidRPr="007B042A" w14:paraId="4FF3B405" w14:textId="77777777" w:rsidTr="00145E5A">
        <w:trPr>
          <w:trHeight w:val="454"/>
        </w:trPr>
        <w:tc>
          <w:tcPr>
            <w:tcW w:w="5812" w:type="dxa"/>
            <w:shd w:val="clear" w:color="auto" w:fill="auto"/>
            <w:tcMar>
              <w:top w:w="13" w:type="dxa"/>
              <w:left w:w="59" w:type="dxa"/>
              <w:bottom w:w="0" w:type="dxa"/>
              <w:right w:w="59" w:type="dxa"/>
            </w:tcMar>
            <w:vAlign w:val="center"/>
            <w:hideMark/>
          </w:tcPr>
          <w:p w14:paraId="4DB81703" w14:textId="77777777" w:rsidR="007B042A" w:rsidRPr="007B042A" w:rsidRDefault="007B042A" w:rsidP="007B042A">
            <w:pPr>
              <w:ind w:left="216"/>
              <w:rPr>
                <w:rFonts w:ascii="Arial" w:hAnsi="Arial" w:cs="Arial"/>
                <w:sz w:val="19"/>
                <w:szCs w:val="19"/>
              </w:rPr>
            </w:pPr>
            <w:r w:rsidRPr="007B042A">
              <w:rPr>
                <w:rFonts w:ascii="Tahoma" w:hAnsi="Tahoma"/>
                <w:color w:val="000000"/>
                <w:kern w:val="24"/>
                <w:sz w:val="19"/>
                <w:szCs w:val="19"/>
              </w:rPr>
              <w:t>CNPEM (Centro Nacional de Pesquisa em Energia e Materiais)</w:t>
            </w:r>
          </w:p>
        </w:tc>
        <w:tc>
          <w:tcPr>
            <w:tcW w:w="1985" w:type="dxa"/>
            <w:shd w:val="clear" w:color="auto" w:fill="auto"/>
            <w:tcMar>
              <w:top w:w="13" w:type="dxa"/>
              <w:left w:w="59" w:type="dxa"/>
              <w:bottom w:w="0" w:type="dxa"/>
              <w:right w:w="59" w:type="dxa"/>
            </w:tcMar>
            <w:vAlign w:val="center"/>
            <w:hideMark/>
          </w:tcPr>
          <w:p w14:paraId="2A57A5AF" w14:textId="77777777" w:rsidR="007B042A" w:rsidRPr="007B042A" w:rsidRDefault="007B042A" w:rsidP="00811B50">
            <w:pPr>
              <w:jc w:val="center"/>
              <w:rPr>
                <w:rFonts w:ascii="Tahoma" w:hAnsi="Tahoma"/>
                <w:color w:val="000000"/>
                <w:kern w:val="24"/>
                <w:sz w:val="19"/>
                <w:szCs w:val="19"/>
              </w:rPr>
            </w:pPr>
            <w:r w:rsidRPr="007B042A">
              <w:rPr>
                <w:rFonts w:ascii="Tahoma" w:hAnsi="Tahoma"/>
                <w:color w:val="000000"/>
                <w:kern w:val="24"/>
                <w:sz w:val="19"/>
                <w:szCs w:val="19"/>
              </w:rPr>
              <w:t>1</w:t>
            </w:r>
          </w:p>
        </w:tc>
        <w:tc>
          <w:tcPr>
            <w:tcW w:w="2352" w:type="dxa"/>
            <w:shd w:val="clear" w:color="auto" w:fill="auto"/>
            <w:tcMar>
              <w:top w:w="13" w:type="dxa"/>
              <w:left w:w="59" w:type="dxa"/>
              <w:bottom w:w="0" w:type="dxa"/>
              <w:right w:w="59" w:type="dxa"/>
            </w:tcMar>
            <w:vAlign w:val="center"/>
            <w:hideMark/>
          </w:tcPr>
          <w:p w14:paraId="7F7BEB02" w14:textId="77777777" w:rsidR="007B042A" w:rsidRPr="007B042A" w:rsidRDefault="007B042A" w:rsidP="00811B50">
            <w:pPr>
              <w:ind w:firstLine="418"/>
              <w:jc w:val="right"/>
              <w:rPr>
                <w:rFonts w:ascii="Arial" w:hAnsi="Arial" w:cs="Arial"/>
                <w:sz w:val="19"/>
                <w:szCs w:val="19"/>
              </w:rPr>
            </w:pPr>
            <w:r w:rsidRPr="007B042A">
              <w:rPr>
                <w:rFonts w:ascii="Tahoma" w:hAnsi="Tahoma"/>
                <w:color w:val="000000"/>
                <w:kern w:val="24"/>
                <w:sz w:val="19"/>
                <w:szCs w:val="19"/>
                <w:highlight w:val="white"/>
              </w:rPr>
              <w:t>116.084.260,00</w:t>
            </w:r>
          </w:p>
        </w:tc>
      </w:tr>
      <w:tr w:rsidR="007B042A" w:rsidRPr="007B042A" w14:paraId="04579A23" w14:textId="77777777" w:rsidTr="00145E5A">
        <w:trPr>
          <w:trHeight w:val="454"/>
        </w:trPr>
        <w:tc>
          <w:tcPr>
            <w:tcW w:w="5812" w:type="dxa"/>
            <w:shd w:val="clear" w:color="auto" w:fill="auto"/>
            <w:tcMar>
              <w:top w:w="13" w:type="dxa"/>
              <w:left w:w="59" w:type="dxa"/>
              <w:bottom w:w="0" w:type="dxa"/>
              <w:right w:w="59" w:type="dxa"/>
            </w:tcMar>
            <w:vAlign w:val="center"/>
            <w:hideMark/>
          </w:tcPr>
          <w:p w14:paraId="534E0D3D" w14:textId="77777777" w:rsidR="007B042A" w:rsidRPr="007B042A" w:rsidRDefault="007B042A" w:rsidP="007B042A">
            <w:pPr>
              <w:ind w:left="216"/>
              <w:rPr>
                <w:rFonts w:ascii="Arial" w:hAnsi="Arial" w:cs="Arial"/>
                <w:sz w:val="19"/>
                <w:szCs w:val="19"/>
              </w:rPr>
            </w:pPr>
            <w:r w:rsidRPr="007B042A">
              <w:rPr>
                <w:rFonts w:ascii="Tahoma" w:hAnsi="Tahoma"/>
                <w:color w:val="000000"/>
                <w:kern w:val="24"/>
                <w:sz w:val="19"/>
                <w:szCs w:val="19"/>
              </w:rPr>
              <w:t>CNPEM - SIRIUS*</w:t>
            </w:r>
          </w:p>
        </w:tc>
        <w:tc>
          <w:tcPr>
            <w:tcW w:w="1985" w:type="dxa"/>
            <w:shd w:val="clear" w:color="auto" w:fill="auto"/>
            <w:tcMar>
              <w:top w:w="13" w:type="dxa"/>
              <w:left w:w="59" w:type="dxa"/>
              <w:bottom w:w="0" w:type="dxa"/>
              <w:right w:w="59" w:type="dxa"/>
            </w:tcMar>
            <w:vAlign w:val="center"/>
            <w:hideMark/>
          </w:tcPr>
          <w:p w14:paraId="745ECCCD" w14:textId="77777777" w:rsidR="007B042A" w:rsidRPr="007B042A" w:rsidRDefault="007B042A" w:rsidP="00811B50">
            <w:pPr>
              <w:jc w:val="center"/>
              <w:rPr>
                <w:rFonts w:ascii="Tahoma" w:hAnsi="Tahoma"/>
                <w:color w:val="000000"/>
                <w:kern w:val="24"/>
                <w:sz w:val="19"/>
                <w:szCs w:val="19"/>
              </w:rPr>
            </w:pPr>
            <w:r w:rsidRPr="007B042A">
              <w:rPr>
                <w:rFonts w:ascii="Tahoma" w:hAnsi="Tahoma"/>
                <w:color w:val="000000"/>
                <w:kern w:val="24"/>
                <w:sz w:val="19"/>
                <w:szCs w:val="19"/>
              </w:rPr>
              <w:t>3</w:t>
            </w:r>
          </w:p>
        </w:tc>
        <w:tc>
          <w:tcPr>
            <w:tcW w:w="2352" w:type="dxa"/>
            <w:shd w:val="clear" w:color="auto" w:fill="auto"/>
            <w:tcMar>
              <w:top w:w="13" w:type="dxa"/>
              <w:left w:w="59" w:type="dxa"/>
              <w:bottom w:w="0" w:type="dxa"/>
              <w:right w:w="59" w:type="dxa"/>
            </w:tcMar>
            <w:vAlign w:val="center"/>
            <w:hideMark/>
          </w:tcPr>
          <w:p w14:paraId="73E3C709" w14:textId="77777777" w:rsidR="007B042A" w:rsidRPr="007B042A" w:rsidRDefault="007B042A" w:rsidP="00811B50">
            <w:pPr>
              <w:ind w:firstLine="418"/>
              <w:jc w:val="right"/>
              <w:rPr>
                <w:rFonts w:ascii="Arial" w:hAnsi="Arial" w:cs="Arial"/>
                <w:sz w:val="19"/>
                <w:szCs w:val="19"/>
              </w:rPr>
            </w:pPr>
            <w:r w:rsidRPr="007B042A">
              <w:rPr>
                <w:rFonts w:ascii="Tahoma" w:hAnsi="Tahoma"/>
                <w:color w:val="000000"/>
                <w:kern w:val="24"/>
                <w:sz w:val="19"/>
                <w:szCs w:val="19"/>
                <w:highlight w:val="white"/>
              </w:rPr>
              <w:t>425.000.000,00</w:t>
            </w:r>
          </w:p>
        </w:tc>
      </w:tr>
      <w:tr w:rsidR="007B042A" w:rsidRPr="007B042A" w14:paraId="03467BC5" w14:textId="77777777" w:rsidTr="00145E5A">
        <w:trPr>
          <w:trHeight w:val="454"/>
        </w:trPr>
        <w:tc>
          <w:tcPr>
            <w:tcW w:w="5812" w:type="dxa"/>
            <w:shd w:val="clear" w:color="auto" w:fill="auto"/>
            <w:tcMar>
              <w:top w:w="13" w:type="dxa"/>
              <w:left w:w="59" w:type="dxa"/>
              <w:bottom w:w="0" w:type="dxa"/>
              <w:right w:w="59" w:type="dxa"/>
            </w:tcMar>
            <w:vAlign w:val="center"/>
            <w:hideMark/>
          </w:tcPr>
          <w:p w14:paraId="2FC0D98D" w14:textId="77777777" w:rsidR="007B042A" w:rsidRPr="007B042A" w:rsidRDefault="007B042A" w:rsidP="007B042A">
            <w:pPr>
              <w:ind w:left="216"/>
              <w:rPr>
                <w:rFonts w:ascii="Arial" w:hAnsi="Arial" w:cs="Arial"/>
                <w:sz w:val="19"/>
                <w:szCs w:val="19"/>
              </w:rPr>
            </w:pPr>
            <w:r w:rsidRPr="007B042A">
              <w:rPr>
                <w:rFonts w:ascii="Tahoma" w:hAnsi="Tahoma"/>
                <w:color w:val="000000"/>
                <w:kern w:val="24"/>
                <w:sz w:val="19"/>
                <w:szCs w:val="19"/>
              </w:rPr>
              <w:t>CNPEM - LNMCB (Laboratório Nacional de Máxima Contenção Biológica)**</w:t>
            </w:r>
          </w:p>
        </w:tc>
        <w:tc>
          <w:tcPr>
            <w:tcW w:w="1985" w:type="dxa"/>
            <w:shd w:val="clear" w:color="auto" w:fill="auto"/>
            <w:tcMar>
              <w:top w:w="13" w:type="dxa"/>
              <w:left w:w="59" w:type="dxa"/>
              <w:bottom w:w="0" w:type="dxa"/>
              <w:right w:w="59" w:type="dxa"/>
            </w:tcMar>
            <w:vAlign w:val="center"/>
            <w:hideMark/>
          </w:tcPr>
          <w:p w14:paraId="1466CFD7" w14:textId="77777777" w:rsidR="007B042A" w:rsidRPr="007B042A" w:rsidRDefault="007B042A" w:rsidP="00811B50">
            <w:pPr>
              <w:jc w:val="center"/>
              <w:rPr>
                <w:rFonts w:ascii="Tahoma" w:hAnsi="Tahoma"/>
                <w:color w:val="000000"/>
                <w:kern w:val="24"/>
                <w:sz w:val="19"/>
                <w:szCs w:val="19"/>
              </w:rPr>
            </w:pPr>
            <w:r w:rsidRPr="007B042A">
              <w:rPr>
                <w:rFonts w:ascii="Tahoma" w:hAnsi="Tahoma"/>
                <w:color w:val="000000"/>
                <w:kern w:val="24"/>
                <w:sz w:val="19"/>
                <w:szCs w:val="19"/>
              </w:rPr>
              <w:t>1</w:t>
            </w:r>
          </w:p>
        </w:tc>
        <w:tc>
          <w:tcPr>
            <w:tcW w:w="2352" w:type="dxa"/>
            <w:shd w:val="clear" w:color="auto" w:fill="auto"/>
            <w:tcMar>
              <w:top w:w="13" w:type="dxa"/>
              <w:left w:w="59" w:type="dxa"/>
              <w:bottom w:w="0" w:type="dxa"/>
              <w:right w:w="59" w:type="dxa"/>
            </w:tcMar>
            <w:vAlign w:val="center"/>
            <w:hideMark/>
          </w:tcPr>
          <w:p w14:paraId="474027DF" w14:textId="77777777" w:rsidR="007B042A" w:rsidRPr="007B042A" w:rsidRDefault="007B042A" w:rsidP="00811B50">
            <w:pPr>
              <w:ind w:firstLine="418"/>
              <w:jc w:val="right"/>
              <w:rPr>
                <w:rFonts w:ascii="Arial" w:hAnsi="Arial" w:cs="Arial"/>
                <w:sz w:val="19"/>
                <w:szCs w:val="19"/>
              </w:rPr>
            </w:pPr>
            <w:r w:rsidRPr="007B042A">
              <w:rPr>
                <w:rFonts w:ascii="Tahoma" w:hAnsi="Tahoma"/>
                <w:color w:val="000000"/>
                <w:kern w:val="24"/>
                <w:sz w:val="19"/>
                <w:szCs w:val="19"/>
                <w:highlight w:val="white"/>
              </w:rPr>
              <w:t>200.000.000,00</w:t>
            </w:r>
          </w:p>
        </w:tc>
      </w:tr>
      <w:tr w:rsidR="007B042A" w:rsidRPr="007B042A" w14:paraId="1D6E91A5" w14:textId="77777777" w:rsidTr="00145E5A">
        <w:trPr>
          <w:trHeight w:val="454"/>
        </w:trPr>
        <w:tc>
          <w:tcPr>
            <w:tcW w:w="5812" w:type="dxa"/>
            <w:shd w:val="clear" w:color="auto" w:fill="auto"/>
            <w:tcMar>
              <w:top w:w="13" w:type="dxa"/>
              <w:left w:w="59" w:type="dxa"/>
              <w:bottom w:w="0" w:type="dxa"/>
              <w:right w:w="59" w:type="dxa"/>
            </w:tcMar>
            <w:vAlign w:val="center"/>
            <w:hideMark/>
          </w:tcPr>
          <w:p w14:paraId="4206DB4E" w14:textId="77777777" w:rsidR="007B042A" w:rsidRPr="007B042A" w:rsidRDefault="007B042A" w:rsidP="007B042A">
            <w:pPr>
              <w:ind w:left="216"/>
              <w:rPr>
                <w:rFonts w:ascii="Arial" w:hAnsi="Arial" w:cs="Arial"/>
                <w:sz w:val="19"/>
                <w:szCs w:val="19"/>
              </w:rPr>
            </w:pPr>
            <w:r w:rsidRPr="007B042A">
              <w:rPr>
                <w:rFonts w:ascii="Tahoma" w:hAnsi="Tahoma"/>
                <w:color w:val="000000"/>
                <w:kern w:val="24"/>
                <w:sz w:val="19"/>
                <w:szCs w:val="19"/>
              </w:rPr>
              <w:t>EMBRAPII (Empresa Brasileira de Pesquisa e Inovação Industrial)</w:t>
            </w:r>
          </w:p>
        </w:tc>
        <w:tc>
          <w:tcPr>
            <w:tcW w:w="1985" w:type="dxa"/>
            <w:shd w:val="clear" w:color="auto" w:fill="auto"/>
            <w:tcMar>
              <w:top w:w="13" w:type="dxa"/>
              <w:left w:w="59" w:type="dxa"/>
              <w:bottom w:w="0" w:type="dxa"/>
              <w:right w:w="59" w:type="dxa"/>
            </w:tcMar>
            <w:vAlign w:val="center"/>
            <w:hideMark/>
          </w:tcPr>
          <w:p w14:paraId="1C1815A8" w14:textId="77777777" w:rsidR="007B042A" w:rsidRPr="007B042A" w:rsidRDefault="007B042A" w:rsidP="00811B50">
            <w:pPr>
              <w:jc w:val="center"/>
              <w:rPr>
                <w:rFonts w:ascii="Tahoma" w:hAnsi="Tahoma"/>
                <w:color w:val="000000"/>
                <w:kern w:val="24"/>
                <w:sz w:val="19"/>
                <w:szCs w:val="19"/>
              </w:rPr>
            </w:pPr>
            <w:r w:rsidRPr="007B042A">
              <w:rPr>
                <w:rFonts w:ascii="Tahoma" w:hAnsi="Tahoma"/>
                <w:color w:val="000000"/>
                <w:kern w:val="24"/>
                <w:sz w:val="19"/>
                <w:szCs w:val="19"/>
              </w:rPr>
              <w:t>2</w:t>
            </w:r>
          </w:p>
        </w:tc>
        <w:tc>
          <w:tcPr>
            <w:tcW w:w="2352" w:type="dxa"/>
            <w:shd w:val="clear" w:color="auto" w:fill="auto"/>
            <w:tcMar>
              <w:top w:w="13" w:type="dxa"/>
              <w:left w:w="59" w:type="dxa"/>
              <w:bottom w:w="0" w:type="dxa"/>
              <w:right w:w="59" w:type="dxa"/>
            </w:tcMar>
            <w:vAlign w:val="center"/>
            <w:hideMark/>
          </w:tcPr>
          <w:p w14:paraId="6303A219" w14:textId="77777777" w:rsidR="007B042A" w:rsidRPr="007B042A" w:rsidRDefault="007B042A" w:rsidP="00811B50">
            <w:pPr>
              <w:ind w:firstLine="418"/>
              <w:jc w:val="right"/>
              <w:rPr>
                <w:rFonts w:ascii="Arial" w:hAnsi="Arial" w:cs="Arial"/>
                <w:sz w:val="19"/>
                <w:szCs w:val="19"/>
              </w:rPr>
            </w:pPr>
            <w:r w:rsidRPr="007B042A">
              <w:rPr>
                <w:rFonts w:ascii="Tahoma" w:hAnsi="Tahoma"/>
                <w:color w:val="000000"/>
                <w:kern w:val="24"/>
                <w:sz w:val="19"/>
                <w:szCs w:val="19"/>
                <w:highlight w:val="white"/>
              </w:rPr>
              <w:t>160.000.000,00</w:t>
            </w:r>
          </w:p>
        </w:tc>
      </w:tr>
      <w:tr w:rsidR="007B042A" w:rsidRPr="007B042A" w14:paraId="28D602CF" w14:textId="77777777" w:rsidTr="00145E5A">
        <w:trPr>
          <w:trHeight w:val="454"/>
        </w:trPr>
        <w:tc>
          <w:tcPr>
            <w:tcW w:w="5812" w:type="dxa"/>
            <w:shd w:val="clear" w:color="auto" w:fill="auto"/>
            <w:tcMar>
              <w:top w:w="13" w:type="dxa"/>
              <w:left w:w="59" w:type="dxa"/>
              <w:bottom w:w="0" w:type="dxa"/>
              <w:right w:w="59" w:type="dxa"/>
            </w:tcMar>
            <w:vAlign w:val="center"/>
            <w:hideMark/>
          </w:tcPr>
          <w:p w14:paraId="35D62462" w14:textId="3F790534" w:rsidR="00744CEC" w:rsidRPr="007B042A" w:rsidRDefault="007B042A" w:rsidP="00484679">
            <w:pPr>
              <w:ind w:left="216"/>
              <w:rPr>
                <w:rFonts w:ascii="Arial" w:hAnsi="Arial" w:cs="Arial"/>
                <w:sz w:val="19"/>
                <w:szCs w:val="19"/>
              </w:rPr>
            </w:pPr>
            <w:r w:rsidRPr="007B042A">
              <w:rPr>
                <w:rFonts w:ascii="Tahoma" w:hAnsi="Tahoma"/>
                <w:color w:val="000000"/>
                <w:kern w:val="24"/>
                <w:sz w:val="19"/>
                <w:szCs w:val="19"/>
              </w:rPr>
              <w:t>IDSM (Instituto de Desenvolvimento Sustentável Mamirauá)</w:t>
            </w:r>
          </w:p>
        </w:tc>
        <w:tc>
          <w:tcPr>
            <w:tcW w:w="1985" w:type="dxa"/>
            <w:shd w:val="clear" w:color="auto" w:fill="auto"/>
            <w:tcMar>
              <w:top w:w="13" w:type="dxa"/>
              <w:left w:w="59" w:type="dxa"/>
              <w:bottom w:w="0" w:type="dxa"/>
              <w:right w:w="59" w:type="dxa"/>
            </w:tcMar>
            <w:vAlign w:val="center"/>
            <w:hideMark/>
          </w:tcPr>
          <w:p w14:paraId="733E9B57" w14:textId="77777777" w:rsidR="007B042A" w:rsidRPr="007B042A" w:rsidRDefault="007B042A" w:rsidP="00811B50">
            <w:pPr>
              <w:jc w:val="center"/>
              <w:rPr>
                <w:rFonts w:ascii="Tahoma" w:hAnsi="Tahoma"/>
                <w:color w:val="000000"/>
                <w:kern w:val="24"/>
                <w:sz w:val="19"/>
                <w:szCs w:val="19"/>
              </w:rPr>
            </w:pPr>
            <w:r w:rsidRPr="007B042A">
              <w:rPr>
                <w:rFonts w:ascii="Tahoma" w:hAnsi="Tahoma"/>
                <w:color w:val="000000"/>
                <w:kern w:val="24"/>
                <w:sz w:val="19"/>
                <w:szCs w:val="19"/>
              </w:rPr>
              <w:t>1</w:t>
            </w:r>
          </w:p>
        </w:tc>
        <w:tc>
          <w:tcPr>
            <w:tcW w:w="2352" w:type="dxa"/>
            <w:shd w:val="clear" w:color="auto" w:fill="auto"/>
            <w:tcMar>
              <w:top w:w="13" w:type="dxa"/>
              <w:left w:w="59" w:type="dxa"/>
              <w:bottom w:w="0" w:type="dxa"/>
              <w:right w:w="59" w:type="dxa"/>
            </w:tcMar>
            <w:vAlign w:val="center"/>
            <w:hideMark/>
          </w:tcPr>
          <w:p w14:paraId="43DA4D58" w14:textId="77777777" w:rsidR="007B042A" w:rsidRPr="007B042A" w:rsidRDefault="007B042A" w:rsidP="00811B50">
            <w:pPr>
              <w:ind w:firstLine="418"/>
              <w:jc w:val="right"/>
              <w:rPr>
                <w:rFonts w:ascii="Arial" w:hAnsi="Arial" w:cs="Arial"/>
                <w:sz w:val="19"/>
                <w:szCs w:val="19"/>
              </w:rPr>
            </w:pPr>
            <w:r w:rsidRPr="007B042A">
              <w:rPr>
                <w:rFonts w:ascii="Tahoma" w:hAnsi="Tahoma"/>
                <w:color w:val="000000"/>
                <w:kern w:val="24"/>
                <w:sz w:val="19"/>
                <w:szCs w:val="19"/>
                <w:highlight w:val="white"/>
              </w:rPr>
              <w:t>10.000.000,00</w:t>
            </w:r>
          </w:p>
        </w:tc>
      </w:tr>
      <w:tr w:rsidR="007B042A" w:rsidRPr="007B042A" w14:paraId="3B8DE2B2" w14:textId="77777777" w:rsidTr="00145E5A">
        <w:trPr>
          <w:trHeight w:val="454"/>
        </w:trPr>
        <w:tc>
          <w:tcPr>
            <w:tcW w:w="5812" w:type="dxa"/>
            <w:shd w:val="clear" w:color="auto" w:fill="auto"/>
            <w:tcMar>
              <w:top w:w="13" w:type="dxa"/>
              <w:left w:w="59" w:type="dxa"/>
              <w:bottom w:w="0" w:type="dxa"/>
              <w:right w:w="59" w:type="dxa"/>
            </w:tcMar>
            <w:vAlign w:val="center"/>
            <w:hideMark/>
          </w:tcPr>
          <w:p w14:paraId="353690DF" w14:textId="77777777" w:rsidR="007B042A" w:rsidRPr="007B042A" w:rsidRDefault="007B042A" w:rsidP="007B042A">
            <w:pPr>
              <w:ind w:left="216"/>
              <w:rPr>
                <w:rFonts w:ascii="Arial" w:hAnsi="Arial" w:cs="Arial"/>
                <w:sz w:val="19"/>
                <w:szCs w:val="19"/>
              </w:rPr>
            </w:pPr>
            <w:r w:rsidRPr="007B042A">
              <w:rPr>
                <w:rFonts w:ascii="Tahoma" w:hAnsi="Tahoma"/>
                <w:color w:val="000000"/>
                <w:kern w:val="24"/>
                <w:sz w:val="19"/>
                <w:szCs w:val="19"/>
              </w:rPr>
              <w:t>IMPA (Instituto de Matemática Pura e Aplicada)</w:t>
            </w:r>
          </w:p>
        </w:tc>
        <w:tc>
          <w:tcPr>
            <w:tcW w:w="1985" w:type="dxa"/>
            <w:shd w:val="clear" w:color="auto" w:fill="auto"/>
            <w:tcMar>
              <w:top w:w="13" w:type="dxa"/>
              <w:left w:w="59" w:type="dxa"/>
              <w:bottom w:w="0" w:type="dxa"/>
              <w:right w:w="59" w:type="dxa"/>
            </w:tcMar>
            <w:vAlign w:val="center"/>
            <w:hideMark/>
          </w:tcPr>
          <w:p w14:paraId="09609468" w14:textId="77777777" w:rsidR="007B042A" w:rsidRPr="007B042A" w:rsidRDefault="007B042A" w:rsidP="00811B50">
            <w:pPr>
              <w:jc w:val="center"/>
              <w:rPr>
                <w:rFonts w:ascii="Tahoma" w:hAnsi="Tahoma"/>
                <w:color w:val="000000"/>
                <w:kern w:val="24"/>
                <w:sz w:val="19"/>
                <w:szCs w:val="19"/>
              </w:rPr>
            </w:pPr>
            <w:r w:rsidRPr="007B042A">
              <w:rPr>
                <w:rFonts w:ascii="Tahoma" w:hAnsi="Tahoma"/>
                <w:color w:val="000000"/>
                <w:kern w:val="24"/>
                <w:sz w:val="19"/>
                <w:szCs w:val="19"/>
              </w:rPr>
              <w:t>1</w:t>
            </w:r>
          </w:p>
        </w:tc>
        <w:tc>
          <w:tcPr>
            <w:tcW w:w="2352" w:type="dxa"/>
            <w:shd w:val="clear" w:color="auto" w:fill="auto"/>
            <w:tcMar>
              <w:top w:w="13" w:type="dxa"/>
              <w:left w:w="59" w:type="dxa"/>
              <w:bottom w:w="0" w:type="dxa"/>
              <w:right w:w="59" w:type="dxa"/>
            </w:tcMar>
            <w:vAlign w:val="center"/>
            <w:hideMark/>
          </w:tcPr>
          <w:p w14:paraId="592A01A4" w14:textId="77777777" w:rsidR="007B042A" w:rsidRPr="007B042A" w:rsidRDefault="007B042A" w:rsidP="00811B50">
            <w:pPr>
              <w:ind w:firstLine="418"/>
              <w:jc w:val="right"/>
              <w:rPr>
                <w:rFonts w:ascii="Arial" w:hAnsi="Arial" w:cs="Arial"/>
                <w:sz w:val="19"/>
                <w:szCs w:val="19"/>
              </w:rPr>
            </w:pPr>
            <w:r w:rsidRPr="007B042A">
              <w:rPr>
                <w:rFonts w:ascii="Tahoma" w:hAnsi="Tahoma"/>
                <w:color w:val="000000"/>
                <w:kern w:val="24"/>
                <w:sz w:val="19"/>
                <w:szCs w:val="19"/>
                <w:highlight w:val="white"/>
              </w:rPr>
              <w:t>60.000.000,00</w:t>
            </w:r>
          </w:p>
        </w:tc>
      </w:tr>
      <w:tr w:rsidR="007B042A" w:rsidRPr="007B042A" w14:paraId="39F8309C" w14:textId="77777777" w:rsidTr="00145E5A">
        <w:trPr>
          <w:trHeight w:val="454"/>
        </w:trPr>
        <w:tc>
          <w:tcPr>
            <w:tcW w:w="5812" w:type="dxa"/>
            <w:shd w:val="clear" w:color="auto" w:fill="auto"/>
            <w:tcMar>
              <w:top w:w="13" w:type="dxa"/>
              <w:left w:w="59" w:type="dxa"/>
              <w:bottom w:w="0" w:type="dxa"/>
              <w:right w:w="59" w:type="dxa"/>
            </w:tcMar>
            <w:vAlign w:val="center"/>
            <w:hideMark/>
          </w:tcPr>
          <w:p w14:paraId="4D3E92A4" w14:textId="77777777" w:rsidR="007B042A" w:rsidRPr="007B042A" w:rsidRDefault="007B042A" w:rsidP="007B042A">
            <w:pPr>
              <w:ind w:left="216"/>
              <w:rPr>
                <w:rFonts w:ascii="Arial" w:hAnsi="Arial" w:cs="Arial"/>
                <w:sz w:val="19"/>
                <w:szCs w:val="19"/>
              </w:rPr>
            </w:pPr>
            <w:r w:rsidRPr="007B042A">
              <w:rPr>
                <w:rFonts w:ascii="Tahoma" w:hAnsi="Tahoma"/>
                <w:color w:val="000000"/>
                <w:kern w:val="24"/>
                <w:sz w:val="19"/>
                <w:szCs w:val="19"/>
              </w:rPr>
              <w:t>RNP (Rede Nacional de Ensino e Pesquisa)</w:t>
            </w:r>
          </w:p>
        </w:tc>
        <w:tc>
          <w:tcPr>
            <w:tcW w:w="1985" w:type="dxa"/>
            <w:shd w:val="clear" w:color="auto" w:fill="auto"/>
            <w:tcMar>
              <w:top w:w="13" w:type="dxa"/>
              <w:left w:w="59" w:type="dxa"/>
              <w:bottom w:w="0" w:type="dxa"/>
              <w:right w:w="59" w:type="dxa"/>
            </w:tcMar>
            <w:vAlign w:val="center"/>
            <w:hideMark/>
          </w:tcPr>
          <w:p w14:paraId="748C7E75" w14:textId="77777777" w:rsidR="007B042A" w:rsidRPr="007B042A" w:rsidRDefault="007B042A" w:rsidP="00811B50">
            <w:pPr>
              <w:jc w:val="center"/>
              <w:rPr>
                <w:rFonts w:ascii="Tahoma" w:hAnsi="Tahoma"/>
                <w:color w:val="000000"/>
                <w:kern w:val="24"/>
                <w:sz w:val="19"/>
                <w:szCs w:val="19"/>
              </w:rPr>
            </w:pPr>
            <w:r w:rsidRPr="007B042A">
              <w:rPr>
                <w:rFonts w:ascii="Tahoma" w:hAnsi="Tahoma"/>
                <w:color w:val="000000"/>
                <w:kern w:val="24"/>
                <w:sz w:val="19"/>
                <w:szCs w:val="19"/>
              </w:rPr>
              <w:t>2</w:t>
            </w:r>
          </w:p>
        </w:tc>
        <w:tc>
          <w:tcPr>
            <w:tcW w:w="2352" w:type="dxa"/>
            <w:shd w:val="clear" w:color="auto" w:fill="auto"/>
            <w:tcMar>
              <w:top w:w="13" w:type="dxa"/>
              <w:left w:w="59" w:type="dxa"/>
              <w:bottom w:w="0" w:type="dxa"/>
              <w:right w:w="59" w:type="dxa"/>
            </w:tcMar>
            <w:vAlign w:val="center"/>
            <w:hideMark/>
          </w:tcPr>
          <w:p w14:paraId="4CDC4963" w14:textId="77777777" w:rsidR="007B042A" w:rsidRPr="007B042A" w:rsidRDefault="007B042A" w:rsidP="00811B50">
            <w:pPr>
              <w:ind w:firstLine="418"/>
              <w:jc w:val="right"/>
              <w:rPr>
                <w:rFonts w:ascii="Arial" w:hAnsi="Arial" w:cs="Arial"/>
                <w:sz w:val="19"/>
                <w:szCs w:val="19"/>
              </w:rPr>
            </w:pPr>
            <w:r w:rsidRPr="007B042A">
              <w:rPr>
                <w:rFonts w:ascii="Tahoma" w:hAnsi="Tahoma"/>
                <w:color w:val="000000"/>
                <w:kern w:val="24"/>
                <w:sz w:val="19"/>
                <w:szCs w:val="19"/>
                <w:highlight w:val="white"/>
              </w:rPr>
              <w:t>273.000.000,00</w:t>
            </w:r>
          </w:p>
        </w:tc>
      </w:tr>
      <w:tr w:rsidR="007B042A" w:rsidRPr="007B042A" w14:paraId="2EC73BAE" w14:textId="77777777" w:rsidTr="00145E5A">
        <w:trPr>
          <w:trHeight w:val="454"/>
        </w:trPr>
        <w:tc>
          <w:tcPr>
            <w:tcW w:w="5812" w:type="dxa"/>
            <w:shd w:val="clear" w:color="auto" w:fill="auto"/>
            <w:tcMar>
              <w:top w:w="13" w:type="dxa"/>
              <w:left w:w="59" w:type="dxa"/>
              <w:bottom w:w="0" w:type="dxa"/>
              <w:right w:w="59" w:type="dxa"/>
            </w:tcMar>
            <w:vAlign w:val="center"/>
            <w:hideMark/>
          </w:tcPr>
          <w:p w14:paraId="016D9BC1" w14:textId="77777777" w:rsidR="007B042A" w:rsidRPr="007B042A" w:rsidRDefault="007B042A" w:rsidP="007B042A">
            <w:pPr>
              <w:rPr>
                <w:rFonts w:ascii="Arial" w:hAnsi="Arial" w:cs="Arial"/>
                <w:sz w:val="19"/>
                <w:szCs w:val="19"/>
              </w:rPr>
            </w:pPr>
            <w:r w:rsidRPr="007B042A">
              <w:rPr>
                <w:rFonts w:ascii="Tahoma" w:hAnsi="Tahoma"/>
                <w:color w:val="0098BA"/>
                <w:kern w:val="24"/>
                <w:sz w:val="19"/>
                <w:szCs w:val="19"/>
              </w:rPr>
              <w:t>Total</w:t>
            </w:r>
          </w:p>
        </w:tc>
        <w:tc>
          <w:tcPr>
            <w:tcW w:w="1985" w:type="dxa"/>
            <w:shd w:val="clear" w:color="auto" w:fill="auto"/>
            <w:tcMar>
              <w:top w:w="13" w:type="dxa"/>
              <w:left w:w="59" w:type="dxa"/>
              <w:bottom w:w="0" w:type="dxa"/>
              <w:right w:w="59" w:type="dxa"/>
            </w:tcMar>
            <w:vAlign w:val="center"/>
            <w:hideMark/>
          </w:tcPr>
          <w:p w14:paraId="64FCEEBD" w14:textId="2E0A9A66" w:rsidR="007B042A" w:rsidRPr="007B042A" w:rsidRDefault="007B042A" w:rsidP="00811B50">
            <w:pPr>
              <w:jc w:val="center"/>
              <w:rPr>
                <w:rFonts w:ascii="Tahoma" w:hAnsi="Tahoma"/>
                <w:color w:val="0098BA"/>
                <w:kern w:val="24"/>
                <w:sz w:val="19"/>
                <w:szCs w:val="19"/>
              </w:rPr>
            </w:pPr>
            <w:r w:rsidRPr="007B042A">
              <w:rPr>
                <w:rFonts w:ascii="Tahoma" w:hAnsi="Tahoma"/>
                <w:color w:val="0098BA"/>
                <w:kern w:val="24"/>
                <w:sz w:val="19"/>
                <w:szCs w:val="19"/>
              </w:rPr>
              <w:t>81</w:t>
            </w:r>
          </w:p>
        </w:tc>
        <w:tc>
          <w:tcPr>
            <w:tcW w:w="2352" w:type="dxa"/>
            <w:shd w:val="clear" w:color="auto" w:fill="auto"/>
            <w:tcMar>
              <w:top w:w="13" w:type="dxa"/>
              <w:left w:w="59" w:type="dxa"/>
              <w:bottom w:w="0" w:type="dxa"/>
              <w:right w:w="59" w:type="dxa"/>
            </w:tcMar>
            <w:vAlign w:val="center"/>
            <w:hideMark/>
          </w:tcPr>
          <w:p w14:paraId="565FA845" w14:textId="77777777" w:rsidR="007B042A" w:rsidRPr="007B042A" w:rsidRDefault="007B042A" w:rsidP="00811B50">
            <w:pPr>
              <w:jc w:val="right"/>
              <w:rPr>
                <w:rFonts w:ascii="Tahoma" w:hAnsi="Tahoma"/>
                <w:color w:val="0098BA"/>
                <w:kern w:val="24"/>
                <w:sz w:val="19"/>
                <w:szCs w:val="19"/>
              </w:rPr>
            </w:pPr>
            <w:r w:rsidRPr="007B042A">
              <w:rPr>
                <w:rFonts w:ascii="Tahoma" w:hAnsi="Tahoma"/>
                <w:color w:val="0098BA"/>
                <w:kern w:val="24"/>
                <w:sz w:val="19"/>
                <w:szCs w:val="19"/>
              </w:rPr>
              <w:t>2.181.394.243,61</w:t>
            </w:r>
          </w:p>
        </w:tc>
      </w:tr>
    </w:tbl>
    <w:p w14:paraId="774C0D09" w14:textId="77777777" w:rsidR="00794915" w:rsidRPr="00794915" w:rsidRDefault="00794915" w:rsidP="00794915">
      <w:pPr>
        <w:autoSpaceDN w:val="0"/>
        <w:spacing w:before="120" w:after="120"/>
        <w:textAlignment w:val="baseline"/>
        <w:rPr>
          <w:rFonts w:ascii="Tahoma" w:hAnsi="Tahoma" w:cs="Tahoma"/>
          <w:sz w:val="19"/>
          <w:szCs w:val="19"/>
        </w:rPr>
      </w:pPr>
      <w:r w:rsidRPr="00794915">
        <w:rPr>
          <w:rFonts w:ascii="Tahoma" w:hAnsi="Tahoma" w:cs="Tahoma"/>
          <w:sz w:val="19"/>
          <w:szCs w:val="19"/>
        </w:rPr>
        <w:t xml:space="preserve">Notas: </w:t>
      </w:r>
    </w:p>
    <w:p w14:paraId="3B9D0B21" w14:textId="00F3080D" w:rsidR="00794915" w:rsidRPr="00794915" w:rsidRDefault="00794915" w:rsidP="00794915">
      <w:pPr>
        <w:autoSpaceDN w:val="0"/>
        <w:textAlignment w:val="baseline"/>
        <w:rPr>
          <w:rFonts w:ascii="Tahoma" w:hAnsi="Tahoma" w:cs="Tahoma"/>
          <w:sz w:val="19"/>
          <w:szCs w:val="19"/>
        </w:rPr>
      </w:pPr>
      <w:r w:rsidRPr="00794915">
        <w:rPr>
          <w:rFonts w:ascii="Tahoma" w:hAnsi="Tahoma" w:cs="Tahoma"/>
          <w:sz w:val="19"/>
          <w:szCs w:val="19"/>
        </w:rPr>
        <w:t>* Construção de Fonte de Luz Síncrotron de 4ª geração - SIRIUS (</w:t>
      </w:r>
      <w:hyperlink r:id="rId22" w:history="1">
        <w:r w:rsidRPr="00794915">
          <w:rPr>
            <w:rStyle w:val="Hyperlink"/>
            <w:rFonts w:ascii="Tahoma" w:hAnsi="Tahoma" w:cs="Tahoma"/>
            <w:sz w:val="19"/>
            <w:szCs w:val="19"/>
          </w:rPr>
          <w:t>https://lnls.cnpem.br/sirius/</w:t>
        </w:r>
      </w:hyperlink>
      <w:r w:rsidRPr="00794915">
        <w:rPr>
          <w:rFonts w:ascii="Tahoma" w:hAnsi="Tahoma" w:cs="Tahoma"/>
          <w:sz w:val="19"/>
          <w:szCs w:val="19"/>
        </w:rPr>
        <w:t>)</w:t>
      </w:r>
    </w:p>
    <w:p w14:paraId="000C3DCB" w14:textId="59288837" w:rsidR="00822E29" w:rsidRDefault="00794915" w:rsidP="00794915">
      <w:pPr>
        <w:autoSpaceDN w:val="0"/>
        <w:textAlignment w:val="baseline"/>
        <w:rPr>
          <w:rFonts w:ascii="Tahoma" w:hAnsi="Tahoma" w:cs="Tahoma"/>
          <w:sz w:val="19"/>
          <w:szCs w:val="19"/>
        </w:rPr>
      </w:pPr>
      <w:r w:rsidRPr="00794915">
        <w:rPr>
          <w:rFonts w:ascii="Tahoma" w:hAnsi="Tahoma" w:cs="Tahoma"/>
          <w:sz w:val="19"/>
          <w:szCs w:val="19"/>
        </w:rPr>
        <w:t>** Implantação do Laboratório Nacional de Máxima Contenção Biológica – LNMCB (</w:t>
      </w:r>
      <w:hyperlink r:id="rId23" w:history="1">
        <w:r w:rsidRPr="000F4C7D">
          <w:rPr>
            <w:rStyle w:val="Hyperlink"/>
            <w:rFonts w:ascii="Tahoma" w:hAnsi="Tahoma" w:cs="Tahoma"/>
            <w:sz w:val="19"/>
            <w:szCs w:val="19"/>
          </w:rPr>
          <w:t>https://cnpem.br/orion/</w:t>
        </w:r>
      </w:hyperlink>
      <w:r w:rsidRPr="00794915">
        <w:rPr>
          <w:rFonts w:ascii="Tahoma" w:hAnsi="Tahoma" w:cs="Tahoma"/>
          <w:sz w:val="19"/>
          <w:szCs w:val="19"/>
        </w:rPr>
        <w:t>)</w:t>
      </w:r>
    </w:p>
    <w:p w14:paraId="43AFD512" w14:textId="77777777" w:rsidR="00822E29" w:rsidRDefault="00822E29">
      <w:pPr>
        <w:autoSpaceDN w:val="0"/>
        <w:spacing w:after="160"/>
        <w:textAlignment w:val="baseline"/>
        <w:rPr>
          <w:rFonts w:ascii="Tahoma" w:hAnsi="Tahoma" w:cs="Tahoma"/>
          <w:sz w:val="19"/>
          <w:szCs w:val="19"/>
        </w:rPr>
      </w:pPr>
    </w:p>
    <w:p w14:paraId="1DB900D8" w14:textId="77777777" w:rsidR="00822E29" w:rsidRDefault="00822E29">
      <w:pPr>
        <w:autoSpaceDN w:val="0"/>
        <w:spacing w:after="160"/>
        <w:textAlignment w:val="baseline"/>
        <w:rPr>
          <w:rFonts w:ascii="Tahoma" w:hAnsi="Tahoma" w:cs="Tahoma"/>
          <w:sz w:val="19"/>
          <w:szCs w:val="19"/>
        </w:rPr>
      </w:pPr>
    </w:p>
    <w:p w14:paraId="25E0CA57" w14:textId="4B8DE5E3" w:rsidR="008D3B68" w:rsidRPr="005F3EB3" w:rsidRDefault="008D3B68">
      <w:pPr>
        <w:autoSpaceDN w:val="0"/>
        <w:spacing w:after="160"/>
        <w:textAlignment w:val="baseline"/>
        <w:rPr>
          <w:rFonts w:ascii="Tahoma" w:hAnsi="Tahoma" w:cs="Tahoma"/>
          <w:sz w:val="19"/>
          <w:szCs w:val="19"/>
        </w:rPr>
      </w:pPr>
      <w:r w:rsidRPr="005F3EB3">
        <w:rPr>
          <w:rFonts w:ascii="Tahoma" w:hAnsi="Tahoma" w:cs="Tahoma"/>
          <w:sz w:val="19"/>
          <w:szCs w:val="19"/>
        </w:rPr>
        <w:br w:type="page"/>
      </w:r>
    </w:p>
    <w:p w14:paraId="40DB358E" w14:textId="33EF967E" w:rsidR="00E53D51" w:rsidRPr="00E53D51" w:rsidRDefault="00E53D51" w:rsidP="00E53D51">
      <w:pPr>
        <w:autoSpaceDN w:val="0"/>
        <w:spacing w:after="160"/>
        <w:textAlignment w:val="baseline"/>
        <w:rPr>
          <w:rFonts w:ascii="Tahoma" w:hAnsi="Tahoma" w:cs="Tahoma"/>
          <w:color w:val="0098BA"/>
          <w:sz w:val="19"/>
          <w:szCs w:val="19"/>
        </w:rPr>
      </w:pPr>
      <w:r w:rsidRPr="00E53D51">
        <w:rPr>
          <w:rFonts w:ascii="Tahoma" w:hAnsi="Tahoma" w:cs="Tahoma"/>
          <w:color w:val="0098BA"/>
          <w:sz w:val="19"/>
          <w:szCs w:val="19"/>
        </w:rPr>
        <w:lastRenderedPageBreak/>
        <w:t xml:space="preserve">Contratação por </w:t>
      </w:r>
      <w:r w:rsidR="00092F97">
        <w:rPr>
          <w:rFonts w:ascii="Tahoma" w:hAnsi="Tahoma" w:cs="Tahoma"/>
          <w:color w:val="0098BA"/>
          <w:sz w:val="19"/>
          <w:szCs w:val="19"/>
        </w:rPr>
        <w:t xml:space="preserve">porte </w:t>
      </w:r>
      <w:r w:rsidRPr="00E53D51">
        <w:rPr>
          <w:rFonts w:ascii="Tahoma" w:hAnsi="Tahoma" w:cs="Tahoma"/>
          <w:color w:val="0098BA"/>
          <w:sz w:val="19"/>
          <w:szCs w:val="19"/>
        </w:rPr>
        <w:t>em 2023</w:t>
      </w:r>
      <w:r w:rsidR="00092F97">
        <w:rPr>
          <w:rFonts w:ascii="Tahoma" w:hAnsi="Tahoma" w:cs="Tahoma"/>
          <w:color w:val="0098BA"/>
          <w:sz w:val="19"/>
          <w:szCs w:val="19"/>
        </w:rPr>
        <w:t xml:space="preserve"> (Empresas)</w:t>
      </w:r>
    </w:p>
    <w:p w14:paraId="198D8EC4" w14:textId="77777777" w:rsidR="00092F97" w:rsidRDefault="00092F97" w:rsidP="00E53D51">
      <w:pPr>
        <w:autoSpaceDN w:val="0"/>
        <w:spacing w:after="160"/>
        <w:textAlignment w:val="baseline"/>
        <w:rPr>
          <w:rFonts w:ascii="Tahoma" w:hAnsi="Tahoma" w:cs="Tahoma"/>
          <w:sz w:val="19"/>
          <w:szCs w:val="19"/>
        </w:rPr>
      </w:pPr>
      <w:r>
        <w:rPr>
          <w:noProof/>
        </w:rPr>
        <w:drawing>
          <wp:inline distT="0" distB="0" distL="0" distR="0" wp14:anchorId="390D83A2" wp14:editId="655773C0">
            <wp:extent cx="5292003" cy="3085234"/>
            <wp:effectExtent l="0" t="0" r="4445" b="1270"/>
            <wp:docPr id="92537463" name="Gráfico 1">
              <a:extLst xmlns:a="http://schemas.openxmlformats.org/drawingml/2006/main">
                <a:ext uri="{FF2B5EF4-FFF2-40B4-BE49-F238E27FC236}">
                  <a16:creationId xmlns:a16="http://schemas.microsoft.com/office/drawing/2014/main" id="{2E48A816-E769-C098-F839-63EA4CBD94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C4C8A6D" w14:textId="77777777" w:rsidR="00092F97" w:rsidRDefault="00092F97" w:rsidP="00E53D51">
      <w:pPr>
        <w:autoSpaceDN w:val="0"/>
        <w:spacing w:after="160"/>
        <w:textAlignment w:val="baseline"/>
        <w:rPr>
          <w:rFonts w:ascii="Tahoma" w:hAnsi="Tahoma" w:cs="Tahoma"/>
          <w:sz w:val="19"/>
          <w:szCs w:val="19"/>
        </w:rPr>
      </w:pPr>
      <w:r>
        <w:rPr>
          <w:noProof/>
        </w:rPr>
        <w:drawing>
          <wp:inline distT="0" distB="0" distL="0" distR="0" wp14:anchorId="78D9FF75" wp14:editId="67008322">
            <wp:extent cx="5289405" cy="3085234"/>
            <wp:effectExtent l="0" t="0" r="6985" b="1270"/>
            <wp:docPr id="2037909075" name="Gráfico 2">
              <a:extLst xmlns:a="http://schemas.openxmlformats.org/drawingml/2006/main">
                <a:ext uri="{FF2B5EF4-FFF2-40B4-BE49-F238E27FC236}">
                  <a16:creationId xmlns:a16="http://schemas.microsoft.com/office/drawing/2014/main" id="{421F0F1A-E97F-4B19-97AB-9B13D6DAC0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F6DD0CA" w14:textId="49D38AF0" w:rsidR="00092F97" w:rsidRDefault="00092F97" w:rsidP="00E53D51">
      <w:pPr>
        <w:autoSpaceDN w:val="0"/>
        <w:spacing w:after="160"/>
        <w:textAlignment w:val="baseline"/>
        <w:rPr>
          <w:rFonts w:ascii="Tahoma" w:hAnsi="Tahoma" w:cs="Tahoma"/>
          <w:sz w:val="19"/>
          <w:szCs w:val="19"/>
        </w:rPr>
      </w:pPr>
    </w:p>
    <w:tbl>
      <w:tblPr>
        <w:tblStyle w:val="Tabelacomgrade"/>
        <w:tblW w:w="935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single" w:sz="4" w:space="0" w:color="7F7F7F" w:themeColor="text1" w:themeTint="80"/>
        </w:tblBorders>
        <w:tblLook w:val="04A0" w:firstRow="1" w:lastRow="0" w:firstColumn="1" w:lastColumn="0" w:noHBand="0" w:noVBand="1"/>
      </w:tblPr>
      <w:tblGrid>
        <w:gridCol w:w="3681"/>
        <w:gridCol w:w="5670"/>
      </w:tblGrid>
      <w:tr w:rsidR="00262103" w:rsidRPr="00E53D51" w14:paraId="388D91AD" w14:textId="77777777" w:rsidTr="00BA7D1D">
        <w:trPr>
          <w:trHeight w:val="454"/>
        </w:trPr>
        <w:tc>
          <w:tcPr>
            <w:tcW w:w="3681" w:type="dxa"/>
            <w:shd w:val="clear" w:color="auto" w:fill="0098BA"/>
            <w:vAlign w:val="center"/>
          </w:tcPr>
          <w:p w14:paraId="073FD282" w14:textId="77777777" w:rsidR="00262103" w:rsidRPr="00E53D51" w:rsidRDefault="00262103" w:rsidP="00BA7D1D">
            <w:pPr>
              <w:tabs>
                <w:tab w:val="left" w:pos="426"/>
              </w:tabs>
              <w:rPr>
                <w:rFonts w:ascii="Tahoma" w:hAnsi="Tahoma" w:cs="Tahoma"/>
                <w:color w:val="FFFFFF" w:themeColor="background1"/>
                <w:sz w:val="19"/>
                <w:szCs w:val="19"/>
              </w:rPr>
            </w:pPr>
            <w:r w:rsidRPr="00E53D51">
              <w:rPr>
                <w:rFonts w:ascii="Tahoma" w:hAnsi="Tahoma" w:cs="Tahoma"/>
                <w:color w:val="FFFFFF" w:themeColor="background1"/>
                <w:sz w:val="19"/>
                <w:szCs w:val="19"/>
              </w:rPr>
              <w:t>Porte da empresa</w:t>
            </w:r>
          </w:p>
        </w:tc>
        <w:tc>
          <w:tcPr>
            <w:tcW w:w="5670" w:type="dxa"/>
            <w:shd w:val="clear" w:color="auto" w:fill="0098BA"/>
            <w:vAlign w:val="center"/>
          </w:tcPr>
          <w:p w14:paraId="367B703C" w14:textId="77777777" w:rsidR="00262103" w:rsidRPr="00E53D51" w:rsidRDefault="00262103" w:rsidP="00BA7D1D">
            <w:pPr>
              <w:tabs>
                <w:tab w:val="left" w:pos="426"/>
              </w:tabs>
              <w:rPr>
                <w:rFonts w:ascii="Tahoma" w:hAnsi="Tahoma" w:cs="Tahoma"/>
                <w:color w:val="FFFFFF" w:themeColor="background1"/>
                <w:sz w:val="19"/>
                <w:szCs w:val="19"/>
              </w:rPr>
            </w:pPr>
            <w:r w:rsidRPr="00E53D51">
              <w:rPr>
                <w:rFonts w:ascii="Tahoma" w:hAnsi="Tahoma" w:cs="Tahoma"/>
                <w:color w:val="FFFFFF" w:themeColor="background1"/>
                <w:sz w:val="19"/>
                <w:szCs w:val="19"/>
              </w:rPr>
              <w:t>Receita Operacional Bruta no último ano</w:t>
            </w:r>
          </w:p>
        </w:tc>
      </w:tr>
      <w:tr w:rsidR="00262103" w:rsidRPr="00E53D51" w14:paraId="2C3334F5" w14:textId="77777777" w:rsidTr="00BA7D1D">
        <w:trPr>
          <w:trHeight w:val="454"/>
        </w:trPr>
        <w:tc>
          <w:tcPr>
            <w:tcW w:w="3681" w:type="dxa"/>
            <w:vAlign w:val="center"/>
          </w:tcPr>
          <w:p w14:paraId="2A1A788F" w14:textId="77777777" w:rsidR="00262103" w:rsidRPr="00E53D51" w:rsidRDefault="00262103" w:rsidP="00BA7D1D">
            <w:pPr>
              <w:tabs>
                <w:tab w:val="left" w:pos="426"/>
              </w:tabs>
              <w:rPr>
                <w:rFonts w:ascii="Tahoma" w:hAnsi="Tahoma" w:cs="Tahoma"/>
                <w:sz w:val="19"/>
                <w:szCs w:val="19"/>
              </w:rPr>
            </w:pPr>
            <w:r w:rsidRPr="00E53D51">
              <w:rPr>
                <w:rFonts w:ascii="Tahoma" w:hAnsi="Tahoma" w:cs="Tahoma"/>
                <w:sz w:val="19"/>
                <w:szCs w:val="19"/>
              </w:rPr>
              <w:t>Microempresa e Empresa de Pequeno Porte (EPP)</w:t>
            </w:r>
          </w:p>
        </w:tc>
        <w:tc>
          <w:tcPr>
            <w:tcW w:w="5670" w:type="dxa"/>
            <w:vAlign w:val="center"/>
          </w:tcPr>
          <w:p w14:paraId="548FD034" w14:textId="77777777" w:rsidR="00262103" w:rsidRPr="00E53D51" w:rsidRDefault="00262103" w:rsidP="00BA7D1D">
            <w:pPr>
              <w:tabs>
                <w:tab w:val="left" w:pos="426"/>
              </w:tabs>
              <w:rPr>
                <w:rFonts w:ascii="Tahoma" w:hAnsi="Tahoma" w:cs="Tahoma"/>
                <w:sz w:val="19"/>
                <w:szCs w:val="19"/>
              </w:rPr>
            </w:pPr>
            <w:r w:rsidRPr="00E53D51">
              <w:rPr>
                <w:rFonts w:ascii="Tahoma" w:hAnsi="Tahoma" w:cs="Tahoma"/>
                <w:sz w:val="19"/>
                <w:szCs w:val="19"/>
              </w:rPr>
              <w:t>até R$ 4,8 milhões</w:t>
            </w:r>
          </w:p>
        </w:tc>
      </w:tr>
      <w:tr w:rsidR="00262103" w:rsidRPr="00923A56" w14:paraId="78654BDC" w14:textId="77777777" w:rsidTr="00BA7D1D">
        <w:trPr>
          <w:trHeight w:val="454"/>
        </w:trPr>
        <w:tc>
          <w:tcPr>
            <w:tcW w:w="3681" w:type="dxa"/>
            <w:vAlign w:val="center"/>
          </w:tcPr>
          <w:p w14:paraId="43835B38" w14:textId="77777777" w:rsidR="00262103" w:rsidRPr="00E53D51" w:rsidRDefault="00262103" w:rsidP="00BA7D1D">
            <w:pPr>
              <w:tabs>
                <w:tab w:val="left" w:pos="426"/>
              </w:tabs>
              <w:rPr>
                <w:rFonts w:ascii="Tahoma" w:hAnsi="Tahoma" w:cs="Tahoma"/>
                <w:sz w:val="19"/>
                <w:szCs w:val="19"/>
              </w:rPr>
            </w:pPr>
            <w:r w:rsidRPr="00E53D51">
              <w:rPr>
                <w:rFonts w:ascii="Tahoma" w:hAnsi="Tahoma" w:cs="Tahoma"/>
                <w:sz w:val="19"/>
                <w:szCs w:val="19"/>
              </w:rPr>
              <w:t>Pequena Empresa</w:t>
            </w:r>
          </w:p>
        </w:tc>
        <w:tc>
          <w:tcPr>
            <w:tcW w:w="5670" w:type="dxa"/>
            <w:vAlign w:val="center"/>
          </w:tcPr>
          <w:p w14:paraId="214F405F" w14:textId="77777777" w:rsidR="00262103" w:rsidRPr="00923A56" w:rsidRDefault="00262103" w:rsidP="00BA7D1D">
            <w:pPr>
              <w:tabs>
                <w:tab w:val="left" w:pos="426"/>
              </w:tabs>
              <w:rPr>
                <w:rFonts w:ascii="Tahoma" w:hAnsi="Tahoma" w:cs="Tahoma"/>
                <w:sz w:val="19"/>
                <w:szCs w:val="19"/>
              </w:rPr>
            </w:pPr>
            <w:r w:rsidRPr="00E53D51">
              <w:rPr>
                <w:rFonts w:ascii="Tahoma" w:hAnsi="Tahoma" w:cs="Tahoma"/>
                <w:sz w:val="19"/>
                <w:szCs w:val="19"/>
              </w:rPr>
              <w:t>superior a R$ 4,8 milhões e igual ou inferior a R$ 16 milhões</w:t>
            </w:r>
          </w:p>
        </w:tc>
      </w:tr>
      <w:tr w:rsidR="00262103" w:rsidRPr="00923A56" w14:paraId="72161EB6" w14:textId="77777777" w:rsidTr="00BA7D1D">
        <w:trPr>
          <w:trHeight w:val="454"/>
        </w:trPr>
        <w:tc>
          <w:tcPr>
            <w:tcW w:w="3681" w:type="dxa"/>
            <w:vAlign w:val="center"/>
          </w:tcPr>
          <w:p w14:paraId="611C1E79" w14:textId="77777777" w:rsidR="00262103" w:rsidRPr="00923A56" w:rsidRDefault="00262103" w:rsidP="00BA7D1D">
            <w:pPr>
              <w:tabs>
                <w:tab w:val="left" w:pos="426"/>
              </w:tabs>
              <w:rPr>
                <w:rFonts w:ascii="Tahoma" w:hAnsi="Tahoma" w:cs="Tahoma"/>
                <w:sz w:val="19"/>
                <w:szCs w:val="19"/>
              </w:rPr>
            </w:pPr>
            <w:r w:rsidRPr="00923A56">
              <w:rPr>
                <w:rFonts w:ascii="Tahoma" w:hAnsi="Tahoma" w:cs="Tahoma"/>
                <w:sz w:val="19"/>
                <w:szCs w:val="19"/>
              </w:rPr>
              <w:t>Média Empresa I</w:t>
            </w:r>
          </w:p>
        </w:tc>
        <w:tc>
          <w:tcPr>
            <w:tcW w:w="5670" w:type="dxa"/>
            <w:vAlign w:val="center"/>
          </w:tcPr>
          <w:p w14:paraId="0EC9E300" w14:textId="77777777" w:rsidR="00262103" w:rsidRPr="00923A56" w:rsidRDefault="00262103" w:rsidP="00BA7D1D">
            <w:pPr>
              <w:tabs>
                <w:tab w:val="left" w:pos="426"/>
              </w:tabs>
              <w:rPr>
                <w:rFonts w:ascii="Tahoma" w:hAnsi="Tahoma" w:cs="Tahoma"/>
                <w:sz w:val="19"/>
                <w:szCs w:val="19"/>
              </w:rPr>
            </w:pPr>
            <w:r w:rsidRPr="00923A56">
              <w:rPr>
                <w:rFonts w:ascii="Tahoma" w:hAnsi="Tahoma" w:cs="Tahoma"/>
                <w:sz w:val="19"/>
                <w:szCs w:val="19"/>
              </w:rPr>
              <w:t>superior a R$ 16 milhões e igual ou inferior a R$ 90 milhões</w:t>
            </w:r>
          </w:p>
        </w:tc>
      </w:tr>
      <w:tr w:rsidR="00262103" w:rsidRPr="00923A56" w14:paraId="168F1006" w14:textId="77777777" w:rsidTr="00BA7D1D">
        <w:trPr>
          <w:trHeight w:val="454"/>
        </w:trPr>
        <w:tc>
          <w:tcPr>
            <w:tcW w:w="3681" w:type="dxa"/>
            <w:vAlign w:val="center"/>
          </w:tcPr>
          <w:p w14:paraId="55A5104C" w14:textId="77777777" w:rsidR="00262103" w:rsidRPr="00923A56" w:rsidRDefault="00262103" w:rsidP="00BA7D1D">
            <w:pPr>
              <w:tabs>
                <w:tab w:val="left" w:pos="426"/>
              </w:tabs>
              <w:rPr>
                <w:rFonts w:ascii="Tahoma" w:hAnsi="Tahoma" w:cs="Tahoma"/>
                <w:sz w:val="19"/>
                <w:szCs w:val="19"/>
              </w:rPr>
            </w:pPr>
            <w:r w:rsidRPr="00923A56">
              <w:rPr>
                <w:rFonts w:ascii="Tahoma" w:hAnsi="Tahoma" w:cs="Tahoma"/>
                <w:sz w:val="19"/>
                <w:szCs w:val="19"/>
              </w:rPr>
              <w:t>Média Empresa II</w:t>
            </w:r>
          </w:p>
        </w:tc>
        <w:tc>
          <w:tcPr>
            <w:tcW w:w="5670" w:type="dxa"/>
            <w:vAlign w:val="center"/>
          </w:tcPr>
          <w:p w14:paraId="386F07E8" w14:textId="77777777" w:rsidR="00262103" w:rsidRPr="00923A56" w:rsidRDefault="00262103" w:rsidP="00BA7D1D">
            <w:pPr>
              <w:tabs>
                <w:tab w:val="left" w:pos="426"/>
              </w:tabs>
              <w:rPr>
                <w:rFonts w:ascii="Tahoma" w:hAnsi="Tahoma" w:cs="Tahoma"/>
                <w:sz w:val="19"/>
                <w:szCs w:val="19"/>
              </w:rPr>
            </w:pPr>
            <w:r w:rsidRPr="00923A56">
              <w:rPr>
                <w:rFonts w:ascii="Tahoma" w:hAnsi="Tahoma" w:cs="Tahoma"/>
                <w:sz w:val="19"/>
                <w:szCs w:val="19"/>
              </w:rPr>
              <w:t>superior a R$ 90 milhões e igual ou inferior a R$ 300 milhões</w:t>
            </w:r>
          </w:p>
        </w:tc>
      </w:tr>
      <w:tr w:rsidR="00262103" w:rsidRPr="00923A56" w14:paraId="26C94D48" w14:textId="77777777" w:rsidTr="00BA7D1D">
        <w:trPr>
          <w:trHeight w:val="454"/>
        </w:trPr>
        <w:tc>
          <w:tcPr>
            <w:tcW w:w="3681" w:type="dxa"/>
            <w:vAlign w:val="center"/>
          </w:tcPr>
          <w:p w14:paraId="09666743" w14:textId="77777777" w:rsidR="00262103" w:rsidRPr="00923A56" w:rsidRDefault="00262103" w:rsidP="00BA7D1D">
            <w:pPr>
              <w:tabs>
                <w:tab w:val="left" w:pos="426"/>
              </w:tabs>
              <w:rPr>
                <w:rFonts w:ascii="Tahoma" w:hAnsi="Tahoma" w:cs="Tahoma"/>
                <w:sz w:val="19"/>
                <w:szCs w:val="19"/>
              </w:rPr>
            </w:pPr>
            <w:r w:rsidRPr="00923A56">
              <w:rPr>
                <w:rFonts w:ascii="Tahoma" w:hAnsi="Tahoma" w:cs="Tahoma"/>
                <w:sz w:val="19"/>
                <w:szCs w:val="19"/>
              </w:rPr>
              <w:t>Grande Empresa</w:t>
            </w:r>
          </w:p>
        </w:tc>
        <w:tc>
          <w:tcPr>
            <w:tcW w:w="5670" w:type="dxa"/>
            <w:vAlign w:val="center"/>
          </w:tcPr>
          <w:p w14:paraId="389427D8" w14:textId="77777777" w:rsidR="00262103" w:rsidRPr="00923A56" w:rsidRDefault="00262103" w:rsidP="00BA7D1D">
            <w:pPr>
              <w:tabs>
                <w:tab w:val="left" w:pos="426"/>
              </w:tabs>
              <w:rPr>
                <w:rFonts w:ascii="Tahoma" w:hAnsi="Tahoma" w:cs="Tahoma"/>
                <w:sz w:val="19"/>
                <w:szCs w:val="19"/>
              </w:rPr>
            </w:pPr>
            <w:r w:rsidRPr="00923A56">
              <w:rPr>
                <w:rFonts w:ascii="Tahoma" w:hAnsi="Tahoma" w:cs="Tahoma"/>
                <w:sz w:val="19"/>
                <w:szCs w:val="19"/>
              </w:rPr>
              <w:t>superior a R$ 300 milhões</w:t>
            </w:r>
          </w:p>
        </w:tc>
      </w:tr>
    </w:tbl>
    <w:p w14:paraId="1397478D" w14:textId="2DA09BF4" w:rsidR="00092F97" w:rsidRDefault="00092F97">
      <w:pPr>
        <w:autoSpaceDN w:val="0"/>
        <w:spacing w:after="160"/>
        <w:textAlignment w:val="baseline"/>
        <w:rPr>
          <w:rFonts w:ascii="Tahoma" w:hAnsi="Tahoma" w:cs="Tahoma"/>
          <w:sz w:val="19"/>
          <w:szCs w:val="19"/>
        </w:rPr>
      </w:pPr>
      <w:r>
        <w:rPr>
          <w:rFonts w:ascii="Tahoma" w:hAnsi="Tahoma" w:cs="Tahoma"/>
          <w:sz w:val="19"/>
          <w:szCs w:val="19"/>
        </w:rPr>
        <w:br w:type="page"/>
      </w:r>
    </w:p>
    <w:p w14:paraId="5AA568E2" w14:textId="2181F073" w:rsidR="00092F97" w:rsidRPr="00E53D51" w:rsidRDefault="00092F97" w:rsidP="00092F97">
      <w:pPr>
        <w:autoSpaceDN w:val="0"/>
        <w:spacing w:after="160"/>
        <w:textAlignment w:val="baseline"/>
        <w:rPr>
          <w:rFonts w:ascii="Tahoma" w:hAnsi="Tahoma" w:cs="Tahoma"/>
          <w:color w:val="0098BA"/>
          <w:sz w:val="19"/>
          <w:szCs w:val="19"/>
        </w:rPr>
      </w:pPr>
      <w:r w:rsidRPr="00E53D51">
        <w:rPr>
          <w:rFonts w:ascii="Tahoma" w:hAnsi="Tahoma" w:cs="Tahoma"/>
          <w:color w:val="0098BA"/>
          <w:sz w:val="19"/>
          <w:szCs w:val="19"/>
        </w:rPr>
        <w:lastRenderedPageBreak/>
        <w:t xml:space="preserve">Contratação por </w:t>
      </w:r>
      <w:r>
        <w:rPr>
          <w:rFonts w:ascii="Tahoma" w:hAnsi="Tahoma" w:cs="Tahoma"/>
          <w:color w:val="0098BA"/>
          <w:sz w:val="19"/>
          <w:szCs w:val="19"/>
        </w:rPr>
        <w:t xml:space="preserve">região </w:t>
      </w:r>
      <w:r w:rsidRPr="00E53D51">
        <w:rPr>
          <w:rFonts w:ascii="Tahoma" w:hAnsi="Tahoma" w:cs="Tahoma"/>
          <w:color w:val="0098BA"/>
          <w:sz w:val="19"/>
          <w:szCs w:val="19"/>
        </w:rPr>
        <w:t>em 2023</w:t>
      </w:r>
      <w:r>
        <w:rPr>
          <w:rFonts w:ascii="Tahoma" w:hAnsi="Tahoma" w:cs="Tahoma"/>
          <w:color w:val="0098BA"/>
          <w:sz w:val="19"/>
          <w:szCs w:val="19"/>
        </w:rPr>
        <w:t xml:space="preserve"> (Empresas e Instituições Científicas e Tecnológicas)</w:t>
      </w:r>
    </w:p>
    <w:p w14:paraId="49E74EA8" w14:textId="66AAAA1A" w:rsidR="00092F97" w:rsidRDefault="00092F97" w:rsidP="00E53D51">
      <w:pPr>
        <w:autoSpaceDN w:val="0"/>
        <w:spacing w:after="160"/>
        <w:textAlignment w:val="baseline"/>
        <w:rPr>
          <w:rFonts w:ascii="Tahoma" w:hAnsi="Tahoma" w:cs="Tahoma"/>
          <w:sz w:val="19"/>
          <w:szCs w:val="19"/>
        </w:rPr>
      </w:pPr>
      <w:r>
        <w:rPr>
          <w:noProof/>
        </w:rPr>
        <w:drawing>
          <wp:inline distT="0" distB="0" distL="0" distR="0" wp14:anchorId="12855462" wp14:editId="19B3AF42">
            <wp:extent cx="5264727" cy="3088698"/>
            <wp:effectExtent l="0" t="0" r="12700" b="16510"/>
            <wp:docPr id="599546667" name="Gráfico 3">
              <a:extLst xmlns:a="http://schemas.openxmlformats.org/drawingml/2006/main">
                <a:ext uri="{FF2B5EF4-FFF2-40B4-BE49-F238E27FC236}">
                  <a16:creationId xmlns:a16="http://schemas.microsoft.com/office/drawing/2014/main" id="{598DE67B-69E3-B31F-EDE4-76B6A7DAE7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6E88746" w14:textId="60C392E5" w:rsidR="00E53D51" w:rsidRDefault="00092F97" w:rsidP="00E53D51">
      <w:pPr>
        <w:autoSpaceDN w:val="0"/>
        <w:spacing w:after="160"/>
        <w:textAlignment w:val="baseline"/>
        <w:rPr>
          <w:rFonts w:ascii="Tahoma" w:hAnsi="Tahoma" w:cs="Tahoma"/>
          <w:sz w:val="19"/>
          <w:szCs w:val="19"/>
        </w:rPr>
      </w:pPr>
      <w:r>
        <w:rPr>
          <w:noProof/>
        </w:rPr>
        <w:drawing>
          <wp:inline distT="0" distB="0" distL="0" distR="0" wp14:anchorId="2CA981F2" wp14:editId="1D572CC7">
            <wp:extent cx="5264727" cy="3039341"/>
            <wp:effectExtent l="0" t="0" r="12700" b="8890"/>
            <wp:docPr id="1749339948" name="Gráfico 4">
              <a:extLst xmlns:a="http://schemas.openxmlformats.org/drawingml/2006/main">
                <a:ext uri="{FF2B5EF4-FFF2-40B4-BE49-F238E27FC236}">
                  <a16:creationId xmlns:a16="http://schemas.microsoft.com/office/drawing/2014/main" id="{4CDDFE24-E372-4FD3-BEE9-A0891777E8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83A646A" w14:textId="77777777" w:rsidR="005D031F" w:rsidRDefault="005D031F" w:rsidP="00E53D51">
      <w:pPr>
        <w:autoSpaceDN w:val="0"/>
        <w:spacing w:after="160"/>
        <w:textAlignment w:val="baseline"/>
        <w:rPr>
          <w:rFonts w:ascii="Tahoma" w:hAnsi="Tahoma" w:cs="Tahoma"/>
          <w:sz w:val="19"/>
          <w:szCs w:val="19"/>
        </w:rPr>
      </w:pPr>
    </w:p>
    <w:p w14:paraId="3178C954" w14:textId="0B7154E4" w:rsidR="00E53D51" w:rsidRDefault="00E53D51" w:rsidP="00E53D51">
      <w:pPr>
        <w:spacing w:before="120" w:after="120" w:line="360" w:lineRule="auto"/>
        <w:jc w:val="both"/>
        <w:rPr>
          <w:rFonts w:ascii="Tahoma" w:hAnsi="Tahoma" w:cs="Tahoma"/>
          <w:sz w:val="19"/>
          <w:szCs w:val="19"/>
        </w:rPr>
      </w:pPr>
      <w:r w:rsidRPr="00703AFB">
        <w:rPr>
          <w:noProof/>
          <w:color w:val="0098BA"/>
        </w:rPr>
        <w:lastRenderedPageBreak/>
        <w:drawing>
          <wp:inline distT="0" distB="0" distL="0" distR="0" wp14:anchorId="1E710A34" wp14:editId="0F30BA1C">
            <wp:extent cx="5238750" cy="2940050"/>
            <wp:effectExtent l="0" t="0" r="0" b="12700"/>
            <wp:docPr id="1473218035" name="Gráfico 1">
              <a:extLst xmlns:a="http://schemas.openxmlformats.org/drawingml/2006/main">
                <a:ext uri="{FF2B5EF4-FFF2-40B4-BE49-F238E27FC236}">
                  <a16:creationId xmlns:a16="http://schemas.microsoft.com/office/drawing/2014/main" id="{F01579B3-A881-222E-7A7A-4E7F22D14D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1D0798E" w14:textId="556C78C7" w:rsidR="00E53D51" w:rsidRDefault="00E53D51" w:rsidP="00E53D51">
      <w:pPr>
        <w:spacing w:before="120" w:after="120" w:line="360" w:lineRule="auto"/>
        <w:jc w:val="both"/>
        <w:rPr>
          <w:rFonts w:ascii="Tahoma" w:hAnsi="Tahoma" w:cs="Tahoma"/>
          <w:sz w:val="19"/>
          <w:szCs w:val="19"/>
        </w:rPr>
      </w:pPr>
      <w:r w:rsidRPr="00703AFB">
        <w:rPr>
          <w:rFonts w:ascii="Tahoma" w:hAnsi="Tahoma" w:cs="Tahoma"/>
          <w:sz w:val="19"/>
          <w:szCs w:val="19"/>
        </w:rPr>
        <w:t>Nota: A produtividade per capita é a relação entre a quantidade total de operações contratadas e o número de empregados</w:t>
      </w:r>
      <w:r w:rsidR="00092F97">
        <w:rPr>
          <w:rFonts w:ascii="Tahoma" w:hAnsi="Tahoma" w:cs="Tahoma"/>
          <w:sz w:val="19"/>
          <w:szCs w:val="19"/>
        </w:rPr>
        <w:t>.</w:t>
      </w:r>
    </w:p>
    <w:p w14:paraId="3DF2E7B4" w14:textId="4B686154" w:rsidR="00E8168C" w:rsidRDefault="00E8168C" w:rsidP="002C7B08">
      <w:pPr>
        <w:autoSpaceDN w:val="0"/>
        <w:spacing w:after="160"/>
        <w:textAlignment w:val="baseline"/>
        <w:rPr>
          <w:rFonts w:ascii="Tahoma" w:hAnsi="Tahoma" w:cs="Tahoma"/>
          <w:sz w:val="19"/>
          <w:szCs w:val="19"/>
        </w:rPr>
      </w:pPr>
    </w:p>
    <w:p w14:paraId="5C763495" w14:textId="77777777" w:rsidR="00685FAA" w:rsidRDefault="00685FAA" w:rsidP="002C7B08">
      <w:pPr>
        <w:autoSpaceDN w:val="0"/>
        <w:spacing w:after="160"/>
        <w:textAlignment w:val="baseline"/>
        <w:rPr>
          <w:rFonts w:ascii="Tahoma" w:hAnsi="Tahoma" w:cs="Tahoma"/>
          <w:sz w:val="19"/>
          <w:szCs w:val="19"/>
        </w:rPr>
      </w:pPr>
    </w:p>
    <w:p w14:paraId="11AAC6E4" w14:textId="7EDC1DDF" w:rsidR="002C7B08" w:rsidRPr="00685FAA" w:rsidRDefault="002C7B08" w:rsidP="00DC50D6">
      <w:pPr>
        <w:textAlignment w:val="baseline"/>
        <w:rPr>
          <w:rFonts w:ascii="Tahoma" w:hAnsi="Tahoma" w:cs="Tahoma"/>
          <w:color w:val="0098BA"/>
          <w:sz w:val="21"/>
          <w:szCs w:val="21"/>
        </w:rPr>
      </w:pPr>
      <w:r w:rsidRPr="00685FAA">
        <w:rPr>
          <w:rFonts w:ascii="Tahoma" w:hAnsi="Tahoma" w:cs="Tahoma"/>
          <w:color w:val="0098BA"/>
          <w:sz w:val="21"/>
          <w:szCs w:val="21"/>
        </w:rPr>
        <w:t>Presença Geográfica</w:t>
      </w:r>
    </w:p>
    <w:p w14:paraId="1F7CF993" w14:textId="09726D1D" w:rsidR="007218EA" w:rsidRDefault="002C7B08" w:rsidP="002F39AA">
      <w:pPr>
        <w:spacing w:before="120" w:after="120" w:line="360" w:lineRule="auto"/>
        <w:jc w:val="both"/>
        <w:rPr>
          <w:rFonts w:ascii="Tahoma" w:hAnsi="Tahoma" w:cs="Tahoma"/>
          <w:sz w:val="19"/>
          <w:szCs w:val="19"/>
        </w:rPr>
      </w:pPr>
      <w:r>
        <w:rPr>
          <w:noProof/>
        </w:rPr>
        <w:drawing>
          <wp:inline distT="0" distB="0" distL="0" distR="0" wp14:anchorId="05D098CD" wp14:editId="1D7028BE">
            <wp:extent cx="4710989" cy="3969703"/>
            <wp:effectExtent l="0" t="0" r="0" b="0"/>
            <wp:docPr id="738637868" name="Imagem 2" descr="Uma imagem contendo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37868" name="Imagem 2" descr="Uma imagem contendo Mapa&#10;&#10;Descrição gerada automa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26958" cy="3983159"/>
                    </a:xfrm>
                    <a:prstGeom prst="rect">
                      <a:avLst/>
                    </a:prstGeom>
                    <a:noFill/>
                    <a:ln>
                      <a:noFill/>
                    </a:ln>
                  </pic:spPr>
                </pic:pic>
              </a:graphicData>
            </a:graphic>
          </wp:inline>
        </w:drawing>
      </w:r>
    </w:p>
    <w:p w14:paraId="2609F4D1" w14:textId="2E5809D6" w:rsidR="00E51F53" w:rsidRDefault="00E51F53">
      <w:pPr>
        <w:autoSpaceDN w:val="0"/>
        <w:spacing w:after="160"/>
        <w:textAlignment w:val="baseline"/>
        <w:rPr>
          <w:rFonts w:ascii="Tahoma" w:hAnsi="Tahoma" w:cs="Tahoma"/>
          <w:sz w:val="19"/>
          <w:szCs w:val="19"/>
        </w:rPr>
      </w:pPr>
      <w:r>
        <w:rPr>
          <w:rFonts w:ascii="Tahoma" w:hAnsi="Tahoma" w:cs="Tahoma"/>
          <w:sz w:val="19"/>
          <w:szCs w:val="19"/>
        </w:rPr>
        <w:br w:type="page"/>
      </w:r>
    </w:p>
    <w:bookmarkEnd w:id="17"/>
    <w:bookmarkEnd w:id="18"/>
    <w:bookmarkEnd w:id="19"/>
    <w:bookmarkEnd w:id="20"/>
    <w:bookmarkEnd w:id="21"/>
    <w:bookmarkEnd w:id="22"/>
    <w:bookmarkEnd w:id="23"/>
    <w:bookmarkEnd w:id="24"/>
    <w:bookmarkEnd w:id="25"/>
    <w:p w14:paraId="2705F457" w14:textId="45C1F75E" w:rsidR="006D6065" w:rsidRDefault="00685FAA" w:rsidP="00D16E0D">
      <w:pPr>
        <w:pStyle w:val="Ttulo1"/>
        <w:spacing w:line="259" w:lineRule="auto"/>
        <w:ind w:left="432" w:hanging="432"/>
        <w:rPr>
          <w:rFonts w:ascii="Tahoma" w:eastAsiaTheme="majorEastAsia" w:hAnsi="Tahoma" w:cs="Tahoma"/>
          <w:color w:val="0098BA"/>
          <w:sz w:val="28"/>
          <w:szCs w:val="28"/>
          <w:lang w:eastAsia="en-US"/>
        </w:rPr>
      </w:pPr>
      <w:r w:rsidRPr="00D16E0D">
        <w:rPr>
          <w:rFonts w:ascii="Tahoma" w:eastAsiaTheme="majorEastAsia" w:hAnsi="Tahoma" w:cs="Tahoma"/>
          <w:noProof/>
          <w:color w:val="0098BA"/>
          <w:sz w:val="28"/>
          <w:szCs w:val="28"/>
          <w:lang w:eastAsia="en-US"/>
        </w:rPr>
        <w:lastRenderedPageBreak/>
        <mc:AlternateContent>
          <mc:Choice Requires="wps">
            <w:drawing>
              <wp:anchor distT="0" distB="0" distL="114300" distR="114300" simplePos="0" relativeHeight="251658752" behindDoc="0" locked="0" layoutInCell="1" allowOverlap="1" wp14:anchorId="6CFBD333" wp14:editId="6C290665">
                <wp:simplePos x="0" y="0"/>
                <wp:positionH relativeFrom="column">
                  <wp:posOffset>1549677</wp:posOffset>
                </wp:positionH>
                <wp:positionV relativeFrom="paragraph">
                  <wp:posOffset>8779</wp:posOffset>
                </wp:positionV>
                <wp:extent cx="4271645" cy="486233"/>
                <wp:effectExtent l="0" t="0" r="0" b="9525"/>
                <wp:wrapNone/>
                <wp:docPr id="676897559" name="Text Box 237"/>
                <wp:cNvGraphicFramePr/>
                <a:graphic xmlns:a="http://schemas.openxmlformats.org/drawingml/2006/main">
                  <a:graphicData uri="http://schemas.microsoft.com/office/word/2010/wordprocessingShape">
                    <wps:wsp>
                      <wps:cNvSpPr txBox="1"/>
                      <wps:spPr>
                        <a:xfrm>
                          <a:off x="0" y="0"/>
                          <a:ext cx="4271645" cy="486233"/>
                        </a:xfrm>
                        <a:prstGeom prst="rect">
                          <a:avLst/>
                        </a:prstGeom>
                        <a:solidFill>
                          <a:srgbClr val="0098BA">
                            <a:alpha val="25098"/>
                          </a:srgbClr>
                        </a:solidFill>
                        <a:ln w="6345">
                          <a:noFill/>
                          <a:prstDash val="dash"/>
                        </a:ln>
                      </wps:spPr>
                      <wps:txbx>
                        <w:txbxContent>
                          <w:p w14:paraId="43AFAB90" w14:textId="74AE9657" w:rsidR="00B0181E" w:rsidRDefault="00363F80" w:rsidP="0061399C">
                            <w:pPr>
                              <w:jc w:val="right"/>
                              <w:rPr>
                                <w:rStyle w:val="Hyperlink"/>
                                <w:rFonts w:ascii="Tahoma" w:hAnsi="Tahoma" w:cs="Tahoma"/>
                                <w:sz w:val="16"/>
                                <w:szCs w:val="16"/>
                              </w:rPr>
                            </w:pPr>
                            <w:r>
                              <w:rPr>
                                <w:rFonts w:ascii="Tahoma" w:hAnsi="Tahoma" w:cs="Tahoma"/>
                                <w:sz w:val="16"/>
                                <w:szCs w:val="16"/>
                              </w:rPr>
                              <w:t>Este relatório</w:t>
                            </w:r>
                            <w:r w:rsidR="0061399C">
                              <w:rPr>
                                <w:rFonts w:ascii="Tahoma" w:hAnsi="Tahoma" w:cs="Tahoma"/>
                                <w:sz w:val="16"/>
                                <w:szCs w:val="16"/>
                              </w:rPr>
                              <w:t xml:space="preserve"> traz</w:t>
                            </w:r>
                            <w:r w:rsidR="0061399C" w:rsidRPr="0061399C">
                              <w:rPr>
                                <w:rFonts w:ascii="Tahoma" w:hAnsi="Tahoma" w:cs="Tahoma"/>
                                <w:sz w:val="16"/>
                                <w:szCs w:val="16"/>
                              </w:rPr>
                              <w:t xml:space="preserve"> </w:t>
                            </w:r>
                            <w:r>
                              <w:rPr>
                                <w:rFonts w:ascii="Tahoma" w:hAnsi="Tahoma" w:cs="Tahoma"/>
                                <w:sz w:val="16"/>
                                <w:szCs w:val="16"/>
                              </w:rPr>
                              <w:t>no começo de algumas seções, indicações de</w:t>
                            </w:r>
                            <w:r w:rsidR="0061399C" w:rsidRPr="0061399C">
                              <w:rPr>
                                <w:rFonts w:ascii="Tahoma" w:hAnsi="Tahoma" w:cs="Tahoma"/>
                                <w:sz w:val="16"/>
                                <w:szCs w:val="16"/>
                              </w:rPr>
                              <w:t xml:space="preserve"> elementos de conteúdo propostos pelos padrões </w:t>
                            </w:r>
                            <w:r>
                              <w:rPr>
                                <w:rFonts w:ascii="Tahoma" w:hAnsi="Tahoma" w:cs="Tahoma"/>
                                <w:sz w:val="16"/>
                                <w:szCs w:val="16"/>
                              </w:rPr>
                              <w:t xml:space="preserve">da </w:t>
                            </w:r>
                            <w:r w:rsidR="0061399C" w:rsidRPr="0061399C">
                              <w:rPr>
                                <w:rFonts w:ascii="Tahoma" w:hAnsi="Tahoma" w:cs="Tahoma"/>
                                <w:sz w:val="16"/>
                                <w:szCs w:val="16"/>
                              </w:rPr>
                              <w:t>G</w:t>
                            </w:r>
                            <w:r>
                              <w:rPr>
                                <w:rFonts w:ascii="Tahoma" w:hAnsi="Tahoma" w:cs="Tahoma"/>
                                <w:sz w:val="16"/>
                                <w:szCs w:val="16"/>
                              </w:rPr>
                              <w:t xml:space="preserve">lobal </w:t>
                            </w:r>
                            <w:r w:rsidR="0061399C" w:rsidRPr="0061399C">
                              <w:rPr>
                                <w:rFonts w:ascii="Tahoma" w:hAnsi="Tahoma" w:cs="Tahoma"/>
                                <w:sz w:val="16"/>
                                <w:szCs w:val="16"/>
                              </w:rPr>
                              <w:t>R</w:t>
                            </w:r>
                            <w:r>
                              <w:rPr>
                                <w:rFonts w:ascii="Tahoma" w:hAnsi="Tahoma" w:cs="Tahoma"/>
                                <w:sz w:val="16"/>
                                <w:szCs w:val="16"/>
                              </w:rPr>
                              <w:t xml:space="preserve">eporting </w:t>
                            </w:r>
                            <w:r w:rsidR="0061399C" w:rsidRPr="0061399C">
                              <w:rPr>
                                <w:rFonts w:ascii="Tahoma" w:hAnsi="Tahoma" w:cs="Tahoma"/>
                                <w:sz w:val="16"/>
                                <w:szCs w:val="16"/>
                              </w:rPr>
                              <w:t>I</w:t>
                            </w:r>
                            <w:r>
                              <w:rPr>
                                <w:rFonts w:ascii="Tahoma" w:hAnsi="Tahoma" w:cs="Tahoma"/>
                                <w:sz w:val="16"/>
                                <w:szCs w:val="16"/>
                              </w:rPr>
                              <w:t>nitiative (GRI)</w:t>
                            </w:r>
                            <w:r w:rsidR="0061399C" w:rsidRPr="0061399C">
                              <w:rPr>
                                <w:rFonts w:ascii="Tahoma" w:hAnsi="Tahoma" w:cs="Tahoma"/>
                                <w:sz w:val="16"/>
                                <w:szCs w:val="16"/>
                              </w:rPr>
                              <w:t xml:space="preserve"> </w:t>
                            </w:r>
                            <w:r>
                              <w:rPr>
                                <w:rFonts w:ascii="Tahoma" w:hAnsi="Tahoma" w:cs="Tahoma"/>
                                <w:sz w:val="16"/>
                                <w:szCs w:val="16"/>
                              </w:rPr>
                              <w:t>n</w:t>
                            </w:r>
                            <w:r w:rsidR="0061399C">
                              <w:rPr>
                                <w:rFonts w:ascii="Tahoma" w:hAnsi="Tahoma" w:cs="Tahoma"/>
                                <w:sz w:val="16"/>
                                <w:szCs w:val="16"/>
                              </w:rPr>
                              <w:t>a</w:t>
                            </w:r>
                            <w:r w:rsidR="0061399C" w:rsidRPr="0061399C">
                              <w:rPr>
                                <w:rFonts w:ascii="Tahoma" w:hAnsi="Tahoma" w:cs="Tahoma"/>
                                <w:sz w:val="16"/>
                                <w:szCs w:val="16"/>
                              </w:rPr>
                              <w:t xml:space="preserve"> </w:t>
                            </w:r>
                            <w:hyperlink r:id="rId30" w:history="1">
                              <w:r w:rsidR="0061399C" w:rsidRPr="0061399C">
                                <w:rPr>
                                  <w:rStyle w:val="Hyperlink"/>
                                  <w:rFonts w:ascii="Tahoma" w:hAnsi="Tahoma" w:cs="Tahoma"/>
                                  <w:sz w:val="16"/>
                                  <w:szCs w:val="16"/>
                                </w:rPr>
                                <w:t>Norma GRI 2</w:t>
                              </w:r>
                            </w:hyperlink>
                            <w:r>
                              <w:rPr>
                                <w:rStyle w:val="Hyperlink"/>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type w14:anchorId="6CFBD333" id="_x0000_t202" coordsize="21600,21600" o:spt="202" path="m,l,21600r21600,l21600,xe">
                <v:stroke joinstyle="miter"/>
                <v:path gradientshapeok="t" o:connecttype="rect"/>
              </v:shapetype>
              <v:shape id="Text Box 237" o:spid="_x0000_s1026" type="#_x0000_t202" style="position:absolute;left:0;text-align:left;margin-left:122pt;margin-top:.7pt;width:336.35pt;height:38.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" fillcolor="#0098ba" stroked="f" strokeweight=".17625mm">
                <v:fill opacity="16448f"/>
                <v:stroke dashstyle="dash"/>
                <v:textbox>
                  <w:txbxContent>
                    <w:p w14:paraId="43AFAB90" w14:textId="74AE9657" w:rsidR="00B0181E" w:rsidRDefault="00363F80" w:rsidP="0061399C">
                      <w:pPr>
                        <w:jc w:val="right"/>
                        <w:rPr>
                          <w:rStyle w:val="Hyperlink"/>
                          <w:rFonts w:ascii="Tahoma" w:hAnsi="Tahoma" w:cs="Tahoma"/>
                          <w:sz w:val="16"/>
                          <w:szCs w:val="16"/>
                        </w:rPr>
                      </w:pPr>
                      <w:r>
                        <w:rPr>
                          <w:rFonts w:ascii="Tahoma" w:hAnsi="Tahoma" w:cs="Tahoma"/>
                          <w:sz w:val="16"/>
                          <w:szCs w:val="16"/>
                        </w:rPr>
                        <w:t>Este relatório</w:t>
                      </w:r>
                      <w:r w:rsidR="0061399C">
                        <w:rPr>
                          <w:rFonts w:ascii="Tahoma" w:hAnsi="Tahoma" w:cs="Tahoma"/>
                          <w:sz w:val="16"/>
                          <w:szCs w:val="16"/>
                        </w:rPr>
                        <w:t xml:space="preserve"> traz</w:t>
                      </w:r>
                      <w:r w:rsidR="0061399C" w:rsidRPr="0061399C">
                        <w:rPr>
                          <w:rFonts w:ascii="Tahoma" w:hAnsi="Tahoma" w:cs="Tahoma"/>
                          <w:sz w:val="16"/>
                          <w:szCs w:val="16"/>
                        </w:rPr>
                        <w:t xml:space="preserve"> </w:t>
                      </w:r>
                      <w:r>
                        <w:rPr>
                          <w:rFonts w:ascii="Tahoma" w:hAnsi="Tahoma" w:cs="Tahoma"/>
                          <w:sz w:val="16"/>
                          <w:szCs w:val="16"/>
                        </w:rPr>
                        <w:t>no começo de algumas seções, indicações de</w:t>
                      </w:r>
                      <w:r w:rsidR="0061399C" w:rsidRPr="0061399C">
                        <w:rPr>
                          <w:rFonts w:ascii="Tahoma" w:hAnsi="Tahoma" w:cs="Tahoma"/>
                          <w:sz w:val="16"/>
                          <w:szCs w:val="16"/>
                        </w:rPr>
                        <w:t xml:space="preserve"> elementos de conteúdo propostos pelos padrões </w:t>
                      </w:r>
                      <w:r>
                        <w:rPr>
                          <w:rFonts w:ascii="Tahoma" w:hAnsi="Tahoma" w:cs="Tahoma"/>
                          <w:sz w:val="16"/>
                          <w:szCs w:val="16"/>
                        </w:rPr>
                        <w:t xml:space="preserve">da </w:t>
                      </w:r>
                      <w:r w:rsidR="0061399C" w:rsidRPr="0061399C">
                        <w:rPr>
                          <w:rFonts w:ascii="Tahoma" w:hAnsi="Tahoma" w:cs="Tahoma"/>
                          <w:sz w:val="16"/>
                          <w:szCs w:val="16"/>
                        </w:rPr>
                        <w:t>G</w:t>
                      </w:r>
                      <w:r>
                        <w:rPr>
                          <w:rFonts w:ascii="Tahoma" w:hAnsi="Tahoma" w:cs="Tahoma"/>
                          <w:sz w:val="16"/>
                          <w:szCs w:val="16"/>
                        </w:rPr>
                        <w:t xml:space="preserve">lobal </w:t>
                      </w:r>
                      <w:r w:rsidR="0061399C" w:rsidRPr="0061399C">
                        <w:rPr>
                          <w:rFonts w:ascii="Tahoma" w:hAnsi="Tahoma" w:cs="Tahoma"/>
                          <w:sz w:val="16"/>
                          <w:szCs w:val="16"/>
                        </w:rPr>
                        <w:t>R</w:t>
                      </w:r>
                      <w:r>
                        <w:rPr>
                          <w:rFonts w:ascii="Tahoma" w:hAnsi="Tahoma" w:cs="Tahoma"/>
                          <w:sz w:val="16"/>
                          <w:szCs w:val="16"/>
                        </w:rPr>
                        <w:t xml:space="preserve">eporting </w:t>
                      </w:r>
                      <w:r w:rsidR="0061399C" w:rsidRPr="0061399C">
                        <w:rPr>
                          <w:rFonts w:ascii="Tahoma" w:hAnsi="Tahoma" w:cs="Tahoma"/>
                          <w:sz w:val="16"/>
                          <w:szCs w:val="16"/>
                        </w:rPr>
                        <w:t>I</w:t>
                      </w:r>
                      <w:r>
                        <w:rPr>
                          <w:rFonts w:ascii="Tahoma" w:hAnsi="Tahoma" w:cs="Tahoma"/>
                          <w:sz w:val="16"/>
                          <w:szCs w:val="16"/>
                        </w:rPr>
                        <w:t>nitiative (GRI)</w:t>
                      </w:r>
                      <w:r w:rsidR="0061399C" w:rsidRPr="0061399C">
                        <w:rPr>
                          <w:rFonts w:ascii="Tahoma" w:hAnsi="Tahoma" w:cs="Tahoma"/>
                          <w:sz w:val="16"/>
                          <w:szCs w:val="16"/>
                        </w:rPr>
                        <w:t xml:space="preserve"> </w:t>
                      </w:r>
                      <w:r>
                        <w:rPr>
                          <w:rFonts w:ascii="Tahoma" w:hAnsi="Tahoma" w:cs="Tahoma"/>
                          <w:sz w:val="16"/>
                          <w:szCs w:val="16"/>
                        </w:rPr>
                        <w:t>n</w:t>
                      </w:r>
                      <w:r w:rsidR="0061399C">
                        <w:rPr>
                          <w:rFonts w:ascii="Tahoma" w:hAnsi="Tahoma" w:cs="Tahoma"/>
                          <w:sz w:val="16"/>
                          <w:szCs w:val="16"/>
                        </w:rPr>
                        <w:t>a</w:t>
                      </w:r>
                      <w:r w:rsidR="0061399C" w:rsidRPr="0061399C">
                        <w:rPr>
                          <w:rFonts w:ascii="Tahoma" w:hAnsi="Tahoma" w:cs="Tahoma"/>
                          <w:sz w:val="16"/>
                          <w:szCs w:val="16"/>
                        </w:rPr>
                        <w:t xml:space="preserve"> </w:t>
                      </w:r>
                      <w:hyperlink r:id="rId31" w:history="1">
                        <w:r w:rsidR="0061399C" w:rsidRPr="0061399C">
                          <w:rPr>
                            <w:rStyle w:val="Hyperlink"/>
                            <w:rFonts w:ascii="Tahoma" w:hAnsi="Tahoma" w:cs="Tahoma"/>
                            <w:sz w:val="16"/>
                            <w:szCs w:val="16"/>
                          </w:rPr>
                          <w:t>Norma GRI 2</w:t>
                        </w:r>
                      </w:hyperlink>
                      <w:r>
                        <w:rPr>
                          <w:rStyle w:val="Hyperlink"/>
                          <w:rFonts w:ascii="Tahoma" w:hAnsi="Tahoma" w:cs="Tahoma"/>
                          <w:sz w:val="16"/>
                          <w:szCs w:val="16"/>
                        </w:rPr>
                        <w:t>.</w:t>
                      </w:r>
                    </w:p>
                  </w:txbxContent>
                </v:textbox>
              </v:shape>
            </w:pict>
          </mc:Fallback>
        </mc:AlternateContent>
      </w:r>
      <w:bookmarkStart w:id="26" w:name="_Toc13758549"/>
      <w:bookmarkStart w:id="27" w:name="_Toc163025242"/>
      <w:bookmarkStart w:id="28" w:name="_Toc162512579"/>
      <w:r w:rsidR="00D911A8" w:rsidRPr="00923A56">
        <w:rPr>
          <w:rFonts w:ascii="Tahoma" w:eastAsiaTheme="majorEastAsia" w:hAnsi="Tahoma" w:cs="Tahoma"/>
          <w:color w:val="0098BA"/>
          <w:sz w:val="28"/>
          <w:szCs w:val="28"/>
          <w:lang w:eastAsia="en-US"/>
        </w:rPr>
        <w:t>Sobre o relatório</w:t>
      </w:r>
      <w:bookmarkEnd w:id="26"/>
      <w:bookmarkEnd w:id="27"/>
      <w:bookmarkEnd w:id="28"/>
    </w:p>
    <w:p w14:paraId="50877967" w14:textId="77777777" w:rsidR="00E51F53" w:rsidRPr="00E51F53" w:rsidRDefault="00E51F53" w:rsidP="00E51F53">
      <w:pPr>
        <w:spacing w:before="120" w:after="120" w:line="360" w:lineRule="auto"/>
        <w:rPr>
          <w:rFonts w:ascii="Tahoma" w:hAnsi="Tahoma" w:cs="Tahoma"/>
          <w:sz w:val="19"/>
          <w:szCs w:val="19"/>
        </w:rPr>
      </w:pPr>
    </w:p>
    <w:p w14:paraId="7AA5A20D" w14:textId="47A273FD" w:rsidR="00D911A8" w:rsidRPr="00923A56" w:rsidRDefault="000B54EE" w:rsidP="002F39AA">
      <w:pPr>
        <w:pBdr>
          <w:top w:val="single" w:sz="4" w:space="1" w:color="0098BA"/>
          <w:left w:val="single" w:sz="4" w:space="4" w:color="0098BA"/>
          <w:bottom w:val="single" w:sz="4" w:space="1" w:color="0098BA"/>
          <w:right w:val="single" w:sz="4" w:space="4" w:color="0098BA"/>
        </w:pBdr>
        <w:spacing w:before="120" w:after="120"/>
        <w:rPr>
          <w:rFonts w:ascii="Tahoma" w:hAnsi="Tahoma" w:cs="Tahoma"/>
          <w:color w:val="0098BA"/>
          <w:sz w:val="19"/>
          <w:szCs w:val="19"/>
        </w:rPr>
      </w:pPr>
      <w:r w:rsidRPr="00923A56">
        <w:rPr>
          <w:rFonts w:ascii="Tahoma" w:hAnsi="Tahoma" w:cs="Tahoma"/>
          <w:color w:val="0098BA"/>
          <w:sz w:val="19"/>
          <w:szCs w:val="19"/>
        </w:rPr>
        <w:t>GRI 2-</w:t>
      </w:r>
      <w:r w:rsidR="00F22888">
        <w:rPr>
          <w:rFonts w:ascii="Tahoma" w:hAnsi="Tahoma" w:cs="Tahoma"/>
          <w:color w:val="0098BA"/>
          <w:sz w:val="19"/>
          <w:szCs w:val="19"/>
        </w:rPr>
        <w:t>1</w:t>
      </w:r>
      <w:r>
        <w:rPr>
          <w:rFonts w:ascii="Tahoma" w:hAnsi="Tahoma" w:cs="Tahoma"/>
          <w:color w:val="0098BA"/>
          <w:sz w:val="19"/>
          <w:szCs w:val="19"/>
        </w:rPr>
        <w:t xml:space="preserve">; </w:t>
      </w:r>
      <w:r w:rsidRPr="00923A56">
        <w:rPr>
          <w:rFonts w:ascii="Tahoma" w:hAnsi="Tahoma" w:cs="Tahoma"/>
          <w:color w:val="0098BA"/>
          <w:sz w:val="19"/>
          <w:szCs w:val="19"/>
        </w:rPr>
        <w:t>GRI 2-</w:t>
      </w:r>
      <w:r>
        <w:rPr>
          <w:rFonts w:ascii="Tahoma" w:hAnsi="Tahoma" w:cs="Tahoma"/>
          <w:color w:val="0098BA"/>
          <w:sz w:val="19"/>
          <w:szCs w:val="19"/>
        </w:rPr>
        <w:t xml:space="preserve">2; </w:t>
      </w:r>
      <w:r w:rsidR="001777BE" w:rsidRPr="00923A56">
        <w:rPr>
          <w:rFonts w:ascii="Tahoma" w:hAnsi="Tahoma" w:cs="Tahoma"/>
          <w:color w:val="0098BA"/>
          <w:sz w:val="19"/>
          <w:szCs w:val="19"/>
        </w:rPr>
        <w:t>GRI 2-</w:t>
      </w:r>
      <w:r w:rsidR="006D6065" w:rsidRPr="00923A56">
        <w:rPr>
          <w:rFonts w:ascii="Tahoma" w:hAnsi="Tahoma" w:cs="Tahoma"/>
          <w:color w:val="0098BA"/>
          <w:sz w:val="19"/>
          <w:szCs w:val="19"/>
        </w:rPr>
        <w:t>3; GRI 2-4; GRI 2-5; GRI 2-</w:t>
      </w:r>
      <w:r w:rsidR="001777BE" w:rsidRPr="00923A56">
        <w:rPr>
          <w:rFonts w:ascii="Tahoma" w:hAnsi="Tahoma" w:cs="Tahoma"/>
          <w:color w:val="0098BA"/>
          <w:sz w:val="19"/>
          <w:szCs w:val="19"/>
        </w:rPr>
        <w:t>14</w:t>
      </w:r>
    </w:p>
    <w:p w14:paraId="2ECD594C" w14:textId="74FFDF05" w:rsidR="007D161B" w:rsidRDefault="007D161B" w:rsidP="00254F4A">
      <w:pPr>
        <w:spacing w:before="120" w:after="120" w:line="360" w:lineRule="auto"/>
        <w:rPr>
          <w:rFonts w:ascii="Tahoma" w:hAnsi="Tahoma" w:cs="Tahoma"/>
          <w:sz w:val="19"/>
          <w:szCs w:val="19"/>
        </w:rPr>
      </w:pPr>
    </w:p>
    <w:p w14:paraId="4FA78D39" w14:textId="48C115C1" w:rsidR="006C59A5" w:rsidRPr="00923A56" w:rsidRDefault="00103C74" w:rsidP="00254F4A">
      <w:pPr>
        <w:spacing w:before="120" w:after="120" w:line="360" w:lineRule="auto"/>
        <w:rPr>
          <w:rFonts w:ascii="Tahoma" w:hAnsi="Tahoma" w:cs="Tahoma"/>
          <w:sz w:val="19"/>
          <w:szCs w:val="19"/>
        </w:rPr>
      </w:pPr>
      <w:r w:rsidRPr="00923A56">
        <w:rPr>
          <w:rFonts w:ascii="Tahoma" w:hAnsi="Tahoma" w:cs="Tahoma"/>
          <w:sz w:val="19"/>
          <w:szCs w:val="19"/>
        </w:rPr>
        <w:t>Es</w:t>
      </w:r>
      <w:r w:rsidR="001A06B2" w:rsidRPr="00923A56">
        <w:rPr>
          <w:rFonts w:ascii="Tahoma" w:hAnsi="Tahoma" w:cs="Tahoma"/>
          <w:sz w:val="19"/>
          <w:szCs w:val="19"/>
        </w:rPr>
        <w:t>t</w:t>
      </w:r>
      <w:r w:rsidRPr="00923A56">
        <w:rPr>
          <w:rFonts w:ascii="Tahoma" w:hAnsi="Tahoma" w:cs="Tahoma"/>
          <w:sz w:val="19"/>
          <w:szCs w:val="19"/>
        </w:rPr>
        <w:t>e documento cumpre dois importantes</w:t>
      </w:r>
      <w:r w:rsidR="009633AD">
        <w:rPr>
          <w:rFonts w:ascii="Tahoma" w:hAnsi="Tahoma" w:cs="Tahoma"/>
          <w:sz w:val="19"/>
          <w:szCs w:val="19"/>
        </w:rPr>
        <w:t xml:space="preserve"> </w:t>
      </w:r>
      <w:r w:rsidR="009633AD" w:rsidRPr="00923A56">
        <w:rPr>
          <w:rFonts w:ascii="Tahoma" w:hAnsi="Tahoma" w:cs="Tahoma"/>
          <w:sz w:val="19"/>
          <w:szCs w:val="19"/>
        </w:rPr>
        <w:t>papeis</w:t>
      </w:r>
      <w:r w:rsidRPr="00923A56">
        <w:rPr>
          <w:rFonts w:ascii="Tahoma" w:hAnsi="Tahoma" w:cs="Tahoma"/>
          <w:sz w:val="19"/>
          <w:szCs w:val="19"/>
        </w:rPr>
        <w:t xml:space="preserve">. Em primeiro lugar atende a um dos requisitos de transparência trazidos pela Lei das Estatais </w:t>
      </w:r>
      <w:r w:rsidR="006C59A5" w:rsidRPr="00923A56">
        <w:rPr>
          <w:rFonts w:ascii="Tahoma" w:hAnsi="Tahoma" w:cs="Tahoma"/>
          <w:sz w:val="19"/>
          <w:szCs w:val="19"/>
        </w:rPr>
        <w:t>(</w:t>
      </w:r>
      <w:r w:rsidRPr="00923A56">
        <w:rPr>
          <w:rFonts w:ascii="Tahoma" w:hAnsi="Tahoma" w:cs="Tahoma"/>
          <w:sz w:val="19"/>
          <w:szCs w:val="19"/>
        </w:rPr>
        <w:t>13.303/20</w:t>
      </w:r>
      <w:r w:rsidR="006C59A5" w:rsidRPr="00923A56">
        <w:rPr>
          <w:rFonts w:ascii="Tahoma" w:hAnsi="Tahoma" w:cs="Tahoma"/>
          <w:sz w:val="19"/>
          <w:szCs w:val="19"/>
        </w:rPr>
        <w:t>1</w:t>
      </w:r>
      <w:r w:rsidRPr="00923A56">
        <w:rPr>
          <w:rFonts w:ascii="Tahoma" w:hAnsi="Tahoma" w:cs="Tahoma"/>
          <w:sz w:val="19"/>
          <w:szCs w:val="19"/>
        </w:rPr>
        <w:t>6, art. 8º)</w:t>
      </w:r>
      <w:r w:rsidR="005D31A2">
        <w:rPr>
          <w:rFonts w:ascii="Tahoma" w:hAnsi="Tahoma" w:cs="Tahoma"/>
          <w:sz w:val="19"/>
          <w:szCs w:val="19"/>
        </w:rPr>
        <w:t>,</w:t>
      </w:r>
      <w:r w:rsidRPr="00923A56">
        <w:rPr>
          <w:rFonts w:ascii="Tahoma" w:hAnsi="Tahoma" w:cs="Tahoma"/>
          <w:sz w:val="19"/>
          <w:szCs w:val="19"/>
        </w:rPr>
        <w:t xml:space="preserve"> ao comunicar à sociedade</w:t>
      </w:r>
      <w:r w:rsidR="00185451">
        <w:rPr>
          <w:rFonts w:ascii="Tahoma" w:hAnsi="Tahoma" w:cs="Tahoma"/>
          <w:sz w:val="19"/>
          <w:szCs w:val="19"/>
        </w:rPr>
        <w:t>,</w:t>
      </w:r>
      <w:r w:rsidRPr="00923A56">
        <w:rPr>
          <w:rFonts w:ascii="Tahoma" w:hAnsi="Tahoma" w:cs="Tahoma"/>
          <w:sz w:val="19"/>
          <w:szCs w:val="19"/>
        </w:rPr>
        <w:t xml:space="preserve"> </w:t>
      </w:r>
      <w:r w:rsidR="006C59A5" w:rsidRPr="00923A56">
        <w:rPr>
          <w:rFonts w:ascii="Tahoma" w:hAnsi="Tahoma" w:cs="Tahoma"/>
          <w:sz w:val="19"/>
          <w:szCs w:val="19"/>
        </w:rPr>
        <w:t>em um documento claro e amigável, as questões estratégicas e o desempenho da Finep, abrangendo nesse relato o período de 1º de janeiro a 31 de dezembro de 2023.</w:t>
      </w:r>
    </w:p>
    <w:p w14:paraId="04357700" w14:textId="3C21FAB3" w:rsidR="00106D34" w:rsidRPr="00923A56" w:rsidRDefault="006C59A5" w:rsidP="00254F4A">
      <w:pPr>
        <w:spacing w:before="120" w:after="120" w:line="360" w:lineRule="auto"/>
        <w:rPr>
          <w:rFonts w:ascii="Tahoma" w:hAnsi="Tahoma" w:cs="Tahoma"/>
          <w:sz w:val="19"/>
          <w:szCs w:val="19"/>
        </w:rPr>
      </w:pPr>
      <w:r w:rsidRPr="00923A56">
        <w:rPr>
          <w:rFonts w:ascii="Tahoma" w:hAnsi="Tahoma" w:cs="Tahoma"/>
          <w:sz w:val="19"/>
          <w:szCs w:val="19"/>
        </w:rPr>
        <w:t xml:space="preserve">Atende também às </w:t>
      </w:r>
      <w:r w:rsidR="00870AAD" w:rsidRPr="00923A56">
        <w:rPr>
          <w:rFonts w:ascii="Tahoma" w:hAnsi="Tahoma" w:cs="Tahoma"/>
          <w:sz w:val="19"/>
          <w:szCs w:val="19"/>
        </w:rPr>
        <w:t xml:space="preserve">diretrizes </w:t>
      </w:r>
      <w:r w:rsidR="00103C74" w:rsidRPr="00923A56">
        <w:rPr>
          <w:rFonts w:ascii="Tahoma" w:hAnsi="Tahoma" w:cs="Tahoma"/>
          <w:sz w:val="19"/>
          <w:szCs w:val="19"/>
        </w:rPr>
        <w:t>do</w:t>
      </w:r>
      <w:r w:rsidR="00870AAD" w:rsidRPr="00923A56">
        <w:rPr>
          <w:rFonts w:ascii="Tahoma" w:hAnsi="Tahoma" w:cs="Tahoma"/>
          <w:sz w:val="19"/>
          <w:szCs w:val="19"/>
        </w:rPr>
        <w:t xml:space="preserve"> Tribunal de Contas da União</w:t>
      </w:r>
      <w:r w:rsidR="002E3643" w:rsidRPr="00923A56">
        <w:rPr>
          <w:rFonts w:ascii="Tahoma" w:hAnsi="Tahoma" w:cs="Tahoma"/>
          <w:sz w:val="19"/>
          <w:szCs w:val="19"/>
        </w:rPr>
        <w:t xml:space="preserve"> </w:t>
      </w:r>
      <w:r w:rsidR="001A06B2" w:rsidRPr="00923A56">
        <w:rPr>
          <w:rFonts w:ascii="Tahoma" w:hAnsi="Tahoma" w:cs="Tahoma"/>
          <w:sz w:val="19"/>
          <w:szCs w:val="19"/>
        </w:rPr>
        <w:t xml:space="preserve">para a elaboração do Relatório de Gestão anual, </w:t>
      </w:r>
      <w:r w:rsidRPr="00923A56">
        <w:rPr>
          <w:rFonts w:ascii="Tahoma" w:hAnsi="Tahoma" w:cs="Tahoma"/>
          <w:sz w:val="19"/>
          <w:szCs w:val="19"/>
        </w:rPr>
        <w:t xml:space="preserve">disponíveis em </w:t>
      </w:r>
      <w:hyperlink r:id="rId32" w:history="1">
        <w:r w:rsidRPr="00923A56">
          <w:rPr>
            <w:rStyle w:val="Hyperlink"/>
            <w:rFonts w:ascii="Tahoma" w:hAnsi="Tahoma" w:cs="Tahoma"/>
            <w:sz w:val="19"/>
            <w:szCs w:val="19"/>
          </w:rPr>
          <w:t>https://portal.tcu.gov.br/contas/</w:t>
        </w:r>
      </w:hyperlink>
      <w:r w:rsidR="001A06B2" w:rsidRPr="00923A56">
        <w:rPr>
          <w:rFonts w:ascii="Tahoma" w:hAnsi="Tahoma" w:cs="Tahoma"/>
          <w:sz w:val="19"/>
          <w:szCs w:val="19"/>
        </w:rPr>
        <w:t xml:space="preserve">. Nesse segundo papel, o Relatório Anual Integrado é também o documento pelo qual os administradores da Finep prestam contas, demonstrando a aplicação dos recursos públicos federais aos cidadãos e seus representantes, aos usuários de serviços públicos e aos provedores de recursos, e </w:t>
      </w:r>
      <w:r w:rsidR="00C1588C" w:rsidRPr="00923A56">
        <w:rPr>
          <w:rFonts w:ascii="Tahoma" w:hAnsi="Tahoma" w:cs="Tahoma"/>
          <w:sz w:val="19"/>
          <w:szCs w:val="19"/>
        </w:rPr>
        <w:t>a</w:t>
      </w:r>
      <w:r w:rsidR="001A06B2" w:rsidRPr="00923A56">
        <w:rPr>
          <w:rFonts w:ascii="Tahoma" w:hAnsi="Tahoma" w:cs="Tahoma"/>
          <w:sz w:val="19"/>
          <w:szCs w:val="19"/>
        </w:rPr>
        <w:t>os órgãos do Poder Legislativo e de controle</w:t>
      </w:r>
      <w:r w:rsidR="00C1588C" w:rsidRPr="00923A56">
        <w:rPr>
          <w:rFonts w:ascii="Tahoma" w:hAnsi="Tahoma" w:cs="Tahoma"/>
          <w:sz w:val="19"/>
          <w:szCs w:val="19"/>
        </w:rPr>
        <w:t>.</w:t>
      </w:r>
      <w:r w:rsidR="00106D34" w:rsidRPr="00923A56">
        <w:rPr>
          <w:rFonts w:ascii="Tahoma" w:hAnsi="Tahoma" w:cs="Tahoma"/>
          <w:sz w:val="19"/>
          <w:szCs w:val="19"/>
        </w:rPr>
        <w:t xml:space="preserve"> O documento contou com a colaboração de toda a organização na elaboração dos conteúdos</w:t>
      </w:r>
      <w:r w:rsidR="00F213D5">
        <w:rPr>
          <w:rFonts w:ascii="Tahoma" w:hAnsi="Tahoma" w:cs="Tahoma"/>
          <w:sz w:val="19"/>
          <w:szCs w:val="19"/>
        </w:rPr>
        <w:t>. Sua conformidade foi atestada pela unidade de auditoria interna e seu conteúdo foi objeto de</w:t>
      </w:r>
      <w:r w:rsidR="00106D34" w:rsidRPr="00923A56">
        <w:rPr>
          <w:rFonts w:ascii="Tahoma" w:hAnsi="Tahoma" w:cs="Tahoma"/>
          <w:sz w:val="19"/>
          <w:szCs w:val="19"/>
        </w:rPr>
        <w:t xml:space="preserve"> d</w:t>
      </w:r>
      <w:r w:rsidR="00185451">
        <w:rPr>
          <w:rFonts w:ascii="Tahoma" w:hAnsi="Tahoma" w:cs="Tahoma"/>
          <w:sz w:val="19"/>
          <w:szCs w:val="19"/>
        </w:rPr>
        <w:t>eliberação</w:t>
      </w:r>
      <w:r w:rsidR="00106D34" w:rsidRPr="00923A56">
        <w:rPr>
          <w:rFonts w:ascii="Tahoma" w:hAnsi="Tahoma" w:cs="Tahoma"/>
          <w:sz w:val="19"/>
          <w:szCs w:val="19"/>
        </w:rPr>
        <w:t xml:space="preserve"> pela Diretoria Executiva e pelo Conselho de Administração</w:t>
      </w:r>
      <w:r w:rsidR="00185451">
        <w:rPr>
          <w:rFonts w:ascii="Tahoma" w:hAnsi="Tahoma" w:cs="Tahoma"/>
          <w:sz w:val="19"/>
          <w:szCs w:val="19"/>
        </w:rPr>
        <w:t>, além de conhecimento e discussão pelo Conselho Fiscal e pelo Comitê de Auditoria</w:t>
      </w:r>
      <w:r w:rsidR="00106D34" w:rsidRPr="00923A56">
        <w:rPr>
          <w:rFonts w:ascii="Tahoma" w:hAnsi="Tahoma" w:cs="Tahoma"/>
          <w:sz w:val="19"/>
          <w:szCs w:val="19"/>
        </w:rPr>
        <w:t>.</w:t>
      </w:r>
      <w:r w:rsidR="00BE62D0">
        <w:rPr>
          <w:rFonts w:ascii="Tahoma" w:hAnsi="Tahoma" w:cs="Tahoma"/>
          <w:sz w:val="19"/>
          <w:szCs w:val="19"/>
        </w:rPr>
        <w:t xml:space="preserve"> </w:t>
      </w:r>
      <w:r w:rsidR="00BE62D0" w:rsidRPr="00BE62D0">
        <w:rPr>
          <w:rFonts w:ascii="Tahoma" w:hAnsi="Tahoma" w:cs="Tahoma"/>
          <w:sz w:val="19"/>
          <w:szCs w:val="19"/>
        </w:rPr>
        <w:t>Este relatório não contou com verificação externa.</w:t>
      </w:r>
    </w:p>
    <w:p w14:paraId="3A60FB85" w14:textId="50FC8B2F" w:rsidR="00571485" w:rsidRPr="00923A56" w:rsidRDefault="005142A5" w:rsidP="00254F4A">
      <w:pPr>
        <w:spacing w:before="120" w:after="120" w:line="360" w:lineRule="auto"/>
        <w:rPr>
          <w:rFonts w:ascii="Tahoma" w:hAnsi="Tahoma" w:cs="Tahoma"/>
          <w:sz w:val="19"/>
          <w:szCs w:val="19"/>
        </w:rPr>
      </w:pPr>
      <w:r w:rsidRPr="00923A56">
        <w:rPr>
          <w:rFonts w:ascii="Tahoma" w:hAnsi="Tahoma" w:cs="Tahoma"/>
          <w:sz w:val="19"/>
          <w:szCs w:val="19"/>
        </w:rPr>
        <w:t>Em 2023, o caminho para incorporação da agenda de Desenvolvimento Sustentável em nossos principais processos corporativos</w:t>
      </w:r>
      <w:r w:rsidR="00DE28C5" w:rsidRPr="00923A56">
        <w:rPr>
          <w:rFonts w:ascii="Tahoma" w:hAnsi="Tahoma" w:cs="Tahoma"/>
          <w:sz w:val="19"/>
          <w:szCs w:val="19"/>
        </w:rPr>
        <w:t xml:space="preserve"> </w:t>
      </w:r>
      <w:r w:rsidRPr="00923A56">
        <w:rPr>
          <w:rFonts w:ascii="Tahoma" w:hAnsi="Tahoma" w:cs="Tahoma"/>
          <w:sz w:val="19"/>
          <w:szCs w:val="19"/>
        </w:rPr>
        <w:t xml:space="preserve">envolveu </w:t>
      </w:r>
      <w:r w:rsidR="00603F67" w:rsidRPr="00923A56">
        <w:rPr>
          <w:rFonts w:ascii="Tahoma" w:hAnsi="Tahoma" w:cs="Tahoma"/>
          <w:sz w:val="19"/>
          <w:szCs w:val="19"/>
        </w:rPr>
        <w:t xml:space="preserve">também </w:t>
      </w:r>
      <w:r w:rsidRPr="00923A56">
        <w:rPr>
          <w:rFonts w:ascii="Tahoma" w:hAnsi="Tahoma" w:cs="Tahoma"/>
          <w:sz w:val="19"/>
          <w:szCs w:val="19"/>
        </w:rPr>
        <w:t>a atividade de relatoria</w:t>
      </w:r>
      <w:r w:rsidR="00D408E3" w:rsidRPr="00923A56">
        <w:rPr>
          <w:rFonts w:ascii="Tahoma" w:hAnsi="Tahoma" w:cs="Tahoma"/>
          <w:sz w:val="19"/>
          <w:szCs w:val="19"/>
        </w:rPr>
        <w:t>.</w:t>
      </w:r>
      <w:r w:rsidR="00603F67" w:rsidRPr="00923A56">
        <w:rPr>
          <w:rFonts w:ascii="Tahoma" w:hAnsi="Tahoma" w:cs="Tahoma"/>
          <w:sz w:val="19"/>
          <w:szCs w:val="19"/>
        </w:rPr>
        <w:t xml:space="preserve"> </w:t>
      </w:r>
      <w:r w:rsidR="00571485" w:rsidRPr="00923A56">
        <w:rPr>
          <w:rFonts w:ascii="Tahoma" w:hAnsi="Tahoma" w:cs="Tahoma"/>
          <w:sz w:val="19"/>
          <w:szCs w:val="19"/>
        </w:rPr>
        <w:t xml:space="preserve">Como a Lei das Estatais prevê </w:t>
      </w:r>
      <w:r w:rsidR="00FD701C" w:rsidRPr="00923A56">
        <w:rPr>
          <w:rFonts w:ascii="Tahoma" w:hAnsi="Tahoma" w:cs="Tahoma"/>
          <w:sz w:val="19"/>
          <w:szCs w:val="19"/>
        </w:rPr>
        <w:t>a possibilidade de</w:t>
      </w:r>
      <w:r w:rsidR="00571485" w:rsidRPr="00923A56">
        <w:rPr>
          <w:rFonts w:ascii="Tahoma" w:hAnsi="Tahoma" w:cs="Tahoma"/>
          <w:sz w:val="19"/>
          <w:szCs w:val="19"/>
        </w:rPr>
        <w:t xml:space="preserve"> publicação de um </w:t>
      </w:r>
      <w:hyperlink r:id="rId33" w:history="1">
        <w:r w:rsidR="00185451" w:rsidRPr="00C62F80">
          <w:rPr>
            <w:rStyle w:val="Hyperlink"/>
            <w:rFonts w:ascii="Tahoma" w:hAnsi="Tahoma" w:cs="Tahoma"/>
            <w:sz w:val="19"/>
            <w:szCs w:val="19"/>
          </w:rPr>
          <w:t>relato integrado</w:t>
        </w:r>
      </w:hyperlink>
      <w:r w:rsidR="00571485" w:rsidRPr="00923A56">
        <w:rPr>
          <w:rFonts w:ascii="Tahoma" w:hAnsi="Tahoma" w:cs="Tahoma"/>
          <w:sz w:val="19"/>
          <w:szCs w:val="19"/>
        </w:rPr>
        <w:t xml:space="preserve"> </w:t>
      </w:r>
      <w:r w:rsidR="00FD701C" w:rsidRPr="00923A56">
        <w:rPr>
          <w:rFonts w:ascii="Tahoma" w:hAnsi="Tahoma" w:cs="Tahoma"/>
          <w:sz w:val="19"/>
          <w:szCs w:val="19"/>
        </w:rPr>
        <w:t>ou d</w:t>
      </w:r>
      <w:r w:rsidR="00571485" w:rsidRPr="00923A56">
        <w:rPr>
          <w:rFonts w:ascii="Tahoma" w:hAnsi="Tahoma" w:cs="Tahoma"/>
          <w:sz w:val="19"/>
          <w:szCs w:val="19"/>
        </w:rPr>
        <w:t>e um relatório de sustentabilidade, contamos com o apoio de uma consultoria</w:t>
      </w:r>
      <w:r w:rsidR="00890F25">
        <w:rPr>
          <w:rFonts w:ascii="Tahoma" w:hAnsi="Tahoma" w:cs="Tahoma"/>
          <w:sz w:val="19"/>
          <w:szCs w:val="19"/>
        </w:rPr>
        <w:t xml:space="preserve">, </w:t>
      </w:r>
      <w:r w:rsidR="0052419C">
        <w:rPr>
          <w:rFonts w:ascii="Tahoma" w:hAnsi="Tahoma" w:cs="Tahoma"/>
          <w:sz w:val="19"/>
          <w:szCs w:val="19"/>
        </w:rPr>
        <w:t>no âmbito de</w:t>
      </w:r>
      <w:r w:rsidR="00890F25" w:rsidRPr="00923A56">
        <w:rPr>
          <w:rFonts w:ascii="Tahoma" w:hAnsi="Tahoma" w:cs="Tahoma"/>
          <w:sz w:val="19"/>
          <w:szCs w:val="19"/>
        </w:rPr>
        <w:t xml:space="preserve"> </w:t>
      </w:r>
      <w:r w:rsidR="0052419C">
        <w:rPr>
          <w:rFonts w:ascii="Tahoma" w:hAnsi="Tahoma" w:cs="Tahoma"/>
          <w:sz w:val="19"/>
          <w:szCs w:val="19"/>
        </w:rPr>
        <w:t xml:space="preserve">um </w:t>
      </w:r>
      <w:r w:rsidR="00890F25" w:rsidRPr="00923A56">
        <w:rPr>
          <w:rFonts w:ascii="Tahoma" w:hAnsi="Tahoma" w:cs="Tahoma"/>
          <w:sz w:val="19"/>
          <w:szCs w:val="19"/>
        </w:rPr>
        <w:t>conjunto de atividades apoiadas pela cooperação técnica sobre desenvolvimento sustentável que mantivemos com o Banco Interamericano de Desenvolvimento (BID)</w:t>
      </w:r>
      <w:r w:rsidR="0052419C">
        <w:rPr>
          <w:rFonts w:ascii="Tahoma" w:hAnsi="Tahoma" w:cs="Tahoma"/>
          <w:sz w:val="19"/>
          <w:szCs w:val="19"/>
        </w:rPr>
        <w:t xml:space="preserve">, que nos proveu suporte </w:t>
      </w:r>
      <w:r w:rsidR="00FD701C" w:rsidRPr="00923A56">
        <w:rPr>
          <w:rFonts w:ascii="Tahoma" w:hAnsi="Tahoma" w:cs="Tahoma"/>
          <w:sz w:val="19"/>
          <w:szCs w:val="19"/>
        </w:rPr>
        <w:t>n</w:t>
      </w:r>
      <w:r w:rsidR="00571485" w:rsidRPr="00923A56">
        <w:rPr>
          <w:rFonts w:ascii="Tahoma" w:hAnsi="Tahoma" w:cs="Tahoma"/>
          <w:sz w:val="19"/>
          <w:szCs w:val="19"/>
        </w:rPr>
        <w:t xml:space="preserve">a avaliação de nosso estágio de maturidade para a incorporação de práticas de relato socioambiental, em especial aquelas </w:t>
      </w:r>
      <w:r w:rsidR="00FD701C" w:rsidRPr="00923A56">
        <w:rPr>
          <w:rFonts w:ascii="Tahoma" w:hAnsi="Tahoma" w:cs="Tahoma"/>
          <w:sz w:val="19"/>
          <w:szCs w:val="19"/>
        </w:rPr>
        <w:t>indicadas pel</w:t>
      </w:r>
      <w:r w:rsidR="0064045B" w:rsidRPr="00923A56">
        <w:rPr>
          <w:rFonts w:ascii="Tahoma" w:hAnsi="Tahoma" w:cs="Tahoma"/>
          <w:sz w:val="19"/>
          <w:szCs w:val="19"/>
        </w:rPr>
        <w:t xml:space="preserve">os </w:t>
      </w:r>
      <w:hyperlink r:id="rId34" w:history="1">
        <w:r w:rsidR="0064045B" w:rsidRPr="00923A56">
          <w:rPr>
            <w:rStyle w:val="Hyperlink"/>
            <w:rFonts w:ascii="Tahoma" w:hAnsi="Tahoma" w:cs="Tahoma"/>
            <w:sz w:val="19"/>
            <w:szCs w:val="19"/>
          </w:rPr>
          <w:t>padrões</w:t>
        </w:r>
        <w:r w:rsidR="00571485" w:rsidRPr="00923A56">
          <w:rPr>
            <w:rStyle w:val="Hyperlink"/>
            <w:rFonts w:ascii="Tahoma" w:hAnsi="Tahoma" w:cs="Tahoma"/>
            <w:sz w:val="19"/>
            <w:szCs w:val="19"/>
          </w:rPr>
          <w:t xml:space="preserve"> </w:t>
        </w:r>
        <w:r w:rsidR="00FD701C" w:rsidRPr="00923A56">
          <w:rPr>
            <w:rStyle w:val="Hyperlink"/>
            <w:rFonts w:ascii="Tahoma" w:hAnsi="Tahoma" w:cs="Tahoma"/>
            <w:sz w:val="19"/>
            <w:szCs w:val="19"/>
          </w:rPr>
          <w:t>da</w:t>
        </w:r>
        <w:r w:rsidR="00571485" w:rsidRPr="00923A56">
          <w:rPr>
            <w:rStyle w:val="Hyperlink"/>
            <w:rFonts w:ascii="Tahoma" w:hAnsi="Tahoma" w:cs="Tahoma"/>
            <w:sz w:val="19"/>
            <w:szCs w:val="19"/>
          </w:rPr>
          <w:t xml:space="preserve"> Global Reporting Initiative</w:t>
        </w:r>
      </w:hyperlink>
      <w:r w:rsidR="00571485" w:rsidRPr="00923A56">
        <w:rPr>
          <w:rFonts w:ascii="Tahoma" w:hAnsi="Tahoma" w:cs="Tahoma"/>
          <w:sz w:val="19"/>
          <w:szCs w:val="19"/>
        </w:rPr>
        <w:t xml:space="preserve"> (GRI).</w:t>
      </w:r>
    </w:p>
    <w:p w14:paraId="77EE9DE5" w14:textId="6B6BDECC" w:rsidR="00262545" w:rsidRPr="00923A56" w:rsidRDefault="00487AA9" w:rsidP="00254F4A">
      <w:pPr>
        <w:spacing w:before="120" w:after="120" w:line="360" w:lineRule="auto"/>
        <w:rPr>
          <w:rFonts w:ascii="Tahoma" w:hAnsi="Tahoma" w:cs="Tahoma"/>
          <w:sz w:val="19"/>
          <w:szCs w:val="19"/>
        </w:rPr>
      </w:pPr>
      <w:r>
        <w:rPr>
          <w:rFonts w:ascii="Tahoma" w:hAnsi="Tahoma" w:cs="Tahoma"/>
          <w:sz w:val="19"/>
          <w:szCs w:val="19"/>
        </w:rPr>
        <w:t>Adicionalmente</w:t>
      </w:r>
      <w:r w:rsidR="00DE28C5" w:rsidRPr="00923A56">
        <w:rPr>
          <w:rFonts w:ascii="Tahoma" w:hAnsi="Tahoma" w:cs="Tahoma"/>
          <w:sz w:val="19"/>
          <w:szCs w:val="19"/>
        </w:rPr>
        <w:t xml:space="preserve">, contamos com </w:t>
      </w:r>
      <w:r w:rsidR="00702D2D">
        <w:rPr>
          <w:rFonts w:ascii="Tahoma" w:hAnsi="Tahoma" w:cs="Tahoma"/>
          <w:sz w:val="19"/>
          <w:szCs w:val="19"/>
        </w:rPr>
        <w:t>suporte</w:t>
      </w:r>
      <w:r w:rsidR="004531D2">
        <w:rPr>
          <w:rFonts w:ascii="Tahoma" w:hAnsi="Tahoma" w:cs="Tahoma"/>
          <w:sz w:val="19"/>
          <w:szCs w:val="19"/>
        </w:rPr>
        <w:t xml:space="preserve"> de </w:t>
      </w:r>
      <w:r w:rsidR="00DE28C5" w:rsidRPr="00923A56">
        <w:rPr>
          <w:rFonts w:ascii="Tahoma" w:hAnsi="Tahoma" w:cs="Tahoma"/>
          <w:sz w:val="19"/>
          <w:szCs w:val="19"/>
        </w:rPr>
        <w:t>consultorias nos processos de elaboração da estratégia e de avaliação de resultados e impactos</w:t>
      </w:r>
      <w:r w:rsidR="004531D2">
        <w:rPr>
          <w:rFonts w:ascii="Tahoma" w:hAnsi="Tahoma" w:cs="Tahoma"/>
          <w:sz w:val="19"/>
          <w:szCs w:val="19"/>
        </w:rPr>
        <w:t>, que resultaram num</w:t>
      </w:r>
      <w:r w:rsidR="00FD701C" w:rsidRPr="00923A56">
        <w:rPr>
          <w:rFonts w:ascii="Tahoma" w:hAnsi="Tahoma" w:cs="Tahoma"/>
          <w:sz w:val="19"/>
          <w:szCs w:val="19"/>
        </w:rPr>
        <w:t xml:space="preserve"> conjunto de nove </w:t>
      </w:r>
      <w:r w:rsidR="00262545" w:rsidRPr="00923A56">
        <w:rPr>
          <w:rFonts w:ascii="Tahoma" w:hAnsi="Tahoma" w:cs="Tahoma"/>
          <w:sz w:val="19"/>
          <w:szCs w:val="19"/>
        </w:rPr>
        <w:t>recomendações</w:t>
      </w:r>
      <w:r w:rsidR="00FD701C" w:rsidRPr="00923A56">
        <w:rPr>
          <w:rFonts w:ascii="Tahoma" w:hAnsi="Tahoma" w:cs="Tahoma"/>
          <w:sz w:val="19"/>
          <w:szCs w:val="19"/>
        </w:rPr>
        <w:t>.</w:t>
      </w:r>
    </w:p>
    <w:p w14:paraId="04542E3B" w14:textId="77777777" w:rsidR="00262545" w:rsidRPr="00C62F80" w:rsidRDefault="00262545" w:rsidP="00DE28C5">
      <w:pPr>
        <w:spacing w:before="120" w:after="120" w:line="360" w:lineRule="auto"/>
        <w:jc w:val="center"/>
        <w:rPr>
          <w:rFonts w:ascii="Tahoma" w:hAnsi="Tahoma" w:cs="Tahoma"/>
          <w:sz w:val="19"/>
          <w:szCs w:val="19"/>
        </w:rPr>
      </w:pPr>
      <w:r w:rsidRPr="00C62F80">
        <w:rPr>
          <w:rFonts w:ascii="Tahoma" w:hAnsi="Tahoma" w:cs="Tahoma"/>
          <w:noProof/>
          <w:sz w:val="19"/>
          <w:szCs w:val="19"/>
        </w:rPr>
        <w:drawing>
          <wp:inline distT="0" distB="0" distL="0" distR="0" wp14:anchorId="020BA224" wp14:editId="4E71DFAF">
            <wp:extent cx="4921250" cy="1988276"/>
            <wp:effectExtent l="0" t="0" r="0" b="0"/>
            <wp:docPr id="11604665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3085" b="5092"/>
                    <a:stretch/>
                  </pic:blipFill>
                  <pic:spPr bwMode="auto">
                    <a:xfrm>
                      <a:off x="0" y="0"/>
                      <a:ext cx="4931144" cy="1992273"/>
                    </a:xfrm>
                    <a:prstGeom prst="rect">
                      <a:avLst/>
                    </a:prstGeom>
                    <a:noFill/>
                    <a:ln>
                      <a:noFill/>
                    </a:ln>
                    <a:extLst>
                      <a:ext uri="{53640926-AAD7-44D8-BBD7-CCE9431645EC}">
                        <a14:shadowObscured xmlns:a14="http://schemas.microsoft.com/office/drawing/2010/main"/>
                      </a:ext>
                    </a:extLst>
                  </pic:spPr>
                </pic:pic>
              </a:graphicData>
            </a:graphic>
          </wp:inline>
        </w:drawing>
      </w:r>
    </w:p>
    <w:p w14:paraId="5D696BE0" w14:textId="195E0E96" w:rsidR="001D7EEA" w:rsidRPr="00923A56" w:rsidRDefault="00262545" w:rsidP="00254F4A">
      <w:pPr>
        <w:spacing w:before="120" w:after="120" w:line="360" w:lineRule="auto"/>
        <w:rPr>
          <w:rFonts w:ascii="Tahoma" w:hAnsi="Tahoma" w:cs="Tahoma"/>
          <w:sz w:val="19"/>
          <w:szCs w:val="19"/>
        </w:rPr>
      </w:pPr>
      <w:r w:rsidRPr="00923A56">
        <w:rPr>
          <w:rFonts w:ascii="Tahoma" w:hAnsi="Tahoma" w:cs="Tahoma"/>
          <w:sz w:val="19"/>
          <w:szCs w:val="19"/>
        </w:rPr>
        <w:t xml:space="preserve">No caso da atividade de relatoria, dado o baixo grau de maturidade em relação ao relato pela metodologia </w:t>
      </w:r>
      <w:r w:rsidR="0064045B" w:rsidRPr="00923A56">
        <w:rPr>
          <w:rFonts w:ascii="Tahoma" w:hAnsi="Tahoma" w:cs="Tahoma"/>
          <w:sz w:val="19"/>
          <w:szCs w:val="19"/>
        </w:rPr>
        <w:t>dos padrões</w:t>
      </w:r>
      <w:r w:rsidRPr="00923A56">
        <w:rPr>
          <w:rFonts w:ascii="Tahoma" w:hAnsi="Tahoma" w:cs="Tahoma"/>
          <w:sz w:val="19"/>
          <w:szCs w:val="19"/>
        </w:rPr>
        <w:t xml:space="preserve"> GRI, </w:t>
      </w:r>
      <w:r w:rsidR="001D7EEA" w:rsidRPr="00923A56">
        <w:rPr>
          <w:rFonts w:ascii="Tahoma" w:hAnsi="Tahoma" w:cs="Tahoma"/>
          <w:sz w:val="19"/>
          <w:szCs w:val="19"/>
        </w:rPr>
        <w:t xml:space="preserve">foi recomendado </w:t>
      </w:r>
      <w:r w:rsidR="0064045B" w:rsidRPr="00923A56">
        <w:rPr>
          <w:rFonts w:ascii="Tahoma" w:hAnsi="Tahoma" w:cs="Tahoma"/>
          <w:sz w:val="19"/>
          <w:szCs w:val="19"/>
        </w:rPr>
        <w:t xml:space="preserve">que </w:t>
      </w:r>
      <w:r w:rsidR="00FD701C" w:rsidRPr="00923A56">
        <w:rPr>
          <w:rFonts w:ascii="Tahoma" w:hAnsi="Tahoma" w:cs="Tahoma"/>
          <w:sz w:val="19"/>
          <w:szCs w:val="19"/>
        </w:rPr>
        <w:t>adotássemos</w:t>
      </w:r>
      <w:r w:rsidR="001D7EEA" w:rsidRPr="00923A56">
        <w:rPr>
          <w:rFonts w:ascii="Tahoma" w:hAnsi="Tahoma" w:cs="Tahoma"/>
          <w:sz w:val="19"/>
          <w:szCs w:val="19"/>
        </w:rPr>
        <w:t xml:space="preserve"> gradualmente a opção de relatar com base nas normas </w:t>
      </w:r>
      <w:r w:rsidR="001D7EEA" w:rsidRPr="00923A56">
        <w:rPr>
          <w:rFonts w:ascii="Tahoma" w:hAnsi="Tahoma" w:cs="Tahoma"/>
          <w:sz w:val="19"/>
          <w:szCs w:val="19"/>
        </w:rPr>
        <w:lastRenderedPageBreak/>
        <w:t>GRI, sem aderir inicialmente</w:t>
      </w:r>
      <w:r w:rsidR="001631BA">
        <w:rPr>
          <w:rFonts w:ascii="Tahoma" w:hAnsi="Tahoma" w:cs="Tahoma"/>
          <w:sz w:val="19"/>
          <w:szCs w:val="19"/>
        </w:rPr>
        <w:t>, porém,</w:t>
      </w:r>
      <w:r w:rsidR="001D7EEA" w:rsidRPr="00923A56">
        <w:rPr>
          <w:rFonts w:ascii="Tahoma" w:hAnsi="Tahoma" w:cs="Tahoma"/>
          <w:sz w:val="19"/>
          <w:szCs w:val="19"/>
        </w:rPr>
        <w:t xml:space="preserve"> à conformidade plena com esse sistema de </w:t>
      </w:r>
      <w:r w:rsidR="0064045B" w:rsidRPr="00923A56">
        <w:rPr>
          <w:rFonts w:ascii="Tahoma" w:hAnsi="Tahoma" w:cs="Tahoma"/>
          <w:sz w:val="19"/>
          <w:szCs w:val="19"/>
        </w:rPr>
        <w:t>padrõe</w:t>
      </w:r>
      <w:r w:rsidR="001D7EEA" w:rsidRPr="00923A56">
        <w:rPr>
          <w:rFonts w:ascii="Tahoma" w:hAnsi="Tahoma" w:cs="Tahoma"/>
          <w:sz w:val="19"/>
          <w:szCs w:val="19"/>
        </w:rPr>
        <w:t>s</w:t>
      </w:r>
      <w:r w:rsidR="00A507B9">
        <w:rPr>
          <w:rFonts w:ascii="Tahoma" w:hAnsi="Tahoma" w:cs="Tahoma"/>
          <w:sz w:val="19"/>
          <w:szCs w:val="19"/>
        </w:rPr>
        <w:t>, sob o entendimento de que a</w:t>
      </w:r>
      <w:r w:rsidR="008E25BC" w:rsidRPr="00923A56">
        <w:rPr>
          <w:rFonts w:ascii="Tahoma" w:hAnsi="Tahoma" w:cs="Tahoma"/>
          <w:sz w:val="19"/>
          <w:szCs w:val="19"/>
        </w:rPr>
        <w:t xml:space="preserve"> visão de futuro para que o r</w:t>
      </w:r>
      <w:r w:rsidR="00820104" w:rsidRPr="00923A56">
        <w:rPr>
          <w:rFonts w:ascii="Tahoma" w:hAnsi="Tahoma" w:cs="Tahoma"/>
          <w:sz w:val="19"/>
          <w:szCs w:val="19"/>
        </w:rPr>
        <w:t xml:space="preserve">elato </w:t>
      </w:r>
      <w:r w:rsidR="008E25BC" w:rsidRPr="00923A56">
        <w:rPr>
          <w:rFonts w:ascii="Tahoma" w:hAnsi="Tahoma" w:cs="Tahoma"/>
          <w:sz w:val="19"/>
          <w:szCs w:val="19"/>
        </w:rPr>
        <w:t>possa</w:t>
      </w:r>
      <w:r w:rsidR="00820104" w:rsidRPr="00923A56">
        <w:rPr>
          <w:rFonts w:ascii="Tahoma" w:hAnsi="Tahoma" w:cs="Tahoma"/>
          <w:sz w:val="19"/>
          <w:szCs w:val="19"/>
        </w:rPr>
        <w:t xml:space="preserve"> atender de forma mais </w:t>
      </w:r>
      <w:r w:rsidR="0064045B" w:rsidRPr="00923A56">
        <w:rPr>
          <w:rFonts w:ascii="Tahoma" w:hAnsi="Tahoma" w:cs="Tahoma"/>
          <w:sz w:val="19"/>
          <w:szCs w:val="19"/>
        </w:rPr>
        <w:t>adequada</w:t>
      </w:r>
      <w:r w:rsidR="00820104" w:rsidRPr="00923A56">
        <w:rPr>
          <w:rFonts w:ascii="Tahoma" w:hAnsi="Tahoma" w:cs="Tahoma"/>
          <w:sz w:val="19"/>
          <w:szCs w:val="19"/>
        </w:rPr>
        <w:t xml:space="preserve"> à metodologia </w:t>
      </w:r>
      <w:r w:rsidR="0064045B" w:rsidRPr="00923A56">
        <w:rPr>
          <w:rFonts w:ascii="Tahoma" w:hAnsi="Tahoma" w:cs="Tahoma"/>
          <w:sz w:val="19"/>
          <w:szCs w:val="19"/>
        </w:rPr>
        <w:t xml:space="preserve">GRI </w:t>
      </w:r>
      <w:r w:rsidR="00820104" w:rsidRPr="00923A56">
        <w:rPr>
          <w:rFonts w:ascii="Tahoma" w:hAnsi="Tahoma" w:cs="Tahoma"/>
          <w:sz w:val="19"/>
          <w:szCs w:val="19"/>
        </w:rPr>
        <w:t>está associad</w:t>
      </w:r>
      <w:r w:rsidR="00923A56">
        <w:rPr>
          <w:rFonts w:ascii="Tahoma" w:hAnsi="Tahoma" w:cs="Tahoma"/>
          <w:sz w:val="19"/>
          <w:szCs w:val="19"/>
        </w:rPr>
        <w:t>a</w:t>
      </w:r>
      <w:r w:rsidR="00820104" w:rsidRPr="00923A56">
        <w:rPr>
          <w:rFonts w:ascii="Tahoma" w:hAnsi="Tahoma" w:cs="Tahoma"/>
          <w:sz w:val="19"/>
          <w:szCs w:val="19"/>
        </w:rPr>
        <w:t xml:space="preserve"> ao avanço da implementação </w:t>
      </w:r>
      <w:r w:rsidR="00D609D9">
        <w:rPr>
          <w:rFonts w:ascii="Tahoma" w:hAnsi="Tahoma" w:cs="Tahoma"/>
          <w:sz w:val="19"/>
          <w:szCs w:val="19"/>
        </w:rPr>
        <w:t xml:space="preserve">e da gestão </w:t>
      </w:r>
      <w:r w:rsidR="00820104" w:rsidRPr="00923A56">
        <w:rPr>
          <w:rFonts w:ascii="Tahoma" w:hAnsi="Tahoma" w:cs="Tahoma"/>
          <w:sz w:val="19"/>
          <w:szCs w:val="19"/>
        </w:rPr>
        <w:t>de ações institucionais relativas à promoção da sustentabilidade</w:t>
      </w:r>
      <w:r w:rsidR="00DE7C3A" w:rsidRPr="00923A56">
        <w:rPr>
          <w:rFonts w:ascii="Tahoma" w:hAnsi="Tahoma" w:cs="Tahoma"/>
          <w:sz w:val="19"/>
          <w:szCs w:val="19"/>
        </w:rPr>
        <w:t>.</w:t>
      </w:r>
    </w:p>
    <w:p w14:paraId="63E4E01E" w14:textId="374268E6" w:rsidR="001D7EEA" w:rsidRPr="00C62F80" w:rsidRDefault="00820104" w:rsidP="0064045B">
      <w:pPr>
        <w:spacing w:before="120" w:line="360" w:lineRule="auto"/>
        <w:jc w:val="center"/>
        <w:rPr>
          <w:rFonts w:ascii="Tahoma" w:hAnsi="Tahoma" w:cs="Tahoma"/>
          <w:sz w:val="19"/>
          <w:szCs w:val="19"/>
        </w:rPr>
      </w:pPr>
      <w:r w:rsidRPr="00C62F80">
        <w:rPr>
          <w:rFonts w:ascii="Tahoma" w:eastAsia="Calibri" w:hAnsi="Tahoma" w:cs="Tahoma"/>
          <w:noProof/>
          <w:sz w:val="19"/>
          <w:szCs w:val="19"/>
        </w:rPr>
        <w:drawing>
          <wp:inline distT="0" distB="0" distL="0" distR="0" wp14:anchorId="09BF00D2" wp14:editId="2BDED9B9">
            <wp:extent cx="5344160" cy="2501671"/>
            <wp:effectExtent l="0" t="0" r="0" b="0"/>
            <wp:docPr id="732785465" name="Imagem 1" descr="Gráfico, Gráfico de rad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21931" name="Imagem 1" descr="Gráfico, Gráfico de radar&#10;&#10;Descrição gerada automaticamente"/>
                    <pic:cNvPicPr/>
                  </pic:nvPicPr>
                  <pic:blipFill>
                    <a:blip r:embed="rId36"/>
                    <a:stretch>
                      <a:fillRect/>
                    </a:stretch>
                  </pic:blipFill>
                  <pic:spPr>
                    <a:xfrm>
                      <a:off x="0" y="0"/>
                      <a:ext cx="5349779" cy="2504301"/>
                    </a:xfrm>
                    <a:prstGeom prst="rect">
                      <a:avLst/>
                    </a:prstGeom>
                  </pic:spPr>
                </pic:pic>
              </a:graphicData>
            </a:graphic>
          </wp:inline>
        </w:drawing>
      </w:r>
    </w:p>
    <w:p w14:paraId="52C0D4CA" w14:textId="3F1B087D" w:rsidR="001D7EEA" w:rsidRPr="00923A56" w:rsidRDefault="008E25BC" w:rsidP="0064045B">
      <w:pPr>
        <w:spacing w:after="120" w:line="360" w:lineRule="auto"/>
        <w:ind w:left="708"/>
        <w:rPr>
          <w:rFonts w:ascii="Tahoma" w:hAnsi="Tahoma" w:cs="Tahoma"/>
          <w:sz w:val="18"/>
          <w:szCs w:val="18"/>
        </w:rPr>
      </w:pPr>
      <w:r w:rsidRPr="00923A56">
        <w:rPr>
          <w:rFonts w:ascii="Tahoma" w:hAnsi="Tahoma" w:cs="Tahoma"/>
          <w:sz w:val="18"/>
          <w:szCs w:val="18"/>
        </w:rPr>
        <w:t xml:space="preserve">Adaptado de </w:t>
      </w:r>
      <w:hyperlink r:id="rId37" w:history="1">
        <w:r w:rsidRPr="00923A56">
          <w:rPr>
            <w:rStyle w:val="Hyperlink"/>
            <w:rFonts w:ascii="Tahoma" w:hAnsi="Tahoma" w:cs="Tahoma"/>
            <w:sz w:val="18"/>
            <w:szCs w:val="18"/>
          </w:rPr>
          <w:t>Impact Management Platform, 2021</w:t>
        </w:r>
      </w:hyperlink>
      <w:r w:rsidRPr="00923A56">
        <w:rPr>
          <w:rFonts w:ascii="Tahoma" w:hAnsi="Tahoma" w:cs="Tahoma"/>
          <w:sz w:val="18"/>
          <w:szCs w:val="18"/>
        </w:rPr>
        <w:t>.</w:t>
      </w:r>
    </w:p>
    <w:p w14:paraId="7D22A84A" w14:textId="622D9128" w:rsidR="00B56055" w:rsidRPr="00C62F80" w:rsidRDefault="007D15C3" w:rsidP="00254F4A">
      <w:pPr>
        <w:spacing w:before="120" w:after="120" w:line="360" w:lineRule="auto"/>
        <w:rPr>
          <w:rFonts w:ascii="Tahoma" w:hAnsi="Tahoma" w:cs="Tahoma"/>
          <w:sz w:val="19"/>
          <w:szCs w:val="19"/>
        </w:rPr>
      </w:pPr>
      <w:r w:rsidRPr="00C62F80">
        <w:rPr>
          <w:rFonts w:ascii="Tahoma" w:hAnsi="Tahoma" w:cs="Tahoma"/>
          <w:sz w:val="19"/>
          <w:szCs w:val="19"/>
        </w:rPr>
        <w:t xml:space="preserve">Aproveitando </w:t>
      </w:r>
      <w:r w:rsidR="00C62F80" w:rsidRPr="00C62F80">
        <w:rPr>
          <w:rFonts w:ascii="Tahoma" w:hAnsi="Tahoma" w:cs="Tahoma"/>
          <w:sz w:val="19"/>
          <w:szCs w:val="19"/>
        </w:rPr>
        <w:t>as</w:t>
      </w:r>
      <w:r w:rsidRPr="00C62F80">
        <w:rPr>
          <w:rFonts w:ascii="Tahoma" w:hAnsi="Tahoma" w:cs="Tahoma"/>
          <w:sz w:val="19"/>
          <w:szCs w:val="19"/>
        </w:rPr>
        <w:t xml:space="preserve"> recomendações e análises trazid</w:t>
      </w:r>
      <w:r w:rsidR="00C62F80" w:rsidRPr="00C62F80">
        <w:rPr>
          <w:rFonts w:ascii="Tahoma" w:hAnsi="Tahoma" w:cs="Tahoma"/>
          <w:sz w:val="19"/>
          <w:szCs w:val="19"/>
        </w:rPr>
        <w:t>a</w:t>
      </w:r>
      <w:r w:rsidRPr="00C62F80">
        <w:rPr>
          <w:rFonts w:ascii="Tahoma" w:hAnsi="Tahoma" w:cs="Tahoma"/>
          <w:sz w:val="19"/>
          <w:szCs w:val="19"/>
        </w:rPr>
        <w:t xml:space="preserve">s pela consultoria mencionada, </w:t>
      </w:r>
      <w:r w:rsidR="0062460E">
        <w:rPr>
          <w:rFonts w:ascii="Tahoma" w:hAnsi="Tahoma" w:cs="Tahoma"/>
          <w:sz w:val="19"/>
          <w:szCs w:val="19"/>
        </w:rPr>
        <w:t xml:space="preserve">como exercício preliminar </w:t>
      </w:r>
      <w:r w:rsidRPr="00C62F80">
        <w:rPr>
          <w:rFonts w:ascii="Tahoma" w:hAnsi="Tahoma" w:cs="Tahoma"/>
          <w:sz w:val="19"/>
          <w:szCs w:val="19"/>
        </w:rPr>
        <w:t>trouxemos</w:t>
      </w:r>
      <w:r w:rsidR="00820104" w:rsidRPr="00C62F80">
        <w:rPr>
          <w:rFonts w:ascii="Tahoma" w:hAnsi="Tahoma" w:cs="Tahoma"/>
          <w:sz w:val="19"/>
          <w:szCs w:val="19"/>
        </w:rPr>
        <w:t xml:space="preserve"> </w:t>
      </w:r>
      <w:r w:rsidR="00C1588C" w:rsidRPr="00C62F80">
        <w:rPr>
          <w:rFonts w:ascii="Tahoma" w:hAnsi="Tahoma" w:cs="Tahoma"/>
          <w:sz w:val="19"/>
          <w:szCs w:val="19"/>
        </w:rPr>
        <w:t xml:space="preserve">para a edição de 2023 alguns elementos </w:t>
      </w:r>
      <w:r w:rsidRPr="00C62F80">
        <w:rPr>
          <w:rFonts w:ascii="Tahoma" w:hAnsi="Tahoma" w:cs="Tahoma"/>
          <w:sz w:val="19"/>
          <w:szCs w:val="19"/>
        </w:rPr>
        <w:t>de conteúdo propostos pel</w:t>
      </w:r>
      <w:r w:rsidR="0064045B" w:rsidRPr="00C62F80">
        <w:rPr>
          <w:rFonts w:ascii="Tahoma" w:hAnsi="Tahoma" w:cs="Tahoma"/>
          <w:sz w:val="19"/>
          <w:szCs w:val="19"/>
        </w:rPr>
        <w:t xml:space="preserve">os padrões </w:t>
      </w:r>
      <w:r w:rsidR="00C1588C" w:rsidRPr="00C62F80">
        <w:rPr>
          <w:rFonts w:ascii="Tahoma" w:hAnsi="Tahoma" w:cs="Tahoma"/>
          <w:sz w:val="19"/>
          <w:szCs w:val="19"/>
        </w:rPr>
        <w:t>GR</w:t>
      </w:r>
      <w:r w:rsidRPr="00C62F80">
        <w:rPr>
          <w:rFonts w:ascii="Tahoma" w:hAnsi="Tahoma" w:cs="Tahoma"/>
          <w:sz w:val="19"/>
          <w:szCs w:val="19"/>
        </w:rPr>
        <w:t>I</w:t>
      </w:r>
      <w:r w:rsidR="00DE7C3A" w:rsidRPr="00C62F80">
        <w:rPr>
          <w:rFonts w:ascii="Tahoma" w:hAnsi="Tahoma" w:cs="Tahoma"/>
          <w:sz w:val="19"/>
          <w:szCs w:val="19"/>
        </w:rPr>
        <w:t xml:space="preserve">, indicando </w:t>
      </w:r>
      <w:r w:rsidR="00185451" w:rsidRPr="00C62F80">
        <w:rPr>
          <w:rFonts w:ascii="Tahoma" w:hAnsi="Tahoma" w:cs="Tahoma"/>
          <w:sz w:val="19"/>
          <w:szCs w:val="19"/>
        </w:rPr>
        <w:t xml:space="preserve">no início de </w:t>
      </w:r>
      <w:r w:rsidR="0062460E">
        <w:rPr>
          <w:rFonts w:ascii="Tahoma" w:hAnsi="Tahoma" w:cs="Tahoma"/>
          <w:sz w:val="19"/>
          <w:szCs w:val="19"/>
        </w:rPr>
        <w:t>algumas seções</w:t>
      </w:r>
      <w:r w:rsidR="00185451" w:rsidRPr="00C62F80">
        <w:rPr>
          <w:rFonts w:ascii="Tahoma" w:hAnsi="Tahoma" w:cs="Tahoma"/>
          <w:sz w:val="19"/>
          <w:szCs w:val="19"/>
        </w:rPr>
        <w:t xml:space="preserve"> </w:t>
      </w:r>
      <w:r w:rsidR="0062460E">
        <w:rPr>
          <w:rFonts w:ascii="Tahoma" w:hAnsi="Tahoma" w:cs="Tahoma"/>
          <w:sz w:val="19"/>
          <w:szCs w:val="19"/>
        </w:rPr>
        <w:t xml:space="preserve">o conteúdo a que atendem em relação à </w:t>
      </w:r>
      <w:hyperlink r:id="rId38" w:history="1">
        <w:r w:rsidR="0062460E" w:rsidRPr="0062460E">
          <w:rPr>
            <w:rStyle w:val="Hyperlink"/>
            <w:rFonts w:ascii="Tahoma" w:hAnsi="Tahoma" w:cs="Tahoma"/>
            <w:sz w:val="19"/>
            <w:szCs w:val="19"/>
          </w:rPr>
          <w:t>Norma GRI 2: Conteúdos Gerais 2021</w:t>
        </w:r>
      </w:hyperlink>
      <w:r w:rsidR="00DE7C3A" w:rsidRPr="00C62F80">
        <w:rPr>
          <w:rFonts w:ascii="Tahoma" w:hAnsi="Tahoma" w:cs="Tahoma"/>
          <w:sz w:val="19"/>
          <w:szCs w:val="19"/>
        </w:rPr>
        <w:t xml:space="preserve">, e a elaboração de um sumário GRI </w:t>
      </w:r>
      <w:r w:rsidR="0062460E">
        <w:rPr>
          <w:rFonts w:ascii="Tahoma" w:hAnsi="Tahoma" w:cs="Tahoma"/>
          <w:sz w:val="19"/>
          <w:szCs w:val="19"/>
        </w:rPr>
        <w:t xml:space="preserve">apresentado </w:t>
      </w:r>
      <w:r w:rsidR="00DE7C3A" w:rsidRPr="00C62F80">
        <w:rPr>
          <w:rFonts w:ascii="Tahoma" w:hAnsi="Tahoma" w:cs="Tahoma"/>
          <w:sz w:val="19"/>
          <w:szCs w:val="19"/>
        </w:rPr>
        <w:t xml:space="preserve">ao final do </w:t>
      </w:r>
      <w:r w:rsidR="0062460E">
        <w:rPr>
          <w:rFonts w:ascii="Tahoma" w:hAnsi="Tahoma" w:cs="Tahoma"/>
          <w:sz w:val="19"/>
          <w:szCs w:val="19"/>
        </w:rPr>
        <w:t>relatório</w:t>
      </w:r>
      <w:r w:rsidR="00DE7C3A" w:rsidRPr="00C62F80">
        <w:rPr>
          <w:rFonts w:ascii="Tahoma" w:hAnsi="Tahoma" w:cs="Tahoma"/>
          <w:sz w:val="19"/>
          <w:szCs w:val="19"/>
        </w:rPr>
        <w:t>.</w:t>
      </w:r>
    </w:p>
    <w:p w14:paraId="08599B75" w14:textId="489EF5EA" w:rsidR="006C59A5" w:rsidRPr="00C62F80" w:rsidRDefault="007D15C3" w:rsidP="00254F4A">
      <w:pPr>
        <w:spacing w:before="120" w:after="120" w:line="360" w:lineRule="auto"/>
        <w:rPr>
          <w:rFonts w:ascii="Tahoma" w:hAnsi="Tahoma" w:cs="Tahoma"/>
          <w:sz w:val="19"/>
          <w:szCs w:val="19"/>
        </w:rPr>
      </w:pPr>
      <w:r w:rsidRPr="00C62F80">
        <w:rPr>
          <w:rFonts w:ascii="Tahoma" w:hAnsi="Tahoma" w:cs="Tahoma"/>
          <w:sz w:val="19"/>
          <w:szCs w:val="19"/>
        </w:rPr>
        <w:t>Ao mesmo tempo, buscamos aperfeiçoar também nosso atendimento ao modelo do relato integrado</w:t>
      </w:r>
      <w:r w:rsidR="00B56055" w:rsidRPr="00C62F80">
        <w:rPr>
          <w:rFonts w:ascii="Tahoma" w:hAnsi="Tahoma" w:cs="Tahoma"/>
          <w:sz w:val="19"/>
          <w:szCs w:val="19"/>
        </w:rPr>
        <w:t xml:space="preserve">, especialmente na busca pela integração entre as informações financeiras e não financeiras. Isso só foi possível devido à parceria estabelecida com a equipe responsável pela elaboração de outro documento institucional, o </w:t>
      </w:r>
      <w:hyperlink r:id="rId39" w:history="1">
        <w:r w:rsidR="00B56055" w:rsidRPr="00C62F80">
          <w:rPr>
            <w:rStyle w:val="Hyperlink"/>
            <w:rFonts w:ascii="Tahoma" w:hAnsi="Tahoma" w:cs="Tahoma"/>
            <w:sz w:val="19"/>
            <w:szCs w:val="19"/>
          </w:rPr>
          <w:t>Relatório da Administração</w:t>
        </w:r>
      </w:hyperlink>
      <w:r w:rsidR="00B56055" w:rsidRPr="00C62F80">
        <w:rPr>
          <w:rFonts w:ascii="Tahoma" w:hAnsi="Tahoma" w:cs="Tahoma"/>
          <w:sz w:val="19"/>
          <w:szCs w:val="19"/>
        </w:rPr>
        <w:t>, publicado anualmente em conjunto com as Demonstrações Contábeis da empresa.</w:t>
      </w:r>
    </w:p>
    <w:p w14:paraId="23A8AD15" w14:textId="0AC541E9" w:rsidR="00870AAD" w:rsidRPr="00C62F80" w:rsidRDefault="00870AAD" w:rsidP="00254F4A">
      <w:pPr>
        <w:spacing w:before="120" w:after="120" w:line="360" w:lineRule="auto"/>
        <w:rPr>
          <w:rFonts w:ascii="Tahoma" w:hAnsi="Tahoma" w:cs="Tahoma"/>
          <w:sz w:val="19"/>
          <w:szCs w:val="19"/>
        </w:rPr>
      </w:pPr>
      <w:r w:rsidRPr="00C62F80">
        <w:rPr>
          <w:rFonts w:ascii="Tahoma" w:hAnsi="Tahoma" w:cs="Tahoma"/>
          <w:sz w:val="19"/>
          <w:szCs w:val="19"/>
        </w:rPr>
        <w:t xml:space="preserve">Além dos </w:t>
      </w:r>
      <w:r w:rsidRPr="001307B5">
        <w:rPr>
          <w:rFonts w:ascii="Tahoma" w:hAnsi="Tahoma" w:cs="Tahoma"/>
          <w:sz w:val="19"/>
          <w:szCs w:val="19"/>
        </w:rPr>
        <w:t xml:space="preserve">dois itens iniciais de apresentação, </w:t>
      </w:r>
      <w:r w:rsidR="0064045B" w:rsidRPr="001307B5">
        <w:rPr>
          <w:rFonts w:ascii="Tahoma" w:hAnsi="Tahoma" w:cs="Tahoma"/>
          <w:sz w:val="19"/>
          <w:szCs w:val="19"/>
        </w:rPr>
        <w:t>esta edição do</w:t>
      </w:r>
      <w:r w:rsidRPr="001307B5">
        <w:rPr>
          <w:rFonts w:ascii="Tahoma" w:hAnsi="Tahoma" w:cs="Tahoma"/>
          <w:sz w:val="19"/>
          <w:szCs w:val="19"/>
        </w:rPr>
        <w:t xml:space="preserve"> </w:t>
      </w:r>
      <w:r w:rsidR="001777BE" w:rsidRPr="001307B5">
        <w:rPr>
          <w:rFonts w:ascii="Tahoma" w:hAnsi="Tahoma" w:cs="Tahoma"/>
          <w:sz w:val="19"/>
          <w:szCs w:val="19"/>
        </w:rPr>
        <w:t>r</w:t>
      </w:r>
      <w:r w:rsidRPr="001307B5">
        <w:rPr>
          <w:rFonts w:ascii="Tahoma" w:hAnsi="Tahoma" w:cs="Tahoma"/>
          <w:sz w:val="19"/>
          <w:szCs w:val="19"/>
        </w:rPr>
        <w:t>elatório foi estruturad</w:t>
      </w:r>
      <w:r w:rsidR="0064045B" w:rsidRPr="001307B5">
        <w:rPr>
          <w:rFonts w:ascii="Tahoma" w:hAnsi="Tahoma" w:cs="Tahoma"/>
          <w:sz w:val="19"/>
          <w:szCs w:val="19"/>
        </w:rPr>
        <w:t>a</w:t>
      </w:r>
      <w:r w:rsidRPr="001307B5">
        <w:rPr>
          <w:rFonts w:ascii="Tahoma" w:hAnsi="Tahoma" w:cs="Tahoma"/>
          <w:sz w:val="19"/>
          <w:szCs w:val="19"/>
        </w:rPr>
        <w:t xml:space="preserve"> </w:t>
      </w:r>
      <w:r w:rsidRPr="00254F4A">
        <w:rPr>
          <w:rFonts w:ascii="Tahoma" w:hAnsi="Tahoma"/>
          <w:sz w:val="19"/>
        </w:rPr>
        <w:t xml:space="preserve">em </w:t>
      </w:r>
      <w:r w:rsidR="00185451" w:rsidRPr="00254F4A">
        <w:rPr>
          <w:rFonts w:ascii="Tahoma" w:hAnsi="Tahoma"/>
          <w:sz w:val="19"/>
        </w:rPr>
        <w:t>cinco</w:t>
      </w:r>
      <w:r w:rsidRPr="00254F4A">
        <w:rPr>
          <w:rFonts w:ascii="Tahoma" w:hAnsi="Tahoma"/>
          <w:sz w:val="19"/>
        </w:rPr>
        <w:t xml:space="preserve"> grandes tópicos: </w:t>
      </w:r>
      <w:r w:rsidR="004C0EA3" w:rsidRPr="00254F4A">
        <w:rPr>
          <w:rFonts w:ascii="Tahoma" w:hAnsi="Tahoma"/>
          <w:sz w:val="19"/>
        </w:rPr>
        <w:t>como atuamos e geramos valor para a sociedade; nosso desempe</w:t>
      </w:r>
      <w:r w:rsidR="00185451" w:rsidRPr="00254F4A">
        <w:rPr>
          <w:rFonts w:ascii="Tahoma" w:hAnsi="Tahoma"/>
          <w:sz w:val="19"/>
        </w:rPr>
        <w:t>nh</w:t>
      </w:r>
      <w:r w:rsidR="004C0EA3" w:rsidRPr="00254F4A">
        <w:rPr>
          <w:rFonts w:ascii="Tahoma" w:hAnsi="Tahoma"/>
          <w:sz w:val="19"/>
        </w:rPr>
        <w:t xml:space="preserve">o </w:t>
      </w:r>
      <w:r w:rsidR="00185451" w:rsidRPr="00254F4A">
        <w:rPr>
          <w:rFonts w:ascii="Tahoma" w:hAnsi="Tahoma"/>
          <w:sz w:val="19"/>
        </w:rPr>
        <w:t xml:space="preserve">– </w:t>
      </w:r>
      <w:r w:rsidR="004C0EA3" w:rsidRPr="00254F4A">
        <w:rPr>
          <w:rFonts w:ascii="Tahoma" w:hAnsi="Tahoma"/>
          <w:sz w:val="19"/>
        </w:rPr>
        <w:t xml:space="preserve">(estratégia e operação); </w:t>
      </w:r>
      <w:r w:rsidR="00185451" w:rsidRPr="00254F4A">
        <w:rPr>
          <w:rFonts w:ascii="Tahoma" w:hAnsi="Tahoma"/>
          <w:sz w:val="19"/>
        </w:rPr>
        <w:t xml:space="preserve">como nos organizamos, nossos capitais e </w:t>
      </w:r>
      <w:r w:rsidR="004C0EA3" w:rsidRPr="00254F4A">
        <w:rPr>
          <w:rFonts w:ascii="Tahoma" w:hAnsi="Tahoma"/>
          <w:sz w:val="19"/>
        </w:rPr>
        <w:t>nossa gestão.</w:t>
      </w:r>
      <w:r w:rsidR="00A052B3">
        <w:rPr>
          <w:rFonts w:ascii="Tahoma" w:hAnsi="Tahoma"/>
          <w:sz w:val="19"/>
        </w:rPr>
        <w:t xml:space="preserve"> Seu conteúdo não traz reformulações de informações publicadas em relatórios anteriores.</w:t>
      </w:r>
    </w:p>
    <w:p w14:paraId="443A875B" w14:textId="42E11A4E" w:rsidR="00DE7C3A" w:rsidRPr="00C62F80" w:rsidRDefault="006D4907" w:rsidP="00254F4A">
      <w:pPr>
        <w:spacing w:before="120" w:after="120" w:line="360" w:lineRule="auto"/>
        <w:rPr>
          <w:rFonts w:ascii="Tahoma" w:hAnsi="Tahoma" w:cs="Tahoma"/>
          <w:sz w:val="19"/>
          <w:szCs w:val="19"/>
        </w:rPr>
      </w:pPr>
      <w:r w:rsidRPr="00C62F80">
        <w:rPr>
          <w:rFonts w:ascii="Tahoma" w:hAnsi="Tahoma" w:cs="Tahoma"/>
          <w:sz w:val="19"/>
          <w:szCs w:val="19"/>
        </w:rPr>
        <w:t xml:space="preserve">Este documento tem periodicidade anual e </w:t>
      </w:r>
      <w:r w:rsidR="00B56055" w:rsidRPr="00C62F80">
        <w:rPr>
          <w:rFonts w:ascii="Tahoma" w:hAnsi="Tahoma" w:cs="Tahoma"/>
          <w:sz w:val="19"/>
          <w:szCs w:val="19"/>
        </w:rPr>
        <w:t>s</w:t>
      </w:r>
      <w:r w:rsidRPr="00C62F80">
        <w:rPr>
          <w:rFonts w:ascii="Tahoma" w:hAnsi="Tahoma" w:cs="Tahoma"/>
          <w:sz w:val="19"/>
          <w:szCs w:val="19"/>
        </w:rPr>
        <w:t>ua publicação deve ser feita no site da Finep até 31 de maio de 2024</w:t>
      </w:r>
      <w:r w:rsidR="003C7E34">
        <w:rPr>
          <w:rFonts w:ascii="Tahoma" w:hAnsi="Tahoma" w:cs="Tahoma"/>
          <w:sz w:val="19"/>
          <w:szCs w:val="19"/>
        </w:rPr>
        <w:t>, após deliberação e aprovação de seu conteúdo pela Diretoria Executiva e pelo Conselho de Administração</w:t>
      </w:r>
      <w:r w:rsidRPr="00C62F80">
        <w:rPr>
          <w:rFonts w:ascii="Tahoma" w:hAnsi="Tahoma" w:cs="Tahoma"/>
          <w:sz w:val="19"/>
          <w:szCs w:val="19"/>
        </w:rPr>
        <w:t xml:space="preserve">. Dúvidas, correções ou sugestões podem ser encaminhadas ao Serviço de Informação ao Cidadão (SIC) por meio dos canais informados na seção </w:t>
      </w:r>
      <w:hyperlink r:id="rId40" w:history="1">
        <w:r w:rsidRPr="00C62F80">
          <w:rPr>
            <w:rStyle w:val="Hyperlink"/>
            <w:rFonts w:ascii="Tahoma" w:hAnsi="Tahoma" w:cs="Tahoma"/>
            <w:sz w:val="19"/>
            <w:szCs w:val="19"/>
          </w:rPr>
          <w:t>Fale Conosco</w:t>
        </w:r>
      </w:hyperlink>
      <w:r w:rsidRPr="00C62F80">
        <w:rPr>
          <w:rFonts w:ascii="Tahoma" w:hAnsi="Tahoma" w:cs="Tahoma"/>
          <w:sz w:val="19"/>
          <w:szCs w:val="19"/>
        </w:rPr>
        <w:t xml:space="preserve"> de nosso site institucional.</w:t>
      </w:r>
    </w:p>
    <w:p w14:paraId="2F36A8DD" w14:textId="659D6AEE" w:rsidR="00106D34" w:rsidRPr="00C62F80" w:rsidRDefault="00DE7C3A" w:rsidP="00254F4A">
      <w:pPr>
        <w:spacing w:before="120" w:after="120" w:line="360" w:lineRule="auto"/>
        <w:rPr>
          <w:rFonts w:ascii="Tahoma" w:hAnsi="Tahoma" w:cs="Tahoma"/>
          <w:sz w:val="19"/>
          <w:szCs w:val="19"/>
        </w:rPr>
      </w:pPr>
      <w:r w:rsidRPr="00C62F80">
        <w:rPr>
          <w:rFonts w:ascii="Tahoma" w:hAnsi="Tahoma" w:cs="Tahoma"/>
          <w:noProof/>
          <w:sz w:val="19"/>
          <w:szCs w:val="19"/>
        </w:rPr>
        <mc:AlternateContent>
          <mc:Choice Requires="wps">
            <w:drawing>
              <wp:anchor distT="0" distB="0" distL="114300" distR="114300" simplePos="0" relativeHeight="251762688" behindDoc="0" locked="0" layoutInCell="1" allowOverlap="1" wp14:anchorId="66038B02" wp14:editId="240EA3FD">
                <wp:simplePos x="0" y="0"/>
                <wp:positionH relativeFrom="column">
                  <wp:posOffset>1380490</wp:posOffset>
                </wp:positionH>
                <wp:positionV relativeFrom="paragraph">
                  <wp:posOffset>717039</wp:posOffset>
                </wp:positionV>
                <wp:extent cx="4502150" cy="397824"/>
                <wp:effectExtent l="0" t="0" r="0" b="2540"/>
                <wp:wrapNone/>
                <wp:docPr id="355851008" name="Text Box 237"/>
                <wp:cNvGraphicFramePr/>
                <a:graphic xmlns:a="http://schemas.openxmlformats.org/drawingml/2006/main">
                  <a:graphicData uri="http://schemas.microsoft.com/office/word/2010/wordprocessingShape">
                    <wps:wsp>
                      <wps:cNvSpPr txBox="1"/>
                      <wps:spPr>
                        <a:xfrm>
                          <a:off x="0" y="0"/>
                          <a:ext cx="4502150" cy="397824"/>
                        </a:xfrm>
                        <a:prstGeom prst="rect">
                          <a:avLst/>
                        </a:prstGeom>
                        <a:solidFill>
                          <a:srgbClr val="0098BA">
                            <a:alpha val="25098"/>
                          </a:srgbClr>
                        </a:solidFill>
                        <a:ln w="6345">
                          <a:noFill/>
                          <a:prstDash val="dash"/>
                        </a:ln>
                      </wps:spPr>
                      <wps:txbx>
                        <w:txbxContent>
                          <w:p w14:paraId="4D1A4D1D" w14:textId="0A28B9BE" w:rsidR="00DA5642" w:rsidRPr="00413454" w:rsidRDefault="00DA5642" w:rsidP="00DA5642">
                            <w:pPr>
                              <w:jc w:val="right"/>
                              <w:rPr>
                                <w:rFonts w:ascii="Tahoma" w:hAnsi="Tahoma" w:cs="Tahoma"/>
                                <w:sz w:val="16"/>
                                <w:szCs w:val="16"/>
                              </w:rPr>
                            </w:pPr>
                            <w:r w:rsidRPr="00413454">
                              <w:rPr>
                                <w:rFonts w:ascii="Tahoma" w:hAnsi="Tahoma" w:cs="Tahoma"/>
                                <w:sz w:val="16"/>
                                <w:szCs w:val="16"/>
                              </w:rPr>
                              <w:t xml:space="preserve">Para mais detalhes sobre esses instrumentos e a descentralização, veja as seções </w:t>
                            </w:r>
                            <w:r w:rsidR="00281E55">
                              <w:rPr>
                                <w:rFonts w:ascii="Tahoma" w:hAnsi="Tahoma" w:cs="Tahoma"/>
                                <w:sz w:val="16"/>
                                <w:szCs w:val="16"/>
                              </w:rPr>
                              <w:t>‘</w:t>
                            </w:r>
                            <w:r w:rsidRPr="00413454">
                              <w:rPr>
                                <w:rFonts w:ascii="Tahoma" w:hAnsi="Tahoma" w:cs="Tahoma"/>
                                <w:sz w:val="16"/>
                                <w:szCs w:val="16"/>
                              </w:rPr>
                              <w:t>Como atuamos e geramos valor para a sociedade</w:t>
                            </w:r>
                            <w:r w:rsidR="00281E55">
                              <w:rPr>
                                <w:rFonts w:ascii="Tahoma" w:hAnsi="Tahoma" w:cs="Tahoma"/>
                                <w:sz w:val="16"/>
                                <w:szCs w:val="16"/>
                              </w:rPr>
                              <w:t>’</w:t>
                            </w:r>
                            <w:r w:rsidRPr="00413454">
                              <w:rPr>
                                <w:rFonts w:ascii="Tahoma" w:hAnsi="Tahoma" w:cs="Tahoma"/>
                                <w:sz w:val="16"/>
                                <w:szCs w:val="16"/>
                              </w:rPr>
                              <w:t xml:space="preserve"> e </w:t>
                            </w:r>
                            <w:r w:rsidR="00281E55">
                              <w:rPr>
                                <w:rFonts w:ascii="Tahoma" w:hAnsi="Tahoma" w:cs="Tahoma"/>
                                <w:sz w:val="16"/>
                                <w:szCs w:val="16"/>
                              </w:rPr>
                              <w:t>‘</w:t>
                            </w:r>
                            <w:r w:rsidRPr="00413454">
                              <w:rPr>
                                <w:rFonts w:ascii="Tahoma" w:hAnsi="Tahoma" w:cs="Tahoma"/>
                                <w:sz w:val="16"/>
                                <w:szCs w:val="16"/>
                              </w:rPr>
                              <w:t>Nosso desempenho</w:t>
                            </w:r>
                            <w:r w:rsidR="00281E55">
                              <w:rPr>
                                <w:rFonts w:ascii="Tahoma" w:hAnsi="Tahoma" w:cs="Tahoma"/>
                                <w:sz w:val="16"/>
                                <w:szCs w:val="16"/>
                              </w:rPr>
                              <w:t>’</w:t>
                            </w:r>
                            <w:r w:rsidRPr="00413454">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66038B02" id="_x0000_s1027" type="#_x0000_t202" style="position:absolute;margin-left:108.7pt;margin-top:56.45pt;width:354.5pt;height:31.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" fillcolor="#0098ba" stroked="f" strokeweight=".17625mm">
                <v:fill opacity="16448f"/>
                <v:stroke dashstyle="dash"/>
                <v:textbox>
                  <w:txbxContent>
                    <w:p w14:paraId="4D1A4D1D" w14:textId="0A28B9BE" w:rsidR="00DA5642" w:rsidRPr="00413454" w:rsidRDefault="00DA5642" w:rsidP="00DA5642">
                      <w:pPr>
                        <w:jc w:val="right"/>
                        <w:rPr>
                          <w:rFonts w:ascii="Tahoma" w:hAnsi="Tahoma" w:cs="Tahoma"/>
                          <w:sz w:val="16"/>
                          <w:szCs w:val="16"/>
                        </w:rPr>
                      </w:pPr>
                      <w:r w:rsidRPr="00413454">
                        <w:rPr>
                          <w:rFonts w:ascii="Tahoma" w:hAnsi="Tahoma" w:cs="Tahoma"/>
                          <w:sz w:val="16"/>
                          <w:szCs w:val="16"/>
                        </w:rPr>
                        <w:t xml:space="preserve">Para mais detalhes sobre esses instrumentos e a descentralização, veja as seções </w:t>
                      </w:r>
                      <w:r w:rsidR="00281E55">
                        <w:rPr>
                          <w:rFonts w:ascii="Tahoma" w:hAnsi="Tahoma" w:cs="Tahoma"/>
                          <w:sz w:val="16"/>
                          <w:szCs w:val="16"/>
                        </w:rPr>
                        <w:t>‘</w:t>
                      </w:r>
                      <w:r w:rsidRPr="00413454">
                        <w:rPr>
                          <w:rFonts w:ascii="Tahoma" w:hAnsi="Tahoma" w:cs="Tahoma"/>
                          <w:sz w:val="16"/>
                          <w:szCs w:val="16"/>
                        </w:rPr>
                        <w:t>Como atuamos e geramos valor para a sociedade</w:t>
                      </w:r>
                      <w:r w:rsidR="00281E55">
                        <w:rPr>
                          <w:rFonts w:ascii="Tahoma" w:hAnsi="Tahoma" w:cs="Tahoma"/>
                          <w:sz w:val="16"/>
                          <w:szCs w:val="16"/>
                        </w:rPr>
                        <w:t>’</w:t>
                      </w:r>
                      <w:r w:rsidRPr="00413454">
                        <w:rPr>
                          <w:rFonts w:ascii="Tahoma" w:hAnsi="Tahoma" w:cs="Tahoma"/>
                          <w:sz w:val="16"/>
                          <w:szCs w:val="16"/>
                        </w:rPr>
                        <w:t xml:space="preserve"> e </w:t>
                      </w:r>
                      <w:r w:rsidR="00281E55">
                        <w:rPr>
                          <w:rFonts w:ascii="Tahoma" w:hAnsi="Tahoma" w:cs="Tahoma"/>
                          <w:sz w:val="16"/>
                          <w:szCs w:val="16"/>
                        </w:rPr>
                        <w:t>‘</w:t>
                      </w:r>
                      <w:r w:rsidRPr="00413454">
                        <w:rPr>
                          <w:rFonts w:ascii="Tahoma" w:hAnsi="Tahoma" w:cs="Tahoma"/>
                          <w:sz w:val="16"/>
                          <w:szCs w:val="16"/>
                        </w:rPr>
                        <w:t>Nosso desempenho</w:t>
                      </w:r>
                      <w:r w:rsidR="00281E55">
                        <w:rPr>
                          <w:rFonts w:ascii="Tahoma" w:hAnsi="Tahoma" w:cs="Tahoma"/>
                          <w:sz w:val="16"/>
                          <w:szCs w:val="16"/>
                        </w:rPr>
                        <w:t>’</w:t>
                      </w:r>
                      <w:r w:rsidRPr="00413454">
                        <w:rPr>
                          <w:rFonts w:ascii="Tahoma" w:hAnsi="Tahoma" w:cs="Tahoma"/>
                          <w:sz w:val="16"/>
                          <w:szCs w:val="16"/>
                        </w:rPr>
                        <w:t>.</w:t>
                      </w:r>
                    </w:p>
                  </w:txbxContent>
                </v:textbox>
              </v:shape>
            </w:pict>
          </mc:Fallback>
        </mc:AlternateContent>
      </w:r>
      <w:r w:rsidRPr="00C62F80">
        <w:rPr>
          <w:rFonts w:ascii="Tahoma" w:hAnsi="Tahoma" w:cs="Tahoma"/>
          <w:sz w:val="19"/>
          <w:szCs w:val="19"/>
        </w:rPr>
        <w:t>Este relatório conta ainda com</w:t>
      </w:r>
      <w:r w:rsidR="00841D50" w:rsidRPr="00C62F80">
        <w:rPr>
          <w:rFonts w:ascii="Tahoma" w:hAnsi="Tahoma" w:cs="Tahoma"/>
          <w:sz w:val="19"/>
          <w:szCs w:val="19"/>
        </w:rPr>
        <w:t xml:space="preserve"> dados obtidos de instituições parceiras e de agentes financeiros contratados, que atuam na operação descentralizada de </w:t>
      </w:r>
      <w:r w:rsidR="00DA5642" w:rsidRPr="00C62F80">
        <w:rPr>
          <w:rFonts w:ascii="Tahoma" w:hAnsi="Tahoma" w:cs="Tahoma"/>
          <w:sz w:val="19"/>
          <w:szCs w:val="19"/>
        </w:rPr>
        <w:t xml:space="preserve">dois de nossos </w:t>
      </w:r>
      <w:r w:rsidR="00841D50" w:rsidRPr="00C62F80">
        <w:rPr>
          <w:rFonts w:ascii="Tahoma" w:hAnsi="Tahoma" w:cs="Tahoma"/>
          <w:sz w:val="19"/>
          <w:szCs w:val="19"/>
        </w:rPr>
        <w:t>instrumentos financeiros voltados ao apoio a empresas</w:t>
      </w:r>
      <w:r w:rsidRPr="00C62F80">
        <w:rPr>
          <w:rFonts w:ascii="Tahoma" w:hAnsi="Tahoma" w:cs="Tahoma"/>
          <w:sz w:val="19"/>
          <w:szCs w:val="19"/>
        </w:rPr>
        <w:t>:</w:t>
      </w:r>
      <w:r w:rsidR="00DA5642" w:rsidRPr="00C62F80">
        <w:rPr>
          <w:rFonts w:ascii="Tahoma" w:hAnsi="Tahoma" w:cs="Tahoma"/>
          <w:sz w:val="19"/>
          <w:szCs w:val="19"/>
        </w:rPr>
        <w:t xml:space="preserve"> o crédito e a subvenção econômica</w:t>
      </w:r>
      <w:r w:rsidR="00841D50" w:rsidRPr="00C62F80">
        <w:rPr>
          <w:rFonts w:ascii="Tahoma" w:hAnsi="Tahoma" w:cs="Tahoma"/>
          <w:sz w:val="19"/>
          <w:szCs w:val="19"/>
        </w:rPr>
        <w:t>.</w:t>
      </w:r>
    </w:p>
    <w:p w14:paraId="6B1D4832" w14:textId="5D679E59" w:rsidR="000D6D0A" w:rsidRDefault="00A54776" w:rsidP="00A54776">
      <w:pPr>
        <w:spacing w:after="160"/>
        <w:textAlignment w:val="baseline"/>
        <w:rPr>
          <w:rFonts w:ascii="Tahoma" w:hAnsi="Tahoma" w:cs="Tahoma"/>
          <w:sz w:val="19"/>
          <w:szCs w:val="19"/>
        </w:rPr>
      </w:pPr>
      <w:r>
        <w:rPr>
          <w:rFonts w:ascii="Tahoma" w:hAnsi="Tahoma" w:cs="Tahoma"/>
          <w:sz w:val="19"/>
          <w:szCs w:val="19"/>
        </w:rPr>
        <w:br w:type="page"/>
      </w:r>
    </w:p>
    <w:p w14:paraId="549698CC" w14:textId="2BBBA939" w:rsidR="000D6D0A" w:rsidRPr="00640044" w:rsidRDefault="002A1688" w:rsidP="00640044">
      <w:pPr>
        <w:pStyle w:val="Ttulo1"/>
        <w:spacing w:line="259" w:lineRule="auto"/>
        <w:ind w:left="432" w:hanging="432"/>
        <w:rPr>
          <w:rFonts w:ascii="Tahoma" w:eastAsiaTheme="majorEastAsia" w:hAnsi="Tahoma" w:cs="Tahoma"/>
          <w:color w:val="0098BA"/>
          <w:sz w:val="28"/>
          <w:szCs w:val="28"/>
          <w:lang w:eastAsia="en-US"/>
        </w:rPr>
      </w:pPr>
      <w:bookmarkStart w:id="29" w:name="_Toc163025243"/>
      <w:bookmarkStart w:id="30" w:name="_Toc162512580"/>
      <w:r w:rsidRPr="00640044">
        <w:rPr>
          <w:rFonts w:ascii="Tahoma" w:eastAsiaTheme="majorEastAsia" w:hAnsi="Tahoma" w:cs="Tahoma"/>
          <w:color w:val="0098BA"/>
          <w:sz w:val="28"/>
          <w:szCs w:val="28"/>
          <w:lang w:eastAsia="en-US"/>
        </w:rPr>
        <w:lastRenderedPageBreak/>
        <w:t>Como</w:t>
      </w:r>
      <w:r w:rsidR="00A54776" w:rsidRPr="00640044">
        <w:rPr>
          <w:rFonts w:ascii="Tahoma" w:eastAsiaTheme="majorEastAsia" w:hAnsi="Tahoma" w:cs="Tahoma"/>
          <w:color w:val="0098BA"/>
          <w:sz w:val="28"/>
          <w:szCs w:val="28"/>
          <w:lang w:eastAsia="en-US"/>
        </w:rPr>
        <w:t xml:space="preserve"> atuamos</w:t>
      </w:r>
      <w:r w:rsidR="00CB0433" w:rsidRPr="00640044">
        <w:rPr>
          <w:rFonts w:ascii="Tahoma" w:eastAsiaTheme="majorEastAsia" w:hAnsi="Tahoma" w:cs="Tahoma"/>
          <w:color w:val="0098BA"/>
          <w:sz w:val="28"/>
          <w:szCs w:val="28"/>
          <w:lang w:eastAsia="en-US"/>
        </w:rPr>
        <w:t xml:space="preserve"> e geramos valor</w:t>
      </w:r>
      <w:r w:rsidR="0051458A" w:rsidRPr="00640044">
        <w:rPr>
          <w:rFonts w:ascii="Tahoma" w:eastAsiaTheme="majorEastAsia" w:hAnsi="Tahoma" w:cs="Tahoma"/>
          <w:color w:val="0098BA"/>
          <w:sz w:val="28"/>
          <w:szCs w:val="28"/>
          <w:lang w:eastAsia="en-US"/>
        </w:rPr>
        <w:t xml:space="preserve"> para a sociedade</w:t>
      </w:r>
      <w:bookmarkEnd w:id="29"/>
      <w:bookmarkEnd w:id="30"/>
    </w:p>
    <w:p w14:paraId="5B6CFADD" w14:textId="3022AA3E" w:rsidR="006F21CC" w:rsidRPr="001C00F8" w:rsidRDefault="006F21CC" w:rsidP="006F21CC">
      <w:pPr>
        <w:pBdr>
          <w:top w:val="single" w:sz="4" w:space="1" w:color="0098BA"/>
          <w:left w:val="single" w:sz="4" w:space="4" w:color="0098BA"/>
          <w:bottom w:val="single" w:sz="4" w:space="1" w:color="0098BA"/>
          <w:right w:val="single" w:sz="4" w:space="4" w:color="0098BA"/>
        </w:pBdr>
        <w:spacing w:before="120" w:after="120"/>
        <w:rPr>
          <w:rFonts w:ascii="Tahoma" w:hAnsi="Tahoma"/>
          <w:color w:val="0098BA"/>
          <w:sz w:val="19"/>
          <w:lang w:val="fr-FR"/>
        </w:rPr>
      </w:pPr>
      <w:r w:rsidRPr="00254F4A">
        <w:rPr>
          <w:rFonts w:ascii="Tahoma" w:hAnsi="Tahoma"/>
          <w:color w:val="0098BA"/>
          <w:sz w:val="19"/>
          <w:lang w:val="fr-FR"/>
        </w:rPr>
        <w:t xml:space="preserve">GRI </w:t>
      </w:r>
      <w:r w:rsidR="00F1252E" w:rsidRPr="00254F4A">
        <w:rPr>
          <w:rFonts w:ascii="Tahoma" w:hAnsi="Tahoma"/>
          <w:color w:val="0098BA"/>
          <w:sz w:val="19"/>
          <w:lang w:val="fr-FR"/>
        </w:rPr>
        <w:t>2-1; GRI 2-2;</w:t>
      </w:r>
      <w:r w:rsidRPr="00254F4A">
        <w:rPr>
          <w:rFonts w:ascii="Tahoma" w:hAnsi="Tahoma"/>
          <w:color w:val="0098BA"/>
          <w:sz w:val="19"/>
          <w:lang w:val="fr-FR"/>
        </w:rPr>
        <w:t xml:space="preserve"> </w:t>
      </w:r>
      <w:r w:rsidR="001C00F8" w:rsidRPr="00254F4A">
        <w:rPr>
          <w:rFonts w:ascii="Tahoma" w:hAnsi="Tahoma"/>
          <w:color w:val="0098BA"/>
          <w:sz w:val="19"/>
          <w:lang w:val="fr-FR"/>
        </w:rPr>
        <w:t>GRI 2-</w:t>
      </w:r>
      <w:r w:rsidR="001C00F8">
        <w:rPr>
          <w:rFonts w:ascii="Tahoma" w:hAnsi="Tahoma" w:cs="Tahoma"/>
          <w:color w:val="0098BA"/>
          <w:sz w:val="19"/>
          <w:szCs w:val="19"/>
        </w:rPr>
        <w:t xml:space="preserve">3; </w:t>
      </w:r>
      <w:r w:rsidR="001C00F8" w:rsidRPr="00254F4A">
        <w:rPr>
          <w:rFonts w:ascii="Tahoma" w:hAnsi="Tahoma"/>
          <w:color w:val="0098BA"/>
          <w:sz w:val="19"/>
          <w:lang w:val="fr-FR"/>
        </w:rPr>
        <w:t>GRI 2-</w:t>
      </w:r>
      <w:r w:rsidR="001C00F8">
        <w:rPr>
          <w:rFonts w:ascii="Tahoma" w:hAnsi="Tahoma" w:cs="Tahoma"/>
          <w:color w:val="0098BA"/>
          <w:sz w:val="19"/>
          <w:szCs w:val="19"/>
        </w:rPr>
        <w:t xml:space="preserve">4; </w:t>
      </w:r>
      <w:r w:rsidR="00F22888" w:rsidRPr="00254F4A">
        <w:rPr>
          <w:rFonts w:ascii="Tahoma" w:hAnsi="Tahoma"/>
          <w:color w:val="0098BA"/>
          <w:sz w:val="19"/>
          <w:lang w:val="fr-FR"/>
        </w:rPr>
        <w:t>GRI 2-</w:t>
      </w:r>
      <w:r w:rsidR="001C00F8">
        <w:rPr>
          <w:rFonts w:ascii="Tahoma" w:hAnsi="Tahoma" w:cs="Tahoma"/>
          <w:color w:val="0098BA"/>
          <w:sz w:val="19"/>
          <w:szCs w:val="19"/>
          <w:lang w:val="fr-FR"/>
        </w:rPr>
        <w:t xml:space="preserve">5; </w:t>
      </w:r>
      <w:r w:rsidR="001C00F8" w:rsidRPr="00254F4A">
        <w:rPr>
          <w:rFonts w:ascii="Tahoma" w:hAnsi="Tahoma"/>
          <w:color w:val="0098BA"/>
          <w:sz w:val="19"/>
          <w:lang w:val="fr-FR"/>
        </w:rPr>
        <w:t>GRI 2-</w:t>
      </w:r>
      <w:r w:rsidR="001C00F8">
        <w:rPr>
          <w:rFonts w:ascii="Tahoma" w:hAnsi="Tahoma" w:cs="Tahoma"/>
          <w:color w:val="0098BA"/>
          <w:sz w:val="19"/>
          <w:szCs w:val="19"/>
          <w:lang w:val="fr-FR"/>
        </w:rPr>
        <w:t xml:space="preserve">5; </w:t>
      </w:r>
      <w:r w:rsidR="001C00F8" w:rsidRPr="00254F4A">
        <w:rPr>
          <w:rFonts w:ascii="Tahoma" w:hAnsi="Tahoma"/>
          <w:color w:val="0098BA"/>
          <w:sz w:val="19"/>
          <w:lang w:val="fr-FR"/>
        </w:rPr>
        <w:t>GRI 2-</w:t>
      </w:r>
      <w:r w:rsidR="001C00F8">
        <w:rPr>
          <w:rFonts w:ascii="Tahoma" w:hAnsi="Tahoma" w:cs="Tahoma"/>
          <w:color w:val="0098BA"/>
          <w:sz w:val="19"/>
          <w:szCs w:val="19"/>
        </w:rPr>
        <w:t>14; GRI 2-22; GRI 2-23</w:t>
      </w:r>
    </w:p>
    <w:p w14:paraId="76A86A33" w14:textId="205608BC" w:rsidR="009E77C4" w:rsidRPr="00640044" w:rsidRDefault="00BB0E07" w:rsidP="00254F4A">
      <w:pPr>
        <w:tabs>
          <w:tab w:val="left" w:pos="426"/>
        </w:tabs>
        <w:spacing w:before="120" w:after="120" w:line="360" w:lineRule="auto"/>
        <w:rPr>
          <w:rFonts w:ascii="Tahoma" w:hAnsi="Tahoma" w:cs="Tahoma"/>
          <w:sz w:val="19"/>
          <w:szCs w:val="19"/>
        </w:rPr>
      </w:pPr>
      <w:r w:rsidRPr="00640044">
        <w:rPr>
          <w:rFonts w:ascii="Tahoma" w:hAnsi="Tahoma" w:cs="Tahoma"/>
          <w:sz w:val="19"/>
          <w:szCs w:val="19"/>
        </w:rPr>
        <w:t xml:space="preserve">Somos </w:t>
      </w:r>
      <w:r w:rsidR="003C5FE9" w:rsidRPr="00640044">
        <w:rPr>
          <w:rFonts w:ascii="Tahoma" w:hAnsi="Tahoma" w:cs="Tahoma"/>
          <w:sz w:val="19"/>
          <w:szCs w:val="19"/>
        </w:rPr>
        <w:t xml:space="preserve">a Financiadora de Estudos e Projetos (Finep), </w:t>
      </w:r>
      <w:r w:rsidRPr="00640044">
        <w:rPr>
          <w:rFonts w:ascii="Tahoma" w:hAnsi="Tahoma" w:cs="Tahoma"/>
          <w:sz w:val="19"/>
          <w:szCs w:val="19"/>
        </w:rPr>
        <w:t>uma empresa pública do governo federal</w:t>
      </w:r>
      <w:r w:rsidR="004971A6" w:rsidRPr="00640044">
        <w:rPr>
          <w:rFonts w:ascii="Tahoma" w:hAnsi="Tahoma" w:cs="Tahoma"/>
          <w:sz w:val="19"/>
          <w:szCs w:val="19"/>
        </w:rPr>
        <w:t xml:space="preserve">, </w:t>
      </w:r>
      <w:r w:rsidR="003C5FE9" w:rsidRPr="00640044">
        <w:rPr>
          <w:rFonts w:ascii="Tahoma" w:hAnsi="Tahoma" w:cs="Tahoma"/>
          <w:sz w:val="19"/>
          <w:szCs w:val="19"/>
        </w:rPr>
        <w:t>vinculada ao Ministério da Ciência, Tecnologia e Inovação (MCTI),</w:t>
      </w:r>
      <w:r w:rsidR="004971A6" w:rsidRPr="00640044">
        <w:rPr>
          <w:rFonts w:ascii="Tahoma" w:hAnsi="Tahoma" w:cs="Tahoma"/>
          <w:sz w:val="19"/>
          <w:szCs w:val="19"/>
        </w:rPr>
        <w:t xml:space="preserve"> </w:t>
      </w:r>
      <w:r w:rsidRPr="00640044">
        <w:rPr>
          <w:rFonts w:ascii="Tahoma" w:hAnsi="Tahoma" w:cs="Tahoma"/>
          <w:sz w:val="19"/>
          <w:szCs w:val="19"/>
        </w:rPr>
        <w:t xml:space="preserve">que atua </w:t>
      </w:r>
      <w:r w:rsidR="006F21CC" w:rsidRPr="00640044">
        <w:rPr>
          <w:rFonts w:ascii="Tahoma" w:hAnsi="Tahoma" w:cs="Tahoma"/>
          <w:sz w:val="19"/>
          <w:szCs w:val="19"/>
        </w:rPr>
        <w:t xml:space="preserve">em todo o Brasil para a </w:t>
      </w:r>
      <w:r w:rsidRPr="00640044">
        <w:rPr>
          <w:rFonts w:ascii="Tahoma" w:hAnsi="Tahoma" w:cs="Tahoma"/>
          <w:sz w:val="19"/>
          <w:szCs w:val="19"/>
        </w:rPr>
        <w:t xml:space="preserve">implementação da política pública de </w:t>
      </w:r>
      <w:r w:rsidR="007637EA">
        <w:rPr>
          <w:rFonts w:ascii="Tahoma" w:hAnsi="Tahoma" w:cs="Tahoma"/>
          <w:sz w:val="19"/>
          <w:szCs w:val="19"/>
        </w:rPr>
        <w:t>Ciência, Tecnologia e Inovação (</w:t>
      </w:r>
      <w:r w:rsidRPr="00640044">
        <w:rPr>
          <w:rFonts w:ascii="Tahoma" w:hAnsi="Tahoma" w:cs="Tahoma"/>
          <w:sz w:val="19"/>
          <w:szCs w:val="19"/>
        </w:rPr>
        <w:t>CT&amp;I</w:t>
      </w:r>
      <w:r w:rsidR="007637EA">
        <w:rPr>
          <w:rFonts w:ascii="Tahoma" w:hAnsi="Tahoma" w:cs="Tahoma"/>
          <w:sz w:val="19"/>
          <w:szCs w:val="19"/>
        </w:rPr>
        <w:t>)</w:t>
      </w:r>
      <w:r w:rsidRPr="00640044">
        <w:rPr>
          <w:rFonts w:ascii="Tahoma" w:hAnsi="Tahoma" w:cs="Tahoma"/>
          <w:sz w:val="19"/>
          <w:szCs w:val="19"/>
        </w:rPr>
        <w:t>.</w:t>
      </w:r>
    </w:p>
    <w:p w14:paraId="066045C7" w14:textId="5BED3333" w:rsidR="00F1252E" w:rsidRPr="00640044" w:rsidRDefault="00F1252E" w:rsidP="00254F4A">
      <w:pPr>
        <w:tabs>
          <w:tab w:val="left" w:pos="426"/>
        </w:tabs>
        <w:spacing w:before="120" w:after="120" w:line="360" w:lineRule="auto"/>
        <w:rPr>
          <w:rFonts w:ascii="Tahoma" w:hAnsi="Tahoma" w:cs="Tahoma"/>
          <w:sz w:val="19"/>
          <w:szCs w:val="19"/>
        </w:rPr>
      </w:pPr>
      <w:r w:rsidRPr="00640044">
        <w:rPr>
          <w:rFonts w:ascii="Tahoma" w:hAnsi="Tahoma" w:cs="Tahoma"/>
          <w:sz w:val="19"/>
          <w:szCs w:val="19"/>
        </w:rPr>
        <w:t>Nossa sede fica na cidade do Rio de Janeiro, mas estamos presentes em todas as regiões do Brasil por meio de parceiros, agentes financeiros e de escritórios regionais localizados em Brasília, São Paulo, Fortaleza, Florianópolis e Belém. Esta é uma de nossas estratégias para ficarmos próximos de todos os atores que nos movem e que buscamos afetar de maneira positiva.</w:t>
      </w:r>
      <w:r w:rsidR="00F74B37">
        <w:rPr>
          <w:rFonts w:ascii="Tahoma" w:hAnsi="Tahoma" w:cs="Tahoma"/>
          <w:sz w:val="19"/>
          <w:szCs w:val="19"/>
        </w:rPr>
        <w:t xml:space="preserve"> As partes interessadas da empresa definem nossa </w:t>
      </w:r>
      <w:r w:rsidR="00F74B37" w:rsidRPr="00F74B37">
        <w:rPr>
          <w:rFonts w:ascii="Tahoma" w:hAnsi="Tahoma" w:cs="Tahoma"/>
          <w:sz w:val="19"/>
          <w:szCs w:val="19"/>
        </w:rPr>
        <w:t xml:space="preserve">relação com o ambiente externo e com os destinatários dos bens e serviços </w:t>
      </w:r>
      <w:r w:rsidR="00F74B37">
        <w:rPr>
          <w:rFonts w:ascii="Tahoma" w:hAnsi="Tahoma" w:cs="Tahoma"/>
          <w:sz w:val="19"/>
          <w:szCs w:val="19"/>
        </w:rPr>
        <w:t xml:space="preserve">que </w:t>
      </w:r>
      <w:r w:rsidR="00F74B37" w:rsidRPr="00F74B37">
        <w:rPr>
          <w:rFonts w:ascii="Tahoma" w:hAnsi="Tahoma" w:cs="Tahoma"/>
          <w:sz w:val="19"/>
          <w:szCs w:val="19"/>
        </w:rPr>
        <w:t>produzi</w:t>
      </w:r>
      <w:r w:rsidR="00F74B37">
        <w:rPr>
          <w:rFonts w:ascii="Tahoma" w:hAnsi="Tahoma" w:cs="Tahoma"/>
          <w:sz w:val="19"/>
          <w:szCs w:val="19"/>
        </w:rPr>
        <w:t>mos.</w:t>
      </w:r>
    </w:p>
    <w:p w14:paraId="13124A0E" w14:textId="77777777" w:rsidR="00F1252E" w:rsidRPr="00640044" w:rsidRDefault="00F1252E" w:rsidP="00254F4A">
      <w:pPr>
        <w:spacing w:before="120"/>
        <w:jc w:val="center"/>
        <w:rPr>
          <w:rFonts w:ascii="Tahoma" w:hAnsi="Tahoma" w:cs="Tahoma"/>
          <w:color w:val="0098BA"/>
          <w:sz w:val="20"/>
          <w:szCs w:val="20"/>
        </w:rPr>
      </w:pPr>
      <w:r w:rsidRPr="00640044">
        <w:rPr>
          <w:rFonts w:ascii="Tahoma" w:hAnsi="Tahoma" w:cs="Tahoma"/>
          <w:color w:val="0098BA"/>
          <w:sz w:val="20"/>
          <w:szCs w:val="20"/>
        </w:rPr>
        <w:t>Partes interessadas da Finep</w:t>
      </w:r>
    </w:p>
    <w:p w14:paraId="0DF25E70" w14:textId="2521724D" w:rsidR="009E77C4" w:rsidRPr="00640044" w:rsidRDefault="00640044" w:rsidP="00F1252E">
      <w:pPr>
        <w:tabs>
          <w:tab w:val="left" w:pos="426"/>
        </w:tabs>
        <w:spacing w:before="120" w:after="120" w:line="360" w:lineRule="auto"/>
        <w:jc w:val="center"/>
        <w:rPr>
          <w:rFonts w:ascii="Tahoma" w:hAnsi="Tahoma" w:cs="Tahoma"/>
          <w:sz w:val="19"/>
          <w:szCs w:val="19"/>
        </w:rPr>
      </w:pPr>
      <w:r w:rsidRPr="00640044">
        <w:rPr>
          <w:rFonts w:ascii="Tahoma" w:hAnsi="Tahoma" w:cs="Tahoma"/>
          <w:noProof/>
          <w:sz w:val="19"/>
          <w:szCs w:val="19"/>
        </w:rPr>
        <mc:AlternateContent>
          <mc:Choice Requires="wps">
            <w:drawing>
              <wp:anchor distT="0" distB="0" distL="114300" distR="114300" simplePos="0" relativeHeight="251758592" behindDoc="0" locked="0" layoutInCell="1" allowOverlap="1" wp14:anchorId="1A22E61C" wp14:editId="2DBB3460">
                <wp:simplePos x="0" y="0"/>
                <wp:positionH relativeFrom="column">
                  <wp:posOffset>1016000</wp:posOffset>
                </wp:positionH>
                <wp:positionV relativeFrom="paragraph">
                  <wp:posOffset>2950210</wp:posOffset>
                </wp:positionV>
                <wp:extent cx="4870450" cy="278130"/>
                <wp:effectExtent l="0" t="0" r="6350" b="7620"/>
                <wp:wrapNone/>
                <wp:docPr id="1798879832" name="Text Box 237"/>
                <wp:cNvGraphicFramePr/>
                <a:graphic xmlns:a="http://schemas.openxmlformats.org/drawingml/2006/main">
                  <a:graphicData uri="http://schemas.microsoft.com/office/word/2010/wordprocessingShape">
                    <wps:wsp>
                      <wps:cNvSpPr txBox="1"/>
                      <wps:spPr>
                        <a:xfrm>
                          <a:off x="0" y="0"/>
                          <a:ext cx="4870450" cy="278130"/>
                        </a:xfrm>
                        <a:prstGeom prst="rect">
                          <a:avLst/>
                        </a:prstGeom>
                        <a:solidFill>
                          <a:srgbClr val="0098BA">
                            <a:alpha val="25098"/>
                          </a:srgbClr>
                        </a:solidFill>
                        <a:ln w="6345">
                          <a:noFill/>
                          <a:prstDash val="dash"/>
                        </a:ln>
                      </wps:spPr>
                      <wps:txbx>
                        <w:txbxContent>
                          <w:p w14:paraId="094C82F5" w14:textId="57489F75" w:rsidR="0025435E" w:rsidRPr="00413454" w:rsidRDefault="00585B03" w:rsidP="00585B03">
                            <w:pPr>
                              <w:jc w:val="right"/>
                              <w:rPr>
                                <w:rFonts w:ascii="Tahoma" w:hAnsi="Tahoma" w:cs="Tahoma"/>
                                <w:sz w:val="16"/>
                                <w:szCs w:val="16"/>
                              </w:rPr>
                            </w:pPr>
                            <w:r w:rsidRPr="00413454">
                              <w:rPr>
                                <w:rFonts w:ascii="Tahoma" w:hAnsi="Tahoma" w:cs="Tahoma"/>
                                <w:sz w:val="16"/>
                                <w:szCs w:val="16"/>
                              </w:rPr>
                              <w:t xml:space="preserve">Veja nossos horários de funcionamento e formas de contato em </w:t>
                            </w:r>
                            <w:hyperlink r:id="rId41" w:history="1">
                              <w:r w:rsidRPr="00413454">
                                <w:rPr>
                                  <w:rStyle w:val="Hyperlink"/>
                                  <w:rFonts w:ascii="Tahoma" w:hAnsi="Tahoma" w:cs="Tahoma"/>
                                  <w:sz w:val="16"/>
                                  <w:szCs w:val="16"/>
                                </w:rPr>
                                <w:t>http://www.finep.gov.br/fale-conosco</w:t>
                              </w:r>
                            </w:hyperlink>
                            <w:r w:rsidR="00DA5642" w:rsidRPr="00413454">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1A22E61C" id="_x0000_s1028" type="#_x0000_t202" style="position:absolute;left:0;text-align:left;margin-left:80pt;margin-top:232.3pt;width:383.5pt;height:21.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" fillcolor="#0098ba" stroked="f" strokeweight=".17625mm">
                <v:fill opacity="16448f"/>
                <v:stroke dashstyle="dash"/>
                <v:textbox>
                  <w:txbxContent>
                    <w:p w14:paraId="094C82F5" w14:textId="57489F75" w:rsidR="0025435E" w:rsidRPr="00413454" w:rsidRDefault="00585B03" w:rsidP="00585B03">
                      <w:pPr>
                        <w:jc w:val="right"/>
                        <w:rPr>
                          <w:rFonts w:ascii="Tahoma" w:hAnsi="Tahoma" w:cs="Tahoma"/>
                          <w:sz w:val="16"/>
                          <w:szCs w:val="16"/>
                        </w:rPr>
                      </w:pPr>
                      <w:r w:rsidRPr="00413454">
                        <w:rPr>
                          <w:rFonts w:ascii="Tahoma" w:hAnsi="Tahoma" w:cs="Tahoma"/>
                          <w:sz w:val="16"/>
                          <w:szCs w:val="16"/>
                        </w:rPr>
                        <w:t xml:space="preserve">Veja nossos horários de funcionamento e formas de contato em </w:t>
                      </w:r>
                      <w:hyperlink r:id="rId42" w:history="1">
                        <w:r w:rsidRPr="00413454">
                          <w:rPr>
                            <w:rStyle w:val="Hyperlink"/>
                            <w:rFonts w:ascii="Tahoma" w:hAnsi="Tahoma" w:cs="Tahoma"/>
                            <w:sz w:val="16"/>
                            <w:szCs w:val="16"/>
                          </w:rPr>
                          <w:t>http://www.finep.gov.br/fale-conosco</w:t>
                        </w:r>
                      </w:hyperlink>
                      <w:r w:rsidR="00DA5642" w:rsidRPr="00413454">
                        <w:rPr>
                          <w:rFonts w:ascii="Tahoma" w:hAnsi="Tahoma" w:cs="Tahoma"/>
                          <w:sz w:val="16"/>
                          <w:szCs w:val="16"/>
                        </w:rPr>
                        <w:t>.</w:t>
                      </w:r>
                    </w:p>
                  </w:txbxContent>
                </v:textbox>
              </v:shape>
            </w:pict>
          </mc:Fallback>
        </mc:AlternateContent>
      </w:r>
      <w:r w:rsidR="00F1252E" w:rsidRPr="00640044">
        <w:rPr>
          <w:rFonts w:ascii="Tahoma" w:hAnsi="Tahoma" w:cs="Tahoma"/>
          <w:noProof/>
          <w:sz w:val="19"/>
          <w:szCs w:val="19"/>
        </w:rPr>
        <w:drawing>
          <wp:inline distT="0" distB="0" distL="0" distR="0" wp14:anchorId="48228111" wp14:editId="77013471">
            <wp:extent cx="2968831" cy="2797200"/>
            <wp:effectExtent l="0" t="0" r="3175" b="3175"/>
            <wp:docPr id="647190629" name="Imagem 112" descr="Uma imagem contend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984139" cy="2811623"/>
                    </a:xfrm>
                    <a:prstGeom prst="rect">
                      <a:avLst/>
                    </a:prstGeom>
                    <a:noFill/>
                    <a:ln>
                      <a:noFill/>
                      <a:prstDash/>
                    </a:ln>
                  </pic:spPr>
                </pic:pic>
              </a:graphicData>
            </a:graphic>
          </wp:inline>
        </w:drawing>
      </w:r>
    </w:p>
    <w:p w14:paraId="50564F09" w14:textId="0D5230A9" w:rsidR="00585B03" w:rsidRPr="00640044" w:rsidRDefault="00585B03" w:rsidP="00585B03">
      <w:pPr>
        <w:tabs>
          <w:tab w:val="left" w:pos="426"/>
        </w:tabs>
        <w:spacing w:before="120" w:after="120" w:line="360" w:lineRule="auto"/>
        <w:rPr>
          <w:rFonts w:ascii="Tahoma" w:hAnsi="Tahoma" w:cs="Tahoma"/>
          <w:sz w:val="19"/>
          <w:szCs w:val="19"/>
        </w:rPr>
      </w:pPr>
    </w:p>
    <w:p w14:paraId="3070AAFE" w14:textId="1B5B8DFD" w:rsidR="000D6D0A" w:rsidRPr="00640044" w:rsidRDefault="00BB0E07" w:rsidP="00254F4A">
      <w:pPr>
        <w:tabs>
          <w:tab w:val="left" w:pos="426"/>
        </w:tabs>
        <w:spacing w:before="120" w:after="120" w:line="360" w:lineRule="auto"/>
        <w:rPr>
          <w:rFonts w:ascii="Tahoma" w:hAnsi="Tahoma" w:cs="Tahoma"/>
          <w:sz w:val="19"/>
          <w:szCs w:val="19"/>
        </w:rPr>
      </w:pPr>
      <w:r w:rsidRPr="00640044">
        <w:rPr>
          <w:rFonts w:ascii="Tahoma" w:hAnsi="Tahoma" w:cs="Tahoma"/>
          <w:sz w:val="19"/>
          <w:szCs w:val="19"/>
        </w:rPr>
        <w:t xml:space="preserve">Para </w:t>
      </w:r>
      <w:r w:rsidR="00F1252E" w:rsidRPr="00640044">
        <w:rPr>
          <w:rFonts w:ascii="Tahoma" w:hAnsi="Tahoma" w:cs="Tahoma"/>
          <w:sz w:val="19"/>
          <w:szCs w:val="19"/>
        </w:rPr>
        <w:t xml:space="preserve">impactar a esse amplo conjunto de partes interessadas </w:t>
      </w:r>
      <w:r w:rsidR="006F21CC" w:rsidRPr="00640044">
        <w:rPr>
          <w:rFonts w:ascii="Tahoma" w:hAnsi="Tahoma" w:cs="Tahoma"/>
          <w:sz w:val="19"/>
          <w:szCs w:val="19"/>
        </w:rPr>
        <w:t>somos</w:t>
      </w:r>
      <w:r w:rsidRPr="00640044">
        <w:rPr>
          <w:rFonts w:ascii="Tahoma" w:hAnsi="Tahoma" w:cs="Tahoma"/>
          <w:sz w:val="19"/>
          <w:szCs w:val="19"/>
        </w:rPr>
        <w:t xml:space="preserve"> </w:t>
      </w:r>
      <w:r w:rsidR="00F1252E" w:rsidRPr="00640044">
        <w:rPr>
          <w:rFonts w:ascii="Tahoma" w:hAnsi="Tahoma" w:cs="Tahoma"/>
          <w:sz w:val="19"/>
          <w:szCs w:val="19"/>
        </w:rPr>
        <w:t xml:space="preserve">uma instituição singular, que atua como </w:t>
      </w:r>
      <w:r w:rsidRPr="00640044">
        <w:rPr>
          <w:rFonts w:ascii="Tahoma" w:hAnsi="Tahoma" w:cs="Tahoma"/>
          <w:sz w:val="19"/>
          <w:szCs w:val="19"/>
        </w:rPr>
        <w:t>agência de fomento, secretaria executiva do Fundo Nacional de Desenvolvimento Científico e Tecnológico (FNDCT) e gestora e agente financeiro de recursos de outros fundos e instituições.</w:t>
      </w:r>
    </w:p>
    <w:p w14:paraId="17F6BD37" w14:textId="77777777" w:rsidR="00F1252E" w:rsidRPr="00640044" w:rsidRDefault="00F1252E" w:rsidP="00254F4A">
      <w:pPr>
        <w:tabs>
          <w:tab w:val="left" w:pos="426"/>
        </w:tabs>
        <w:spacing w:before="120" w:after="120" w:line="360" w:lineRule="auto"/>
        <w:rPr>
          <w:rFonts w:ascii="Tahoma" w:hAnsi="Tahoma" w:cs="Tahoma"/>
          <w:sz w:val="19"/>
          <w:szCs w:val="19"/>
        </w:rPr>
      </w:pPr>
      <w:r w:rsidRPr="00640044">
        <w:rPr>
          <w:rFonts w:ascii="Tahoma" w:hAnsi="Tahoma" w:cs="Tahoma"/>
          <w:sz w:val="19"/>
          <w:szCs w:val="19"/>
        </w:rPr>
        <w:t xml:space="preserve">A legislação aplicável, competências e outras informações sobre nossa atuação podem ser encontradas no Estatuto Social e no Regimento Interno, disponíveis em </w:t>
      </w:r>
      <w:hyperlink r:id="rId44" w:history="1">
        <w:r w:rsidRPr="00640044">
          <w:rPr>
            <w:rStyle w:val="Hyperlink"/>
            <w:rFonts w:ascii="Tahoma" w:hAnsi="Tahoma" w:cs="Tahoma"/>
            <w:sz w:val="19"/>
            <w:szCs w:val="19"/>
          </w:rPr>
          <w:t>http://www.finep.gov.br/a-finep-externo/governanca/governanca</w:t>
        </w:r>
      </w:hyperlink>
      <w:r w:rsidRPr="00640044">
        <w:rPr>
          <w:rFonts w:ascii="Tahoma" w:hAnsi="Tahoma" w:cs="Tahoma"/>
          <w:sz w:val="19"/>
          <w:szCs w:val="19"/>
        </w:rPr>
        <w:t>.</w:t>
      </w:r>
    </w:p>
    <w:p w14:paraId="711FC85B" w14:textId="6C79859C" w:rsidR="00DD07A4" w:rsidRDefault="00F1252E" w:rsidP="00254F4A">
      <w:pPr>
        <w:tabs>
          <w:tab w:val="left" w:pos="426"/>
        </w:tabs>
        <w:spacing w:before="120" w:after="120" w:line="360" w:lineRule="auto"/>
        <w:rPr>
          <w:rFonts w:ascii="Tahoma" w:hAnsi="Tahoma" w:cs="Tahoma"/>
          <w:sz w:val="19"/>
          <w:szCs w:val="19"/>
        </w:rPr>
      </w:pPr>
      <w:r w:rsidRPr="00640044">
        <w:rPr>
          <w:rFonts w:ascii="Tahoma" w:hAnsi="Tahoma" w:cs="Tahoma"/>
          <w:sz w:val="19"/>
          <w:szCs w:val="19"/>
        </w:rPr>
        <w:t>Nosso capital social, subscrito e integralizado, é de R$ 1.624.994.507,21 divididos em trezentos milhões de ações ordinárias, sem valor nominal, com apenas um acionista, a União.</w:t>
      </w:r>
      <w:r w:rsidR="00DD07A4">
        <w:rPr>
          <w:rFonts w:ascii="Tahoma" w:hAnsi="Tahoma" w:cs="Tahoma"/>
          <w:sz w:val="19"/>
          <w:szCs w:val="19"/>
        </w:rPr>
        <w:t xml:space="preserve"> </w:t>
      </w:r>
      <w:r w:rsidR="00DD07A4" w:rsidRPr="00DD07A4">
        <w:rPr>
          <w:rFonts w:ascii="Tahoma" w:hAnsi="Tahoma" w:cs="Tahoma"/>
          <w:sz w:val="19"/>
          <w:szCs w:val="19"/>
        </w:rPr>
        <w:t>Um destaque do nosso ativo são as 1.449.254</w:t>
      </w:r>
      <w:r w:rsidR="00DD07A4">
        <w:rPr>
          <w:rFonts w:ascii="Tahoma" w:hAnsi="Tahoma" w:cs="Tahoma"/>
          <w:sz w:val="19"/>
          <w:szCs w:val="19"/>
        </w:rPr>
        <w:t xml:space="preserve"> </w:t>
      </w:r>
      <w:r w:rsidR="00DD07A4" w:rsidRPr="00DD07A4">
        <w:rPr>
          <w:rFonts w:ascii="Tahoma" w:hAnsi="Tahoma" w:cs="Tahoma"/>
          <w:sz w:val="19"/>
          <w:szCs w:val="19"/>
        </w:rPr>
        <w:t>ações do Banco do Nordeste do Brasil S.A.</w:t>
      </w:r>
      <w:r w:rsidR="00DD07A4">
        <w:rPr>
          <w:rFonts w:ascii="Tahoma" w:hAnsi="Tahoma" w:cs="Tahoma"/>
          <w:sz w:val="19"/>
          <w:szCs w:val="19"/>
        </w:rPr>
        <w:t xml:space="preserve"> </w:t>
      </w:r>
      <w:r w:rsidR="00DD07A4" w:rsidRPr="00DD07A4">
        <w:rPr>
          <w:rFonts w:ascii="Tahoma" w:hAnsi="Tahoma" w:cs="Tahoma"/>
          <w:sz w:val="19"/>
          <w:szCs w:val="19"/>
        </w:rPr>
        <w:t>– BNB (BNBR3), uma participação de 1,68%,</w:t>
      </w:r>
      <w:r w:rsidR="00DD07A4">
        <w:rPr>
          <w:rFonts w:ascii="Tahoma" w:hAnsi="Tahoma" w:cs="Tahoma"/>
          <w:sz w:val="19"/>
          <w:szCs w:val="19"/>
        </w:rPr>
        <w:t xml:space="preserve"> </w:t>
      </w:r>
      <w:r w:rsidR="00DD07A4" w:rsidRPr="00DD07A4">
        <w:rPr>
          <w:rFonts w:ascii="Tahoma" w:hAnsi="Tahoma" w:cs="Tahoma"/>
          <w:sz w:val="19"/>
          <w:szCs w:val="19"/>
        </w:rPr>
        <w:t>e 32.316.006 ações da Telecomunicações</w:t>
      </w:r>
      <w:r w:rsidR="00DD07A4">
        <w:rPr>
          <w:rFonts w:ascii="Tahoma" w:hAnsi="Tahoma" w:cs="Tahoma"/>
          <w:sz w:val="19"/>
          <w:szCs w:val="19"/>
        </w:rPr>
        <w:t xml:space="preserve"> </w:t>
      </w:r>
      <w:r w:rsidR="00DD07A4" w:rsidRPr="00DD07A4">
        <w:rPr>
          <w:rFonts w:ascii="Tahoma" w:hAnsi="Tahoma" w:cs="Tahoma"/>
          <w:sz w:val="19"/>
          <w:szCs w:val="19"/>
        </w:rPr>
        <w:t>Brasileiras S.A - Telebrás (TELB3). Estas</w:t>
      </w:r>
      <w:r w:rsidR="00DD07A4">
        <w:rPr>
          <w:rFonts w:ascii="Tahoma" w:hAnsi="Tahoma" w:cs="Tahoma"/>
          <w:sz w:val="19"/>
          <w:szCs w:val="19"/>
        </w:rPr>
        <w:t xml:space="preserve"> </w:t>
      </w:r>
      <w:r w:rsidR="00DD07A4" w:rsidRPr="00DD07A4">
        <w:rPr>
          <w:rFonts w:ascii="Tahoma" w:hAnsi="Tahoma" w:cs="Tahoma"/>
          <w:sz w:val="19"/>
          <w:szCs w:val="19"/>
        </w:rPr>
        <w:t>passaram a corresponder a 3.231.601 ações</w:t>
      </w:r>
      <w:r w:rsidR="00DD07A4">
        <w:rPr>
          <w:rFonts w:ascii="Tahoma" w:hAnsi="Tahoma" w:cs="Tahoma"/>
          <w:sz w:val="19"/>
          <w:szCs w:val="19"/>
        </w:rPr>
        <w:t xml:space="preserve"> </w:t>
      </w:r>
      <w:r w:rsidR="00DD07A4" w:rsidRPr="00DD07A4">
        <w:rPr>
          <w:rFonts w:ascii="Tahoma" w:hAnsi="Tahoma" w:cs="Tahoma"/>
          <w:sz w:val="19"/>
          <w:szCs w:val="19"/>
        </w:rPr>
        <w:t>após o grupamento realizado em 2016,</w:t>
      </w:r>
      <w:r w:rsidR="00DD07A4">
        <w:rPr>
          <w:rFonts w:ascii="Tahoma" w:hAnsi="Tahoma" w:cs="Tahoma"/>
          <w:sz w:val="19"/>
          <w:szCs w:val="19"/>
        </w:rPr>
        <w:t xml:space="preserve"> </w:t>
      </w:r>
      <w:r w:rsidR="00DD07A4" w:rsidRPr="00DD07A4">
        <w:rPr>
          <w:rFonts w:ascii="Tahoma" w:hAnsi="Tahoma" w:cs="Tahoma"/>
          <w:sz w:val="19"/>
          <w:szCs w:val="19"/>
        </w:rPr>
        <w:t xml:space="preserve">representando uma participação de </w:t>
      </w:r>
      <w:r w:rsidR="00D81226">
        <w:rPr>
          <w:rFonts w:ascii="Tahoma" w:hAnsi="Tahoma" w:cs="Tahoma"/>
          <w:sz w:val="19"/>
          <w:szCs w:val="19"/>
        </w:rPr>
        <w:t>3,74</w:t>
      </w:r>
      <w:r w:rsidR="00DD07A4" w:rsidRPr="00DD07A4">
        <w:rPr>
          <w:rFonts w:ascii="Tahoma" w:hAnsi="Tahoma" w:cs="Tahoma"/>
          <w:sz w:val="19"/>
          <w:szCs w:val="19"/>
        </w:rPr>
        <w:t>%.</w:t>
      </w:r>
      <w:r w:rsidR="00DD07A4">
        <w:rPr>
          <w:rFonts w:ascii="Tahoma" w:hAnsi="Tahoma" w:cs="Tahoma"/>
          <w:sz w:val="19"/>
          <w:szCs w:val="19"/>
        </w:rPr>
        <w:t xml:space="preserve"> </w:t>
      </w:r>
      <w:r w:rsidR="00DD07A4" w:rsidRPr="00DD07A4">
        <w:rPr>
          <w:rFonts w:ascii="Tahoma" w:hAnsi="Tahoma" w:cs="Tahoma"/>
          <w:sz w:val="19"/>
          <w:szCs w:val="19"/>
        </w:rPr>
        <w:t>Essas ações foram transferidas à Finep, por</w:t>
      </w:r>
      <w:r w:rsidR="00DD07A4">
        <w:rPr>
          <w:rFonts w:ascii="Tahoma" w:hAnsi="Tahoma" w:cs="Tahoma"/>
          <w:sz w:val="19"/>
          <w:szCs w:val="19"/>
        </w:rPr>
        <w:t xml:space="preserve"> </w:t>
      </w:r>
      <w:r w:rsidR="00DD07A4" w:rsidRPr="00DD07A4">
        <w:rPr>
          <w:rFonts w:ascii="Tahoma" w:hAnsi="Tahoma" w:cs="Tahoma"/>
          <w:sz w:val="19"/>
          <w:szCs w:val="19"/>
        </w:rPr>
        <w:t>meio da Portaria nº 603, de 24 de dezembro</w:t>
      </w:r>
      <w:r w:rsidR="00DD07A4">
        <w:rPr>
          <w:rFonts w:ascii="Tahoma" w:hAnsi="Tahoma" w:cs="Tahoma"/>
          <w:sz w:val="19"/>
          <w:szCs w:val="19"/>
        </w:rPr>
        <w:t xml:space="preserve"> </w:t>
      </w:r>
      <w:r w:rsidR="00DD07A4" w:rsidRPr="00DD07A4">
        <w:rPr>
          <w:rFonts w:ascii="Tahoma" w:hAnsi="Tahoma" w:cs="Tahoma"/>
          <w:sz w:val="19"/>
          <w:szCs w:val="19"/>
        </w:rPr>
        <w:t>de 2013 do ministro da Fazenda, para fins de</w:t>
      </w:r>
      <w:r w:rsidR="00DD07A4">
        <w:rPr>
          <w:rFonts w:ascii="Tahoma" w:hAnsi="Tahoma" w:cs="Tahoma"/>
          <w:sz w:val="19"/>
          <w:szCs w:val="19"/>
        </w:rPr>
        <w:t xml:space="preserve"> </w:t>
      </w:r>
      <w:r w:rsidR="00DD07A4" w:rsidRPr="00DD07A4">
        <w:rPr>
          <w:rFonts w:ascii="Tahoma" w:hAnsi="Tahoma" w:cs="Tahoma"/>
          <w:sz w:val="19"/>
          <w:szCs w:val="19"/>
        </w:rPr>
        <w:t>capitalização da empresa</w:t>
      </w:r>
      <w:r w:rsidR="00DD07A4">
        <w:rPr>
          <w:rFonts w:ascii="Tahoma" w:hAnsi="Tahoma" w:cs="Tahoma"/>
          <w:sz w:val="19"/>
          <w:szCs w:val="19"/>
        </w:rPr>
        <w:t>.</w:t>
      </w:r>
    </w:p>
    <w:p w14:paraId="09BA5F6D" w14:textId="41C63152" w:rsidR="00585B03" w:rsidRPr="00640044" w:rsidRDefault="0057636F" w:rsidP="00585B03">
      <w:pPr>
        <w:pStyle w:val="Ttulo2"/>
        <w:spacing w:before="0" w:after="120" w:line="360" w:lineRule="auto"/>
        <w:ind w:left="862" w:hanging="578"/>
        <w:rPr>
          <w:rFonts w:ascii="Tahoma" w:hAnsi="Tahoma" w:cs="Tahoma"/>
          <w:color w:val="0098BA"/>
          <w:sz w:val="24"/>
          <w:szCs w:val="24"/>
        </w:rPr>
      </w:pPr>
      <w:bookmarkStart w:id="31" w:name="_Toc163025244"/>
      <w:bookmarkStart w:id="32" w:name="_Toc162512581"/>
      <w:r w:rsidRPr="00640044">
        <w:rPr>
          <w:rFonts w:ascii="Tahoma" w:hAnsi="Tahoma" w:cs="Tahoma"/>
          <w:color w:val="0098BA"/>
          <w:sz w:val="24"/>
          <w:szCs w:val="24"/>
        </w:rPr>
        <w:lastRenderedPageBreak/>
        <w:t>M</w:t>
      </w:r>
      <w:r w:rsidR="00D2268E" w:rsidRPr="00640044">
        <w:rPr>
          <w:rFonts w:ascii="Tahoma" w:hAnsi="Tahoma" w:cs="Tahoma"/>
          <w:color w:val="0098BA"/>
          <w:sz w:val="24"/>
          <w:szCs w:val="24"/>
        </w:rPr>
        <w:t>odelo de negócios</w:t>
      </w:r>
      <w:bookmarkEnd w:id="31"/>
      <w:bookmarkEnd w:id="32"/>
    </w:p>
    <w:p w14:paraId="26DFE636" w14:textId="53C4C4BC" w:rsidR="00643E06" w:rsidRPr="00640044" w:rsidRDefault="00750599" w:rsidP="001B204C">
      <w:pPr>
        <w:tabs>
          <w:tab w:val="left" w:pos="426"/>
        </w:tabs>
        <w:spacing w:before="120" w:after="120" w:line="360" w:lineRule="auto"/>
        <w:rPr>
          <w:rFonts w:ascii="Tahoma" w:hAnsi="Tahoma" w:cs="Tahoma"/>
          <w:sz w:val="19"/>
          <w:szCs w:val="19"/>
        </w:rPr>
      </w:pPr>
      <w:r w:rsidRPr="00640044">
        <w:rPr>
          <w:rFonts w:ascii="Tahoma" w:hAnsi="Tahoma" w:cs="Tahoma"/>
          <w:sz w:val="19"/>
          <w:szCs w:val="19"/>
        </w:rPr>
        <w:t xml:space="preserve">O modelo de negócios </w:t>
      </w:r>
      <w:r w:rsidR="00AC10BE" w:rsidRPr="00640044">
        <w:rPr>
          <w:rFonts w:ascii="Tahoma" w:hAnsi="Tahoma" w:cs="Tahoma"/>
          <w:sz w:val="19"/>
          <w:szCs w:val="19"/>
        </w:rPr>
        <w:t xml:space="preserve">é uma representação </w:t>
      </w:r>
      <w:r w:rsidR="003D7037" w:rsidRPr="00640044">
        <w:rPr>
          <w:rFonts w:ascii="Tahoma" w:hAnsi="Tahoma" w:cs="Tahoma"/>
          <w:sz w:val="19"/>
          <w:szCs w:val="19"/>
        </w:rPr>
        <w:t xml:space="preserve">simplificada </w:t>
      </w:r>
      <w:r w:rsidR="00AC10BE" w:rsidRPr="00640044">
        <w:rPr>
          <w:rFonts w:ascii="Tahoma" w:hAnsi="Tahoma" w:cs="Tahoma"/>
          <w:sz w:val="19"/>
          <w:szCs w:val="19"/>
        </w:rPr>
        <w:t xml:space="preserve">do </w:t>
      </w:r>
      <w:r w:rsidR="00BF1374" w:rsidRPr="00640044">
        <w:rPr>
          <w:rFonts w:ascii="Tahoma" w:hAnsi="Tahoma" w:cs="Tahoma"/>
          <w:sz w:val="19"/>
          <w:szCs w:val="19"/>
        </w:rPr>
        <w:t xml:space="preserve">ambiente estratégico </w:t>
      </w:r>
      <w:r w:rsidR="001B204C" w:rsidRPr="00640044">
        <w:rPr>
          <w:rFonts w:ascii="Tahoma" w:hAnsi="Tahoma" w:cs="Tahoma"/>
          <w:sz w:val="19"/>
          <w:szCs w:val="19"/>
        </w:rPr>
        <w:t>de uma empresa</w:t>
      </w:r>
      <w:r w:rsidR="00BF1374" w:rsidRPr="00640044">
        <w:rPr>
          <w:rFonts w:ascii="Tahoma" w:hAnsi="Tahoma" w:cs="Tahoma"/>
          <w:sz w:val="19"/>
          <w:szCs w:val="19"/>
        </w:rPr>
        <w:t xml:space="preserve"> e do </w:t>
      </w:r>
      <w:r w:rsidR="00AC10BE" w:rsidRPr="00640044">
        <w:rPr>
          <w:rFonts w:ascii="Tahoma" w:hAnsi="Tahoma" w:cs="Tahoma"/>
          <w:sz w:val="19"/>
          <w:szCs w:val="19"/>
        </w:rPr>
        <w:t xml:space="preserve">sistema de transformação de insumos em </w:t>
      </w:r>
      <w:r w:rsidR="003D7037" w:rsidRPr="00640044">
        <w:rPr>
          <w:rFonts w:ascii="Tahoma" w:hAnsi="Tahoma" w:cs="Tahoma"/>
          <w:sz w:val="19"/>
          <w:szCs w:val="19"/>
        </w:rPr>
        <w:t>resultados</w:t>
      </w:r>
      <w:r w:rsidR="00643E06" w:rsidRPr="00640044">
        <w:rPr>
          <w:rFonts w:ascii="Tahoma" w:hAnsi="Tahoma" w:cs="Tahoma"/>
          <w:sz w:val="19"/>
          <w:szCs w:val="19"/>
        </w:rPr>
        <w:t xml:space="preserve"> esperados (finalidades) e em valor para a própria empresa e para a sociedade.</w:t>
      </w:r>
    </w:p>
    <w:p w14:paraId="2C696766" w14:textId="446D56B2" w:rsidR="00643E06" w:rsidRPr="00640044" w:rsidRDefault="00643E06" w:rsidP="00254F4A">
      <w:pPr>
        <w:tabs>
          <w:tab w:val="left" w:pos="426"/>
        </w:tabs>
        <w:spacing w:before="120" w:after="120" w:line="360" w:lineRule="auto"/>
        <w:rPr>
          <w:rFonts w:ascii="Tahoma" w:hAnsi="Tahoma" w:cs="Tahoma"/>
          <w:sz w:val="19"/>
          <w:szCs w:val="19"/>
        </w:rPr>
      </w:pPr>
      <w:r w:rsidRPr="00640044">
        <w:rPr>
          <w:rFonts w:ascii="Tahoma" w:hAnsi="Tahoma" w:cs="Tahoma"/>
          <w:sz w:val="19"/>
          <w:szCs w:val="19"/>
        </w:rPr>
        <w:t>N</w:t>
      </w:r>
      <w:r w:rsidR="00750599" w:rsidRPr="00640044">
        <w:rPr>
          <w:rFonts w:ascii="Tahoma" w:hAnsi="Tahoma" w:cs="Tahoma"/>
          <w:sz w:val="19"/>
          <w:szCs w:val="19"/>
        </w:rPr>
        <w:t xml:space="preserve">osso modelo de negócios </w:t>
      </w:r>
      <w:r w:rsidRPr="00640044">
        <w:rPr>
          <w:rFonts w:ascii="Tahoma" w:hAnsi="Tahoma" w:cs="Tahoma"/>
          <w:sz w:val="19"/>
          <w:szCs w:val="19"/>
        </w:rPr>
        <w:t>está organizado em tor</w:t>
      </w:r>
      <w:r w:rsidR="00750599" w:rsidRPr="00640044">
        <w:rPr>
          <w:rFonts w:ascii="Tahoma" w:hAnsi="Tahoma" w:cs="Tahoma"/>
          <w:sz w:val="19"/>
          <w:szCs w:val="19"/>
        </w:rPr>
        <w:t xml:space="preserve">no de três </w:t>
      </w:r>
      <w:r w:rsidR="007B7C89" w:rsidRPr="00640044">
        <w:rPr>
          <w:rFonts w:ascii="Tahoma" w:hAnsi="Tahoma" w:cs="Tahoma"/>
          <w:sz w:val="19"/>
          <w:szCs w:val="19"/>
        </w:rPr>
        <w:t>espaços de atuação</w:t>
      </w:r>
      <w:r w:rsidR="001B204C" w:rsidRPr="00640044">
        <w:rPr>
          <w:rFonts w:ascii="Tahoma" w:hAnsi="Tahoma" w:cs="Tahoma"/>
          <w:sz w:val="19"/>
          <w:szCs w:val="19"/>
        </w:rPr>
        <w:t xml:space="preserve"> </w:t>
      </w:r>
      <w:r w:rsidR="00750599" w:rsidRPr="00640044">
        <w:rPr>
          <w:rFonts w:ascii="Tahoma" w:hAnsi="Tahoma" w:cs="Tahoma"/>
          <w:sz w:val="19"/>
          <w:szCs w:val="19"/>
        </w:rPr>
        <w:t>complementares</w:t>
      </w:r>
      <w:r w:rsidR="001B204C" w:rsidRPr="00640044">
        <w:rPr>
          <w:rFonts w:ascii="Tahoma" w:hAnsi="Tahoma" w:cs="Tahoma"/>
          <w:sz w:val="19"/>
          <w:szCs w:val="19"/>
        </w:rPr>
        <w:t>, que funcionam como eixos para nossa atuação</w:t>
      </w:r>
      <w:r w:rsidR="00750599" w:rsidRPr="00640044">
        <w:rPr>
          <w:rFonts w:ascii="Tahoma" w:hAnsi="Tahoma" w:cs="Tahoma"/>
          <w:sz w:val="19"/>
          <w:szCs w:val="19"/>
        </w:rPr>
        <w:t xml:space="preserve">: </w:t>
      </w:r>
      <w:r w:rsidRPr="00640044">
        <w:rPr>
          <w:rFonts w:ascii="Tahoma" w:hAnsi="Tahoma" w:cs="Tahoma"/>
          <w:sz w:val="19"/>
          <w:szCs w:val="19"/>
        </w:rPr>
        <w:t>Ciência e Tecnologia; Pesquisa, Desenvolvimento e Inovação; e Empreendedorismo Inovador</w:t>
      </w:r>
      <w:r w:rsidR="001B204C" w:rsidRPr="00640044">
        <w:rPr>
          <w:rFonts w:ascii="Tahoma" w:hAnsi="Tahoma" w:cs="Tahoma"/>
          <w:sz w:val="19"/>
          <w:szCs w:val="19"/>
        </w:rPr>
        <w:t xml:space="preserve">. Os </w:t>
      </w:r>
      <w:r w:rsidRPr="00640044">
        <w:rPr>
          <w:rFonts w:ascii="Tahoma" w:hAnsi="Tahoma" w:cs="Tahoma"/>
          <w:sz w:val="19"/>
          <w:szCs w:val="19"/>
        </w:rPr>
        <w:t xml:space="preserve">resultados </w:t>
      </w:r>
      <w:r w:rsidR="001B204C" w:rsidRPr="00640044">
        <w:rPr>
          <w:rFonts w:ascii="Tahoma" w:hAnsi="Tahoma" w:cs="Tahoma"/>
          <w:sz w:val="19"/>
          <w:szCs w:val="19"/>
        </w:rPr>
        <w:t>esperados</w:t>
      </w:r>
      <w:r w:rsidR="00A0136A" w:rsidRPr="00640044">
        <w:rPr>
          <w:rFonts w:ascii="Tahoma" w:hAnsi="Tahoma" w:cs="Tahoma"/>
          <w:sz w:val="19"/>
          <w:szCs w:val="19"/>
        </w:rPr>
        <w:t xml:space="preserve"> de nossa atuação</w:t>
      </w:r>
      <w:r w:rsidR="007B7C89" w:rsidRPr="00640044">
        <w:rPr>
          <w:rFonts w:ascii="Tahoma" w:hAnsi="Tahoma" w:cs="Tahoma"/>
          <w:sz w:val="19"/>
          <w:szCs w:val="19"/>
        </w:rPr>
        <w:t xml:space="preserve"> </w:t>
      </w:r>
      <w:r w:rsidR="001B204C" w:rsidRPr="00640044">
        <w:rPr>
          <w:rFonts w:ascii="Tahoma" w:hAnsi="Tahoma" w:cs="Tahoma"/>
          <w:sz w:val="19"/>
          <w:szCs w:val="19"/>
        </w:rPr>
        <w:t>são o</w:t>
      </w:r>
      <w:r w:rsidR="00B82454" w:rsidRPr="00640044">
        <w:rPr>
          <w:rFonts w:ascii="Tahoma" w:hAnsi="Tahoma" w:cs="Tahoma"/>
          <w:sz w:val="19"/>
          <w:szCs w:val="19"/>
        </w:rPr>
        <w:t xml:space="preserve"> fortalecimento da infraestrutura e da pesquisa científica e tecnológica e o estímulo </w:t>
      </w:r>
      <w:r w:rsidR="00BF1374" w:rsidRPr="00640044">
        <w:rPr>
          <w:rFonts w:ascii="Tahoma" w:hAnsi="Tahoma" w:cs="Tahoma"/>
          <w:sz w:val="19"/>
          <w:szCs w:val="19"/>
        </w:rPr>
        <w:t>à inovação</w:t>
      </w:r>
      <w:r w:rsidR="001B204C" w:rsidRPr="00640044">
        <w:rPr>
          <w:rFonts w:ascii="Tahoma" w:hAnsi="Tahoma" w:cs="Tahoma"/>
          <w:sz w:val="19"/>
          <w:szCs w:val="19"/>
        </w:rPr>
        <w:t>, na forma de</w:t>
      </w:r>
      <w:r w:rsidR="00BA42CC" w:rsidRPr="00640044">
        <w:rPr>
          <w:rFonts w:ascii="Tahoma" w:hAnsi="Tahoma" w:cs="Tahoma"/>
          <w:sz w:val="19"/>
          <w:szCs w:val="19"/>
        </w:rPr>
        <w:t xml:space="preserve"> apoio a</w:t>
      </w:r>
      <w:r w:rsidR="007B7C89" w:rsidRPr="00640044">
        <w:rPr>
          <w:rFonts w:ascii="Tahoma" w:hAnsi="Tahoma" w:cs="Tahoma"/>
          <w:sz w:val="19"/>
          <w:szCs w:val="19"/>
        </w:rPr>
        <w:t>o desenvolvimento de</w:t>
      </w:r>
      <w:r w:rsidR="001B204C" w:rsidRPr="00640044">
        <w:rPr>
          <w:rFonts w:ascii="Tahoma" w:hAnsi="Tahoma" w:cs="Tahoma"/>
          <w:sz w:val="19"/>
          <w:szCs w:val="19"/>
        </w:rPr>
        <w:t xml:space="preserve"> novos produtos, processos e serviços</w:t>
      </w:r>
      <w:r w:rsidR="007B7C89" w:rsidRPr="00640044">
        <w:rPr>
          <w:rFonts w:ascii="Tahoma" w:hAnsi="Tahoma" w:cs="Tahoma"/>
          <w:sz w:val="19"/>
          <w:szCs w:val="19"/>
        </w:rPr>
        <w:t xml:space="preserve"> pelas empresas apoiadas.</w:t>
      </w:r>
    </w:p>
    <w:p w14:paraId="1742BF36" w14:textId="21C3EF12" w:rsidR="00750599" w:rsidRPr="00640044" w:rsidRDefault="00BF1374" w:rsidP="001B204C">
      <w:pPr>
        <w:tabs>
          <w:tab w:val="left" w:pos="426"/>
        </w:tabs>
        <w:spacing w:before="120" w:after="120" w:line="360" w:lineRule="auto"/>
        <w:rPr>
          <w:rFonts w:ascii="Tahoma" w:hAnsi="Tahoma" w:cs="Tahoma"/>
          <w:sz w:val="19"/>
          <w:szCs w:val="19"/>
        </w:rPr>
      </w:pPr>
      <w:r w:rsidRPr="00640044">
        <w:rPr>
          <w:rFonts w:ascii="Tahoma" w:hAnsi="Tahoma" w:cs="Tahoma"/>
          <w:sz w:val="19"/>
          <w:szCs w:val="19"/>
        </w:rPr>
        <w:t xml:space="preserve">Essa imagem </w:t>
      </w:r>
      <w:r w:rsidR="00750599" w:rsidRPr="00640044">
        <w:rPr>
          <w:rFonts w:ascii="Tahoma" w:hAnsi="Tahoma" w:cs="Tahoma"/>
          <w:sz w:val="19"/>
          <w:szCs w:val="19"/>
        </w:rPr>
        <w:t>traduz nossa forma de contribuir para o fortalecimento da economia e da capacidade nacional de enfrentar desafios atuais e futuros.</w:t>
      </w:r>
    </w:p>
    <w:p w14:paraId="123F6B00" w14:textId="77777777" w:rsidR="00750599" w:rsidRPr="00F9760D" w:rsidRDefault="00750599" w:rsidP="00750599">
      <w:pPr>
        <w:jc w:val="center"/>
        <w:rPr>
          <w:rFonts w:ascii="Tahoma" w:hAnsi="Tahoma" w:cs="Tahoma"/>
          <w:sz w:val="19"/>
          <w:szCs w:val="19"/>
        </w:rPr>
      </w:pPr>
      <w:r>
        <w:rPr>
          <w:noProof/>
        </w:rPr>
        <w:drawing>
          <wp:inline distT="0" distB="0" distL="0" distR="0" wp14:anchorId="4AED3171" wp14:editId="088E9C0A">
            <wp:extent cx="5795009" cy="3470906"/>
            <wp:effectExtent l="0" t="0" r="0" b="0"/>
            <wp:docPr id="1279347356" name="Imagem 2" descr="Linha do tempo&#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95009" cy="3470906"/>
                    </a:xfrm>
                    <a:prstGeom prst="rect">
                      <a:avLst/>
                    </a:prstGeom>
                    <a:noFill/>
                    <a:ln>
                      <a:noFill/>
                      <a:prstDash/>
                    </a:ln>
                  </pic:spPr>
                </pic:pic>
              </a:graphicData>
            </a:graphic>
          </wp:inline>
        </w:drawing>
      </w:r>
    </w:p>
    <w:p w14:paraId="558446DF" w14:textId="31EC0ACD" w:rsidR="001B204C" w:rsidRPr="00F9760D" w:rsidRDefault="001B204C" w:rsidP="00750599">
      <w:pPr>
        <w:jc w:val="center"/>
        <w:rPr>
          <w:rFonts w:ascii="Tahoma" w:hAnsi="Tahoma" w:cs="Tahoma"/>
          <w:sz w:val="19"/>
          <w:szCs w:val="19"/>
        </w:rPr>
      </w:pPr>
    </w:p>
    <w:p w14:paraId="72090C24" w14:textId="47671B36" w:rsidR="001B204C" w:rsidRPr="00F9760D" w:rsidRDefault="00413454" w:rsidP="001B204C">
      <w:pPr>
        <w:spacing w:before="120" w:after="120" w:line="360" w:lineRule="auto"/>
        <w:rPr>
          <w:rFonts w:ascii="Tahoma" w:hAnsi="Tahoma" w:cs="Tahoma"/>
          <w:sz w:val="19"/>
          <w:szCs w:val="19"/>
        </w:rPr>
      </w:pPr>
      <w:r w:rsidRPr="00F9760D">
        <w:rPr>
          <w:rFonts w:ascii="Tahoma" w:hAnsi="Tahoma" w:cs="Tahoma"/>
          <w:noProof/>
          <w:sz w:val="19"/>
          <w:szCs w:val="19"/>
        </w:rPr>
        <mc:AlternateContent>
          <mc:Choice Requires="wps">
            <w:drawing>
              <wp:anchor distT="0" distB="0" distL="114300" distR="114300" simplePos="0" relativeHeight="251768832" behindDoc="0" locked="0" layoutInCell="1" allowOverlap="1" wp14:anchorId="703154E9" wp14:editId="0B7100D9">
                <wp:simplePos x="0" y="0"/>
                <wp:positionH relativeFrom="column">
                  <wp:posOffset>331013</wp:posOffset>
                </wp:positionH>
                <wp:positionV relativeFrom="paragraph">
                  <wp:posOffset>27000</wp:posOffset>
                </wp:positionV>
                <wp:extent cx="5505780" cy="1009498"/>
                <wp:effectExtent l="0" t="0" r="0" b="635"/>
                <wp:wrapNone/>
                <wp:docPr id="1861807471" name="Text Box 237"/>
                <wp:cNvGraphicFramePr/>
                <a:graphic xmlns:a="http://schemas.openxmlformats.org/drawingml/2006/main">
                  <a:graphicData uri="http://schemas.microsoft.com/office/word/2010/wordprocessingShape">
                    <wps:wsp>
                      <wps:cNvSpPr txBox="1"/>
                      <wps:spPr>
                        <a:xfrm>
                          <a:off x="0" y="0"/>
                          <a:ext cx="5505780" cy="1009498"/>
                        </a:xfrm>
                        <a:prstGeom prst="rect">
                          <a:avLst/>
                        </a:prstGeom>
                        <a:solidFill>
                          <a:srgbClr val="0098BA">
                            <a:alpha val="25098"/>
                          </a:srgbClr>
                        </a:solidFill>
                        <a:ln w="6345">
                          <a:noFill/>
                          <a:prstDash val="dash"/>
                        </a:ln>
                      </wps:spPr>
                      <wps:txbx>
                        <w:txbxContent>
                          <w:p w14:paraId="73F3B9CC" w14:textId="47A7A919" w:rsidR="0025435E" w:rsidRDefault="0025435E" w:rsidP="0025435E">
                            <w:pPr>
                              <w:jc w:val="right"/>
                              <w:rPr>
                                <w:rFonts w:ascii="Tahoma" w:hAnsi="Tahoma" w:cs="Tahoma"/>
                                <w:sz w:val="16"/>
                                <w:szCs w:val="16"/>
                              </w:rPr>
                            </w:pPr>
                            <w:r w:rsidRPr="00413454">
                              <w:rPr>
                                <w:rFonts w:ascii="Tahoma" w:hAnsi="Tahoma" w:cs="Tahoma"/>
                                <w:sz w:val="16"/>
                                <w:szCs w:val="16"/>
                              </w:rPr>
                              <w:t xml:space="preserve">A análise dos ambientes externo e interno e as diretrizes que orientaram o funcionamento do modelo de negócios da Finep podem ser encontradas </w:t>
                            </w:r>
                            <w:r w:rsidR="00D52B95" w:rsidRPr="00413454">
                              <w:rPr>
                                <w:rFonts w:ascii="Tahoma" w:hAnsi="Tahoma" w:cs="Tahoma"/>
                                <w:sz w:val="16"/>
                                <w:szCs w:val="16"/>
                              </w:rPr>
                              <w:t xml:space="preserve">no </w:t>
                            </w:r>
                            <w:hyperlink r:id="rId46" w:history="1">
                              <w:r w:rsidR="00D52B95" w:rsidRPr="00413454">
                                <w:rPr>
                                  <w:rStyle w:val="Hyperlink"/>
                                  <w:rFonts w:ascii="Tahoma" w:hAnsi="Tahoma" w:cs="Tahoma"/>
                                  <w:sz w:val="16"/>
                                  <w:szCs w:val="16"/>
                                </w:rPr>
                                <w:t>Relatório da Administração</w:t>
                              </w:r>
                            </w:hyperlink>
                            <w:r w:rsidR="00D52B95" w:rsidRPr="00413454">
                              <w:rPr>
                                <w:rFonts w:ascii="Tahoma" w:hAnsi="Tahoma" w:cs="Tahoma"/>
                                <w:sz w:val="16"/>
                                <w:szCs w:val="16"/>
                              </w:rPr>
                              <w:t xml:space="preserve"> e </w:t>
                            </w:r>
                            <w:r w:rsidRPr="00413454">
                              <w:rPr>
                                <w:rFonts w:ascii="Tahoma" w:hAnsi="Tahoma" w:cs="Tahoma"/>
                                <w:sz w:val="16"/>
                                <w:szCs w:val="16"/>
                              </w:rPr>
                              <w:t xml:space="preserve">na </w:t>
                            </w:r>
                            <w:hyperlink r:id="rId47" w:history="1">
                              <w:r w:rsidRPr="00413454">
                                <w:rPr>
                                  <w:rStyle w:val="Hyperlink"/>
                                  <w:rFonts w:ascii="Tahoma" w:hAnsi="Tahoma" w:cs="Tahoma"/>
                                  <w:sz w:val="16"/>
                                  <w:szCs w:val="16"/>
                                </w:rPr>
                                <w:t>Estratégia de longo prazo e Plano de Negócios 2023</w:t>
                              </w:r>
                            </w:hyperlink>
                            <w:r w:rsidR="00D52B95" w:rsidRPr="00413454">
                              <w:rPr>
                                <w:rFonts w:ascii="Tahoma" w:hAnsi="Tahoma" w:cs="Tahoma"/>
                                <w:sz w:val="16"/>
                                <w:szCs w:val="16"/>
                              </w:rPr>
                              <w:t>, respectivamente.</w:t>
                            </w:r>
                          </w:p>
                          <w:p w14:paraId="22C52F08" w14:textId="07BCA1B1" w:rsidR="00B423DA" w:rsidRDefault="00B423DA" w:rsidP="0025435E">
                            <w:pPr>
                              <w:jc w:val="right"/>
                              <w:rPr>
                                <w:rFonts w:ascii="Tahoma" w:hAnsi="Tahoma" w:cs="Tahoma"/>
                                <w:sz w:val="16"/>
                                <w:szCs w:val="16"/>
                              </w:rPr>
                            </w:pPr>
                            <w:r>
                              <w:rPr>
                                <w:rFonts w:ascii="Tahoma" w:hAnsi="Tahoma" w:cs="Tahoma"/>
                                <w:sz w:val="16"/>
                                <w:szCs w:val="16"/>
                              </w:rPr>
                              <w:t>As diretrizes para a atuação futura da Finep</w:t>
                            </w:r>
                            <w:r w:rsidR="00B32744">
                              <w:rPr>
                                <w:rFonts w:ascii="Tahoma" w:hAnsi="Tahoma" w:cs="Tahoma"/>
                                <w:sz w:val="16"/>
                                <w:szCs w:val="16"/>
                              </w:rPr>
                              <w:t>, que têm implicações para o funcionamento da empresa e seus resultados</w:t>
                            </w:r>
                            <w:r>
                              <w:rPr>
                                <w:rFonts w:ascii="Tahoma" w:hAnsi="Tahoma" w:cs="Tahoma"/>
                                <w:sz w:val="16"/>
                                <w:szCs w:val="16"/>
                              </w:rPr>
                              <w:t xml:space="preserve">, com indicação dos principais incertezas e desafios e a serem enfrentados, fazem parte do conteúdo da Estratégia de Longo Prazo 2024-2028 e podem ser acessadas na Cartilha da ELPPN, publicada no site em </w:t>
                            </w:r>
                            <w:hyperlink r:id="rId48" w:history="1">
                              <w:r w:rsidRPr="00E7794C">
                                <w:rPr>
                                  <w:rStyle w:val="Hyperlink"/>
                                  <w:rFonts w:ascii="Tahoma" w:hAnsi="Tahoma" w:cs="Tahoma"/>
                                  <w:sz w:val="16"/>
                                  <w:szCs w:val="16"/>
                                </w:rPr>
                                <w:t>http://www.finep.gov.br/transparencia-finep/objetivos-metas-e-resultados</w:t>
                              </w:r>
                            </w:hyperlink>
                            <w:r>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703154E9" id="_x0000_s1029" type="#_x0000_t202" style="position:absolute;margin-left:26.05pt;margin-top:2.15pt;width:433.55pt;height:7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" fillcolor="#0098ba" stroked="f" strokeweight=".17625mm">
                <v:fill opacity="16448f"/>
                <v:stroke dashstyle="dash"/>
                <v:textbox>
                  <w:txbxContent>
                    <w:p w14:paraId="73F3B9CC" w14:textId="47A7A919" w:rsidR="0025435E" w:rsidRDefault="0025435E" w:rsidP="0025435E">
                      <w:pPr>
                        <w:jc w:val="right"/>
                        <w:rPr>
                          <w:rFonts w:ascii="Tahoma" w:hAnsi="Tahoma" w:cs="Tahoma"/>
                          <w:sz w:val="16"/>
                          <w:szCs w:val="16"/>
                        </w:rPr>
                      </w:pPr>
                      <w:r w:rsidRPr="00413454">
                        <w:rPr>
                          <w:rFonts w:ascii="Tahoma" w:hAnsi="Tahoma" w:cs="Tahoma"/>
                          <w:sz w:val="16"/>
                          <w:szCs w:val="16"/>
                        </w:rPr>
                        <w:t xml:space="preserve">A análise dos ambientes externo e interno e as diretrizes que orientaram o funcionamento do modelo de negócios da Finep podem ser encontradas </w:t>
                      </w:r>
                      <w:r w:rsidR="00D52B95" w:rsidRPr="00413454">
                        <w:rPr>
                          <w:rFonts w:ascii="Tahoma" w:hAnsi="Tahoma" w:cs="Tahoma"/>
                          <w:sz w:val="16"/>
                          <w:szCs w:val="16"/>
                        </w:rPr>
                        <w:t xml:space="preserve">no </w:t>
                      </w:r>
                      <w:hyperlink r:id="rId49" w:history="1">
                        <w:r w:rsidR="00D52B95" w:rsidRPr="00413454">
                          <w:rPr>
                            <w:rStyle w:val="Hyperlink"/>
                            <w:rFonts w:ascii="Tahoma" w:hAnsi="Tahoma" w:cs="Tahoma"/>
                            <w:sz w:val="16"/>
                            <w:szCs w:val="16"/>
                          </w:rPr>
                          <w:t>Relatório da Administração</w:t>
                        </w:r>
                      </w:hyperlink>
                      <w:r w:rsidR="00D52B95" w:rsidRPr="00413454">
                        <w:rPr>
                          <w:rFonts w:ascii="Tahoma" w:hAnsi="Tahoma" w:cs="Tahoma"/>
                          <w:sz w:val="16"/>
                          <w:szCs w:val="16"/>
                        </w:rPr>
                        <w:t xml:space="preserve"> e </w:t>
                      </w:r>
                      <w:r w:rsidRPr="00413454">
                        <w:rPr>
                          <w:rFonts w:ascii="Tahoma" w:hAnsi="Tahoma" w:cs="Tahoma"/>
                          <w:sz w:val="16"/>
                          <w:szCs w:val="16"/>
                        </w:rPr>
                        <w:t xml:space="preserve">na </w:t>
                      </w:r>
                      <w:hyperlink r:id="rId50" w:history="1">
                        <w:r w:rsidRPr="00413454">
                          <w:rPr>
                            <w:rStyle w:val="Hyperlink"/>
                            <w:rFonts w:ascii="Tahoma" w:hAnsi="Tahoma" w:cs="Tahoma"/>
                            <w:sz w:val="16"/>
                            <w:szCs w:val="16"/>
                          </w:rPr>
                          <w:t>Estratégia de longo prazo e Plano de Negócios 2023</w:t>
                        </w:r>
                      </w:hyperlink>
                      <w:r w:rsidR="00D52B95" w:rsidRPr="00413454">
                        <w:rPr>
                          <w:rFonts w:ascii="Tahoma" w:hAnsi="Tahoma" w:cs="Tahoma"/>
                          <w:sz w:val="16"/>
                          <w:szCs w:val="16"/>
                        </w:rPr>
                        <w:t>, respectivamente.</w:t>
                      </w:r>
                    </w:p>
                    <w:p w14:paraId="22C52F08" w14:textId="07BCA1B1" w:rsidR="00B423DA" w:rsidRDefault="00B423DA" w:rsidP="0025435E">
                      <w:pPr>
                        <w:jc w:val="right"/>
                        <w:rPr>
                          <w:rFonts w:ascii="Tahoma" w:hAnsi="Tahoma" w:cs="Tahoma"/>
                          <w:sz w:val="16"/>
                          <w:szCs w:val="16"/>
                        </w:rPr>
                      </w:pPr>
                      <w:r>
                        <w:rPr>
                          <w:rFonts w:ascii="Tahoma" w:hAnsi="Tahoma" w:cs="Tahoma"/>
                          <w:sz w:val="16"/>
                          <w:szCs w:val="16"/>
                        </w:rPr>
                        <w:t>As diretrizes para a atuação futura da Finep</w:t>
                      </w:r>
                      <w:r w:rsidR="00B32744">
                        <w:rPr>
                          <w:rFonts w:ascii="Tahoma" w:hAnsi="Tahoma" w:cs="Tahoma"/>
                          <w:sz w:val="16"/>
                          <w:szCs w:val="16"/>
                        </w:rPr>
                        <w:t>, que têm implicações para o funcionamento da empresa e seus resultados</w:t>
                      </w:r>
                      <w:r>
                        <w:rPr>
                          <w:rFonts w:ascii="Tahoma" w:hAnsi="Tahoma" w:cs="Tahoma"/>
                          <w:sz w:val="16"/>
                          <w:szCs w:val="16"/>
                        </w:rPr>
                        <w:t xml:space="preserve">, com indicação dos principais incertezas e desafios e a serem enfrentados, fazem parte do conteúdo da Estratégia de Longo Prazo 2024-2028 e podem ser acessadas na Cartilha da ELPPN, publicada no site em </w:t>
                      </w:r>
                      <w:hyperlink r:id="rId51" w:history="1">
                        <w:r w:rsidRPr="00E7794C">
                          <w:rPr>
                            <w:rStyle w:val="Hyperlink"/>
                            <w:rFonts w:ascii="Tahoma" w:hAnsi="Tahoma" w:cs="Tahoma"/>
                            <w:sz w:val="16"/>
                            <w:szCs w:val="16"/>
                          </w:rPr>
                          <w:t>http://www.finep.gov.br/transparencia-finep/objetivos-metas-e-resultados</w:t>
                        </w:r>
                      </w:hyperlink>
                      <w:r>
                        <w:rPr>
                          <w:rFonts w:ascii="Tahoma" w:hAnsi="Tahoma" w:cs="Tahoma"/>
                          <w:sz w:val="16"/>
                          <w:szCs w:val="16"/>
                        </w:rPr>
                        <w:t>.</w:t>
                      </w:r>
                    </w:p>
                  </w:txbxContent>
                </v:textbox>
              </v:shape>
            </w:pict>
          </mc:Fallback>
        </mc:AlternateContent>
      </w:r>
    </w:p>
    <w:p w14:paraId="1FB9A836" w14:textId="1D61464D" w:rsidR="00750599" w:rsidRDefault="00750599" w:rsidP="00782999">
      <w:pPr>
        <w:spacing w:before="120" w:after="120" w:line="360" w:lineRule="auto"/>
        <w:rPr>
          <w:rFonts w:ascii="Tahoma" w:hAnsi="Tahoma" w:cs="Tahoma"/>
          <w:sz w:val="19"/>
          <w:szCs w:val="19"/>
        </w:rPr>
      </w:pPr>
    </w:p>
    <w:p w14:paraId="0C612A35" w14:textId="77777777" w:rsidR="00B423DA" w:rsidRDefault="00B423DA" w:rsidP="00782999">
      <w:pPr>
        <w:spacing w:before="120" w:after="120" w:line="360" w:lineRule="auto"/>
        <w:rPr>
          <w:rFonts w:ascii="Tahoma" w:hAnsi="Tahoma" w:cs="Tahoma"/>
          <w:sz w:val="19"/>
          <w:szCs w:val="19"/>
        </w:rPr>
      </w:pPr>
    </w:p>
    <w:p w14:paraId="4BDC4AA6" w14:textId="77777777" w:rsidR="00B423DA" w:rsidRPr="00F9760D" w:rsidRDefault="00B423DA" w:rsidP="00782999">
      <w:pPr>
        <w:spacing w:before="120" w:after="120" w:line="360" w:lineRule="auto"/>
        <w:rPr>
          <w:rFonts w:ascii="Tahoma" w:hAnsi="Tahoma" w:cs="Tahoma"/>
          <w:sz w:val="19"/>
          <w:szCs w:val="19"/>
        </w:rPr>
      </w:pPr>
    </w:p>
    <w:p w14:paraId="0FBF0EA1" w14:textId="0A34DBFD" w:rsidR="00A94A6E" w:rsidRPr="00F9760D" w:rsidRDefault="00A94A6E" w:rsidP="00782999">
      <w:pPr>
        <w:spacing w:before="120" w:after="120" w:line="360" w:lineRule="auto"/>
        <w:rPr>
          <w:rFonts w:ascii="Tahoma" w:hAnsi="Tahoma" w:cs="Tahoma"/>
          <w:color w:val="0098BA"/>
          <w:sz w:val="19"/>
          <w:szCs w:val="19"/>
        </w:rPr>
      </w:pPr>
      <w:r w:rsidRPr="00F9760D">
        <w:rPr>
          <w:rFonts w:ascii="Tahoma" w:hAnsi="Tahoma" w:cs="Tahoma"/>
          <w:color w:val="0098BA"/>
          <w:sz w:val="19"/>
          <w:szCs w:val="19"/>
        </w:rPr>
        <w:t>Operação descentralizada</w:t>
      </w:r>
    </w:p>
    <w:p w14:paraId="6C09BB8C" w14:textId="1386DD70" w:rsidR="002B0A3D" w:rsidRPr="00F9760D" w:rsidRDefault="002B0A3D" w:rsidP="00254F4A">
      <w:pPr>
        <w:tabs>
          <w:tab w:val="left" w:pos="426"/>
        </w:tabs>
        <w:spacing w:before="120" w:after="120" w:line="360" w:lineRule="auto"/>
        <w:rPr>
          <w:rFonts w:ascii="Tahoma" w:hAnsi="Tahoma" w:cs="Tahoma"/>
          <w:sz w:val="19"/>
          <w:szCs w:val="19"/>
        </w:rPr>
      </w:pPr>
      <w:r w:rsidRPr="00F9760D">
        <w:rPr>
          <w:rFonts w:ascii="Tahoma" w:hAnsi="Tahoma" w:cs="Tahoma"/>
          <w:sz w:val="19"/>
          <w:szCs w:val="19"/>
        </w:rPr>
        <w:t>Em um país das dimensões do Brasil, a descentralização de recursos permite maior capilaridade e amplia o alcance dos recursos para o fomento à inovação e à competitividade das Micro, Pequenas e Médias Empresas (MPME</w:t>
      </w:r>
      <w:r w:rsidR="002D0DB2">
        <w:rPr>
          <w:rFonts w:ascii="Tahoma" w:hAnsi="Tahoma" w:cs="Tahoma"/>
          <w:sz w:val="19"/>
          <w:szCs w:val="19"/>
        </w:rPr>
        <w:t>s</w:t>
      </w:r>
      <w:r w:rsidRPr="00F9760D">
        <w:rPr>
          <w:rFonts w:ascii="Tahoma" w:hAnsi="Tahoma" w:cs="Tahoma"/>
          <w:sz w:val="19"/>
          <w:szCs w:val="19"/>
        </w:rPr>
        <w:t xml:space="preserve">) brasileiras. Compreendendo a realidade diversa das regiões, estados e municípios brasileiros, lançamos mão de duas estratégias de descentralização de atividades e recursos. Estas </w:t>
      </w:r>
      <w:r w:rsidRPr="00F9760D">
        <w:rPr>
          <w:rFonts w:ascii="Tahoma" w:hAnsi="Tahoma" w:cs="Tahoma"/>
          <w:sz w:val="19"/>
          <w:szCs w:val="19"/>
        </w:rPr>
        <w:lastRenderedPageBreak/>
        <w:t>estratégias almejam contribuir para a consolidação dos sistemas estaduais de inovação e estimular a competitividade das empresas, especialmente no âmbito regional:</w:t>
      </w:r>
    </w:p>
    <w:p w14:paraId="4C6CDED2" w14:textId="77777777" w:rsidR="002B0A3D" w:rsidRPr="00F9760D" w:rsidRDefault="002B0A3D" w:rsidP="00254F4A">
      <w:pPr>
        <w:pStyle w:val="PargrafodaLista"/>
        <w:numPr>
          <w:ilvl w:val="0"/>
          <w:numId w:val="31"/>
        </w:numPr>
        <w:tabs>
          <w:tab w:val="left" w:pos="426"/>
        </w:tabs>
        <w:spacing w:before="120" w:after="120" w:line="360" w:lineRule="auto"/>
        <w:rPr>
          <w:rFonts w:ascii="Tahoma" w:hAnsi="Tahoma" w:cs="Tahoma"/>
          <w:sz w:val="19"/>
          <w:szCs w:val="19"/>
        </w:rPr>
      </w:pPr>
      <w:r w:rsidRPr="00F9760D">
        <w:rPr>
          <w:rFonts w:ascii="Tahoma" w:hAnsi="Tahoma" w:cs="Tahoma"/>
          <w:sz w:val="19"/>
          <w:szCs w:val="19"/>
        </w:rPr>
        <w:t>Credenciamos instituições financeiras, de abrangência estadual, regional ou nacional, para que atuem como nossos agentes na seleção e apoio de empresas. Esses agentes financeiros recebem cartas de crédito definindo os limites financeiros que poderão ser utilizados para a contratação de projetos de empresas inovadoras. Os agentes executam todos os processos desde o fomento, a análise e a seleção de propostas das empresas até a prestação de contas dos recursos utilizados. O recurso é repassado aos agentes à medida que são efetivados os contratos com as empresas.</w:t>
      </w:r>
    </w:p>
    <w:p w14:paraId="07AD0CF6" w14:textId="5E3A966A" w:rsidR="002B0A3D" w:rsidRPr="00F9760D" w:rsidRDefault="002B0A3D" w:rsidP="00254F4A">
      <w:pPr>
        <w:pStyle w:val="PargrafodaLista"/>
        <w:numPr>
          <w:ilvl w:val="0"/>
          <w:numId w:val="31"/>
        </w:numPr>
        <w:tabs>
          <w:tab w:val="left" w:pos="426"/>
        </w:tabs>
        <w:spacing w:before="120" w:after="120" w:line="360" w:lineRule="auto"/>
        <w:rPr>
          <w:rFonts w:ascii="Tahoma" w:hAnsi="Tahoma" w:cs="Tahoma"/>
          <w:sz w:val="19"/>
          <w:szCs w:val="19"/>
        </w:rPr>
      </w:pPr>
      <w:r w:rsidRPr="00F9760D">
        <w:rPr>
          <w:rFonts w:ascii="Tahoma" w:hAnsi="Tahoma" w:cs="Tahoma"/>
          <w:sz w:val="19"/>
          <w:szCs w:val="19"/>
        </w:rPr>
        <w:t xml:space="preserve">Estabelecemos parcerias com </w:t>
      </w:r>
      <w:r w:rsidR="007D6C07" w:rsidRPr="00F9760D">
        <w:rPr>
          <w:rFonts w:ascii="Tahoma" w:hAnsi="Tahoma" w:cs="Tahoma"/>
          <w:sz w:val="19"/>
          <w:szCs w:val="19"/>
        </w:rPr>
        <w:t>Instituições Científicas, Tecnológicas e de Inovação (</w:t>
      </w:r>
      <w:r w:rsidRPr="00F9760D">
        <w:rPr>
          <w:rFonts w:ascii="Tahoma" w:hAnsi="Tahoma" w:cs="Tahoma"/>
          <w:sz w:val="19"/>
          <w:szCs w:val="19"/>
        </w:rPr>
        <w:t>ICTs</w:t>
      </w:r>
      <w:r w:rsidR="007D6C07" w:rsidRPr="00F9760D">
        <w:rPr>
          <w:rFonts w:ascii="Tahoma" w:hAnsi="Tahoma" w:cs="Tahoma"/>
          <w:sz w:val="19"/>
          <w:szCs w:val="19"/>
        </w:rPr>
        <w:t>)</w:t>
      </w:r>
      <w:r w:rsidRPr="00F9760D">
        <w:rPr>
          <w:rFonts w:ascii="Tahoma" w:hAnsi="Tahoma" w:cs="Tahoma"/>
          <w:sz w:val="19"/>
          <w:szCs w:val="19"/>
        </w:rPr>
        <w:t>, como as Fundações de Amparo à Pesquisa (FAPs) estaduais, que se tornam responsáveis pela execução de seleções públicas nos estados, priorizando temas relevantes para a realidade local, pela contratação das empresas selecionadas, pelo repasse dos recursos da subvenção econômica e pelo acompanhamento da execução dos projetos</w:t>
      </w:r>
      <w:r w:rsidR="007D6C07" w:rsidRPr="00F9760D">
        <w:rPr>
          <w:rFonts w:ascii="Tahoma" w:hAnsi="Tahoma" w:cs="Tahoma"/>
          <w:sz w:val="19"/>
          <w:szCs w:val="19"/>
        </w:rPr>
        <w:t xml:space="preserve"> selecionados</w:t>
      </w:r>
      <w:r w:rsidRPr="00F9760D">
        <w:rPr>
          <w:rFonts w:ascii="Tahoma" w:hAnsi="Tahoma" w:cs="Tahoma"/>
          <w:sz w:val="19"/>
          <w:szCs w:val="19"/>
        </w:rPr>
        <w:t>.</w:t>
      </w:r>
    </w:p>
    <w:p w14:paraId="0C80B534" w14:textId="77777777" w:rsidR="00A94A6E" w:rsidRPr="00F9760D" w:rsidRDefault="00A94A6E" w:rsidP="007D157D">
      <w:pPr>
        <w:tabs>
          <w:tab w:val="left" w:pos="426"/>
        </w:tabs>
        <w:spacing w:before="120" w:after="120" w:line="360" w:lineRule="auto"/>
        <w:rPr>
          <w:rFonts w:ascii="Tahoma" w:hAnsi="Tahoma" w:cs="Tahoma"/>
          <w:sz w:val="19"/>
          <w:szCs w:val="19"/>
        </w:rPr>
      </w:pPr>
    </w:p>
    <w:p w14:paraId="5C0720CE" w14:textId="706BF03A" w:rsidR="00A94A6E" w:rsidRPr="00F9760D" w:rsidRDefault="00A94A6E" w:rsidP="007D157D">
      <w:pPr>
        <w:tabs>
          <w:tab w:val="left" w:pos="426"/>
        </w:tabs>
        <w:spacing w:before="120" w:after="120" w:line="360" w:lineRule="auto"/>
        <w:rPr>
          <w:rFonts w:ascii="Tahoma" w:hAnsi="Tahoma" w:cs="Tahoma"/>
          <w:color w:val="0098BA"/>
          <w:sz w:val="19"/>
          <w:szCs w:val="19"/>
        </w:rPr>
      </w:pPr>
      <w:r w:rsidRPr="00F9760D">
        <w:rPr>
          <w:rFonts w:ascii="Tahoma" w:hAnsi="Tahoma" w:cs="Tahoma"/>
          <w:color w:val="0098BA"/>
          <w:sz w:val="19"/>
          <w:szCs w:val="19"/>
        </w:rPr>
        <w:t>Fontes de recursos</w:t>
      </w:r>
    </w:p>
    <w:p w14:paraId="054D082E" w14:textId="4AFC36F3" w:rsidR="00431755" w:rsidRPr="00413454" w:rsidRDefault="007D157D" w:rsidP="00254F4A">
      <w:pPr>
        <w:tabs>
          <w:tab w:val="left" w:pos="426"/>
        </w:tabs>
        <w:spacing w:before="120" w:after="120" w:line="360" w:lineRule="auto"/>
        <w:jc w:val="both"/>
        <w:rPr>
          <w:rFonts w:ascii="Tahoma" w:hAnsi="Tahoma" w:cs="Tahoma"/>
          <w:sz w:val="19"/>
          <w:szCs w:val="19"/>
        </w:rPr>
      </w:pPr>
      <w:r w:rsidRPr="00F9760D">
        <w:rPr>
          <w:rFonts w:ascii="Tahoma" w:hAnsi="Tahoma" w:cs="Tahoma"/>
          <w:sz w:val="19"/>
          <w:szCs w:val="19"/>
        </w:rPr>
        <w:t>Como agência de fomento, gestora e agente financeiro de recursos de terceiros contamos com várias fontes de recursos</w:t>
      </w:r>
      <w:r w:rsidR="00995DFD">
        <w:rPr>
          <w:rFonts w:ascii="Tahoma" w:hAnsi="Tahoma" w:cs="Tahoma"/>
          <w:sz w:val="19"/>
          <w:szCs w:val="19"/>
        </w:rPr>
        <w:t xml:space="preserve">, além </w:t>
      </w:r>
      <w:r w:rsidR="00D776C8">
        <w:rPr>
          <w:rFonts w:ascii="Tahoma" w:hAnsi="Tahoma" w:cs="Tahoma"/>
          <w:sz w:val="19"/>
          <w:szCs w:val="19"/>
        </w:rPr>
        <w:t xml:space="preserve">de recursos </w:t>
      </w:r>
      <w:r w:rsidR="00995DFD">
        <w:rPr>
          <w:rFonts w:ascii="Tahoma" w:hAnsi="Tahoma" w:cs="Tahoma"/>
          <w:sz w:val="19"/>
          <w:szCs w:val="19"/>
        </w:rPr>
        <w:t>própri</w:t>
      </w:r>
      <w:r w:rsidR="00D776C8">
        <w:rPr>
          <w:rFonts w:ascii="Tahoma" w:hAnsi="Tahoma" w:cs="Tahoma"/>
          <w:sz w:val="19"/>
          <w:szCs w:val="19"/>
        </w:rPr>
        <w:t>o</w:t>
      </w:r>
      <w:r w:rsidR="00995DFD">
        <w:rPr>
          <w:rFonts w:ascii="Tahoma" w:hAnsi="Tahoma" w:cs="Tahoma"/>
          <w:sz w:val="19"/>
          <w:szCs w:val="19"/>
        </w:rPr>
        <w:t xml:space="preserve">s </w:t>
      </w:r>
      <w:r w:rsidR="00D776C8">
        <w:rPr>
          <w:rFonts w:ascii="Tahoma" w:hAnsi="Tahoma" w:cs="Tahoma"/>
          <w:sz w:val="19"/>
          <w:szCs w:val="19"/>
        </w:rPr>
        <w:t>da</w:t>
      </w:r>
      <w:r w:rsidR="00995DFD">
        <w:rPr>
          <w:rFonts w:ascii="Tahoma" w:hAnsi="Tahoma" w:cs="Tahoma"/>
          <w:sz w:val="19"/>
          <w:szCs w:val="19"/>
        </w:rPr>
        <w:t xml:space="preserve"> instituição</w:t>
      </w:r>
      <w:r w:rsidRPr="00F9760D">
        <w:rPr>
          <w:rFonts w:ascii="Tahoma" w:hAnsi="Tahoma" w:cs="Tahoma"/>
          <w:sz w:val="19"/>
          <w:szCs w:val="19"/>
        </w:rPr>
        <w:t xml:space="preserve">. A principal delas é o Fundo Nacional de Desenvolvimento Científico e Tecnológico (FNDCT), </w:t>
      </w:r>
      <w:r w:rsidR="009133DA" w:rsidRPr="00F9760D">
        <w:rPr>
          <w:rFonts w:ascii="Tahoma" w:hAnsi="Tahoma" w:cs="Tahoma"/>
          <w:sz w:val="19"/>
          <w:szCs w:val="19"/>
        </w:rPr>
        <w:t xml:space="preserve">que </w:t>
      </w:r>
      <w:r w:rsidR="007D6C07" w:rsidRPr="00F9760D">
        <w:rPr>
          <w:rFonts w:ascii="Tahoma" w:hAnsi="Tahoma" w:cs="Tahoma"/>
          <w:sz w:val="19"/>
          <w:szCs w:val="19"/>
        </w:rPr>
        <w:t>também conta com</w:t>
      </w:r>
      <w:r w:rsidR="009133DA" w:rsidRPr="00F9760D">
        <w:rPr>
          <w:rFonts w:ascii="Tahoma" w:hAnsi="Tahoma" w:cs="Tahoma"/>
          <w:sz w:val="19"/>
          <w:szCs w:val="19"/>
        </w:rPr>
        <w:t xml:space="preserve"> </w:t>
      </w:r>
      <w:r w:rsidR="00B26129">
        <w:rPr>
          <w:rFonts w:ascii="Tahoma" w:hAnsi="Tahoma" w:cs="Tahoma"/>
          <w:sz w:val="19"/>
          <w:szCs w:val="19"/>
        </w:rPr>
        <w:t>pequena</w:t>
      </w:r>
      <w:r w:rsidR="009B2677" w:rsidRPr="00F9760D">
        <w:rPr>
          <w:rFonts w:ascii="Tahoma" w:hAnsi="Tahoma" w:cs="Tahoma"/>
          <w:sz w:val="19"/>
          <w:szCs w:val="19"/>
        </w:rPr>
        <w:t xml:space="preserve"> parcela dos </w:t>
      </w:r>
      <w:r w:rsidR="009133DA" w:rsidRPr="00F9760D">
        <w:rPr>
          <w:rFonts w:ascii="Tahoma" w:hAnsi="Tahoma" w:cs="Tahoma"/>
          <w:sz w:val="19"/>
          <w:szCs w:val="19"/>
        </w:rPr>
        <w:t xml:space="preserve">recursos </w:t>
      </w:r>
      <w:r w:rsidR="00B26129">
        <w:rPr>
          <w:rFonts w:ascii="Tahoma" w:hAnsi="Tahoma" w:cs="Tahoma"/>
          <w:sz w:val="19"/>
          <w:szCs w:val="19"/>
        </w:rPr>
        <w:t xml:space="preserve">oriunda </w:t>
      </w:r>
      <w:r w:rsidRPr="00F9760D">
        <w:rPr>
          <w:rFonts w:ascii="Tahoma" w:hAnsi="Tahoma" w:cs="Tahoma"/>
          <w:sz w:val="19"/>
          <w:szCs w:val="19"/>
        </w:rPr>
        <w:t>do Fundo Nacional de Saúde (FNS)</w:t>
      </w:r>
      <w:r w:rsidR="00B26129">
        <w:rPr>
          <w:rFonts w:ascii="Tahoma" w:hAnsi="Tahoma" w:cs="Tahoma"/>
          <w:sz w:val="19"/>
          <w:szCs w:val="19"/>
        </w:rPr>
        <w:t xml:space="preserve"> e do Ministério da Agricultura e Pecuária (MAPA)</w:t>
      </w:r>
      <w:r w:rsidR="00431755">
        <w:rPr>
          <w:rFonts w:ascii="Tahoma" w:hAnsi="Tahoma" w:cs="Tahoma"/>
          <w:sz w:val="19"/>
          <w:szCs w:val="19"/>
        </w:rPr>
        <w:t xml:space="preserve">, e cujas </w:t>
      </w:r>
      <w:r w:rsidR="00431755" w:rsidRPr="00413454">
        <w:rPr>
          <w:rFonts w:ascii="Tahoma" w:hAnsi="Tahoma" w:cs="Tahoma"/>
          <w:sz w:val="19"/>
          <w:szCs w:val="19"/>
        </w:rPr>
        <w:t xml:space="preserve">diretrizes </w:t>
      </w:r>
      <w:r w:rsidR="00375677">
        <w:rPr>
          <w:rFonts w:ascii="Tahoma" w:hAnsi="Tahoma" w:cs="Tahoma"/>
          <w:sz w:val="19"/>
          <w:szCs w:val="19"/>
        </w:rPr>
        <w:t>que orientam a</w:t>
      </w:r>
      <w:r w:rsidR="00431755" w:rsidRPr="00413454">
        <w:rPr>
          <w:rFonts w:ascii="Tahoma" w:hAnsi="Tahoma" w:cs="Tahoma"/>
          <w:sz w:val="19"/>
          <w:szCs w:val="19"/>
        </w:rPr>
        <w:t xml:space="preserve"> alocação dos </w:t>
      </w:r>
      <w:r w:rsidR="00375677">
        <w:rPr>
          <w:rFonts w:ascii="Tahoma" w:hAnsi="Tahoma" w:cs="Tahoma"/>
          <w:sz w:val="19"/>
          <w:szCs w:val="19"/>
        </w:rPr>
        <w:t xml:space="preserve">seus </w:t>
      </w:r>
      <w:r w:rsidR="00431755" w:rsidRPr="00413454">
        <w:rPr>
          <w:rFonts w:ascii="Tahoma" w:hAnsi="Tahoma" w:cs="Tahoma"/>
          <w:sz w:val="19"/>
          <w:szCs w:val="19"/>
        </w:rPr>
        <w:t xml:space="preserve">recursos </w:t>
      </w:r>
      <w:r w:rsidR="00A32E90">
        <w:rPr>
          <w:rFonts w:ascii="Tahoma" w:hAnsi="Tahoma" w:cs="Tahoma"/>
          <w:sz w:val="19"/>
          <w:szCs w:val="19"/>
        </w:rPr>
        <w:t xml:space="preserve">são apresentadas </w:t>
      </w:r>
      <w:r w:rsidR="00375677">
        <w:rPr>
          <w:rFonts w:ascii="Tahoma" w:hAnsi="Tahoma" w:cs="Tahoma"/>
          <w:sz w:val="19"/>
          <w:szCs w:val="19"/>
        </w:rPr>
        <w:t>no</w:t>
      </w:r>
      <w:r w:rsidR="00A32E90">
        <w:rPr>
          <w:rFonts w:ascii="Tahoma" w:hAnsi="Tahoma" w:cs="Tahoma"/>
          <w:sz w:val="19"/>
          <w:szCs w:val="19"/>
        </w:rPr>
        <w:t xml:space="preserve"> </w:t>
      </w:r>
      <w:hyperlink r:id="rId52" w:history="1">
        <w:r w:rsidR="00431755" w:rsidRPr="00413454">
          <w:rPr>
            <w:rStyle w:val="Hyperlink"/>
            <w:rFonts w:ascii="Tahoma" w:hAnsi="Tahoma" w:cs="Tahoma"/>
            <w:sz w:val="19"/>
            <w:szCs w:val="19"/>
          </w:rPr>
          <w:t>Plano Anual de Investimento</w:t>
        </w:r>
        <w:r w:rsidR="00A32E90">
          <w:rPr>
            <w:rStyle w:val="Hyperlink"/>
            <w:rFonts w:ascii="Tahoma" w:hAnsi="Tahoma" w:cs="Tahoma"/>
            <w:sz w:val="19"/>
            <w:szCs w:val="19"/>
          </w:rPr>
          <w:t xml:space="preserve"> </w:t>
        </w:r>
        <w:r w:rsidR="00431755" w:rsidRPr="00413454">
          <w:rPr>
            <w:rStyle w:val="Hyperlink"/>
            <w:rFonts w:ascii="Tahoma" w:hAnsi="Tahoma" w:cs="Tahoma"/>
            <w:sz w:val="19"/>
            <w:szCs w:val="19"/>
          </w:rPr>
          <w:t>do FNDCT</w:t>
        </w:r>
      </w:hyperlink>
      <w:r w:rsidR="00A32E90">
        <w:rPr>
          <w:rFonts w:ascii="Tahoma" w:hAnsi="Tahoma" w:cs="Tahoma"/>
          <w:sz w:val="19"/>
          <w:szCs w:val="19"/>
        </w:rPr>
        <w:t>.</w:t>
      </w:r>
    </w:p>
    <w:p w14:paraId="5D153D24" w14:textId="33834C3A" w:rsidR="007D157D" w:rsidRPr="00F9760D" w:rsidRDefault="009133DA" w:rsidP="007D157D">
      <w:pPr>
        <w:tabs>
          <w:tab w:val="left" w:pos="426"/>
        </w:tabs>
        <w:spacing w:before="120" w:after="120" w:line="360" w:lineRule="auto"/>
        <w:rPr>
          <w:rFonts w:ascii="Tahoma" w:hAnsi="Tahoma" w:cs="Tahoma"/>
          <w:sz w:val="19"/>
          <w:szCs w:val="19"/>
        </w:rPr>
      </w:pPr>
      <w:r w:rsidRPr="00F9760D">
        <w:rPr>
          <w:rFonts w:ascii="Tahoma" w:hAnsi="Tahoma" w:cs="Tahoma"/>
          <w:sz w:val="19"/>
          <w:szCs w:val="19"/>
        </w:rPr>
        <w:t xml:space="preserve">Além do FNDCT, acessamos recursos </w:t>
      </w:r>
      <w:r w:rsidR="007D157D" w:rsidRPr="00F9760D">
        <w:rPr>
          <w:rFonts w:ascii="Tahoma" w:hAnsi="Tahoma" w:cs="Tahoma"/>
          <w:sz w:val="19"/>
          <w:szCs w:val="19"/>
        </w:rPr>
        <w:t>do Fundo para o Desenvolvimento Tecnológico das Telecomunicações (Funttel), do Programa Rota 2030 - Mobilidade e Logística do governo federal, e da Agência Nacional de Petróleo, Gás Natural e Biocombustíveis (ANP)</w:t>
      </w:r>
      <w:r w:rsidR="00B26129">
        <w:rPr>
          <w:rFonts w:ascii="Tahoma" w:hAnsi="Tahoma" w:cs="Tahoma"/>
          <w:sz w:val="19"/>
          <w:szCs w:val="19"/>
        </w:rPr>
        <w:t>.</w:t>
      </w:r>
    </w:p>
    <w:p w14:paraId="3DD1689A" w14:textId="7FDEE065" w:rsidR="009133DA" w:rsidRPr="00F9760D" w:rsidRDefault="00F9760D" w:rsidP="007D157D">
      <w:pPr>
        <w:tabs>
          <w:tab w:val="left" w:pos="426"/>
        </w:tabs>
        <w:spacing w:before="120" w:after="120" w:line="360" w:lineRule="auto"/>
        <w:rPr>
          <w:rFonts w:ascii="Tahoma" w:hAnsi="Tahoma" w:cs="Tahoma"/>
          <w:sz w:val="19"/>
          <w:szCs w:val="19"/>
        </w:rPr>
      </w:pPr>
      <w:r w:rsidRPr="00F9760D">
        <w:rPr>
          <w:rFonts w:ascii="Tahoma" w:hAnsi="Tahoma" w:cs="Tahoma"/>
          <w:noProof/>
          <w:sz w:val="19"/>
          <w:szCs w:val="19"/>
        </w:rPr>
        <mc:AlternateContent>
          <mc:Choice Requires="wps">
            <w:drawing>
              <wp:anchor distT="0" distB="0" distL="114300" distR="114300" simplePos="0" relativeHeight="251770880" behindDoc="0" locked="0" layoutInCell="1" allowOverlap="1" wp14:anchorId="31CE7BE2" wp14:editId="31FCAE72">
                <wp:simplePos x="0" y="0"/>
                <wp:positionH relativeFrom="column">
                  <wp:posOffset>584200</wp:posOffset>
                </wp:positionH>
                <wp:positionV relativeFrom="paragraph">
                  <wp:posOffset>491490</wp:posOffset>
                </wp:positionV>
                <wp:extent cx="5292725" cy="480695"/>
                <wp:effectExtent l="0" t="0" r="3175" b="0"/>
                <wp:wrapNone/>
                <wp:docPr id="2011763264" name="Text Box 237"/>
                <wp:cNvGraphicFramePr/>
                <a:graphic xmlns:a="http://schemas.openxmlformats.org/drawingml/2006/main">
                  <a:graphicData uri="http://schemas.microsoft.com/office/word/2010/wordprocessingShape">
                    <wps:wsp>
                      <wps:cNvSpPr txBox="1"/>
                      <wps:spPr>
                        <a:xfrm>
                          <a:off x="0" y="0"/>
                          <a:ext cx="5292725" cy="480695"/>
                        </a:xfrm>
                        <a:prstGeom prst="rect">
                          <a:avLst/>
                        </a:prstGeom>
                        <a:solidFill>
                          <a:srgbClr val="0098BA">
                            <a:alpha val="25098"/>
                          </a:srgbClr>
                        </a:solidFill>
                        <a:ln w="6345">
                          <a:noFill/>
                          <a:prstDash val="dash"/>
                        </a:ln>
                      </wps:spPr>
                      <wps:txbx>
                        <w:txbxContent>
                          <w:p w14:paraId="6989B89B" w14:textId="77777777" w:rsidR="00B23211" w:rsidRPr="00413454" w:rsidRDefault="00B23211" w:rsidP="009133DA">
                            <w:pPr>
                              <w:jc w:val="right"/>
                              <w:rPr>
                                <w:rFonts w:ascii="Tahoma" w:hAnsi="Tahoma" w:cs="Tahoma"/>
                                <w:sz w:val="16"/>
                                <w:szCs w:val="16"/>
                              </w:rPr>
                            </w:pPr>
                            <w:r w:rsidRPr="00413454">
                              <w:rPr>
                                <w:rFonts w:ascii="Tahoma" w:hAnsi="Tahoma" w:cs="Tahoma"/>
                                <w:sz w:val="16"/>
                                <w:szCs w:val="16"/>
                              </w:rPr>
                              <w:t xml:space="preserve">Informações sobre nossas fontes e os programas citados estão disponíveis em </w:t>
                            </w:r>
                            <w:hyperlink r:id="rId53" w:history="1">
                              <w:r w:rsidRPr="00413454">
                                <w:rPr>
                                  <w:rStyle w:val="Hyperlink"/>
                                  <w:rFonts w:ascii="Tahoma" w:hAnsi="Tahoma" w:cs="Tahoma"/>
                                  <w:sz w:val="16"/>
                                  <w:szCs w:val="16"/>
                                </w:rPr>
                                <w:t>http://www.finep.gov.br/a-finep-externo/fndct/fndct</w:t>
                              </w:r>
                            </w:hyperlink>
                            <w:r w:rsidRPr="00413454">
                              <w:rPr>
                                <w:rFonts w:ascii="Tahoma" w:hAnsi="Tahoma" w:cs="Tahoma"/>
                                <w:sz w:val="16"/>
                                <w:szCs w:val="16"/>
                              </w:rPr>
                              <w:t xml:space="preserve">; </w:t>
                            </w:r>
                            <w:hyperlink r:id="rId54" w:history="1">
                              <w:r w:rsidR="009133DA" w:rsidRPr="00413454">
                                <w:rPr>
                                  <w:rStyle w:val="Hyperlink"/>
                                  <w:rFonts w:ascii="Tahoma" w:hAnsi="Tahoma" w:cs="Tahoma"/>
                                  <w:sz w:val="16"/>
                                  <w:szCs w:val="16"/>
                                </w:rPr>
                                <w:t>http://www.finep.gov.br/a-finep-externo/fontes-de-recurso/outras-fontes/o-que-e-funttel</w:t>
                              </w:r>
                            </w:hyperlink>
                            <w:r w:rsidRPr="00413454">
                              <w:rPr>
                                <w:rFonts w:ascii="Tahoma" w:hAnsi="Tahoma" w:cs="Tahoma"/>
                                <w:sz w:val="16"/>
                                <w:szCs w:val="16"/>
                              </w:rPr>
                              <w:t>;</w:t>
                            </w:r>
                          </w:p>
                          <w:p w14:paraId="49099480" w14:textId="19A85320" w:rsidR="00B23211" w:rsidRPr="00413454" w:rsidRDefault="00B23211" w:rsidP="009133DA">
                            <w:pPr>
                              <w:jc w:val="right"/>
                              <w:rPr>
                                <w:rFonts w:ascii="Tahoma" w:hAnsi="Tahoma" w:cs="Tahoma"/>
                                <w:sz w:val="16"/>
                                <w:szCs w:val="16"/>
                              </w:rPr>
                            </w:pPr>
                            <w:r w:rsidRPr="00413454">
                              <w:rPr>
                                <w:rFonts w:ascii="Tahoma" w:hAnsi="Tahoma" w:cs="Tahoma"/>
                                <w:sz w:val="16"/>
                                <w:szCs w:val="16"/>
                              </w:rPr>
                              <w:t xml:space="preserve"> </w:t>
                            </w:r>
                            <w:hyperlink r:id="rId55" w:history="1">
                              <w:r w:rsidRPr="00413454">
                                <w:rPr>
                                  <w:rStyle w:val="Hyperlink"/>
                                  <w:rFonts w:ascii="Tahoma" w:hAnsi="Tahoma" w:cs="Tahoma"/>
                                  <w:sz w:val="16"/>
                                  <w:szCs w:val="16"/>
                                </w:rPr>
                                <w:t>http://www.finep.gov.br/apoio-e-financiamento-externa/o-que-apoiamos</w:t>
                              </w:r>
                            </w:hyperlink>
                            <w:r w:rsidRPr="00413454">
                              <w:rPr>
                                <w:rFonts w:ascii="Tahoma" w:hAnsi="Tahoma" w:cs="Tahoma"/>
                                <w:sz w:val="16"/>
                                <w:szCs w:val="16"/>
                              </w:rPr>
                              <w:t>.</w:t>
                            </w:r>
                          </w:p>
                          <w:p w14:paraId="5348949A" w14:textId="2DCA6821" w:rsidR="009133DA" w:rsidRPr="009133DA" w:rsidRDefault="009133DA" w:rsidP="009133DA">
                            <w:pPr>
                              <w:jc w:val="right"/>
                              <w:rPr>
                                <w:rFonts w:asciiTheme="majorHAnsi" w:hAnsiTheme="majorHAnsi" w:cstheme="majorHAnsi"/>
                                <w:sz w:val="16"/>
                                <w:szCs w:val="16"/>
                              </w:rPr>
                            </w:pPr>
                            <w:r w:rsidRPr="009133DA">
                              <w:rPr>
                                <w:rFonts w:asciiTheme="majorHAnsi" w:hAnsiTheme="majorHAnsi" w:cstheme="majorHAnsi"/>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31CE7BE2" id="_x0000_s1030" type="#_x0000_t202" style="position:absolute;margin-left:46pt;margin-top:38.7pt;width:416.75pt;height:37.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" fillcolor="#0098ba" stroked="f" strokeweight=".17625mm">
                <v:fill opacity="16448f"/>
                <v:stroke dashstyle="dash"/>
                <v:textbox>
                  <w:txbxContent>
                    <w:p w14:paraId="6989B89B" w14:textId="77777777" w:rsidR="00B23211" w:rsidRPr="00413454" w:rsidRDefault="00B23211" w:rsidP="009133DA">
                      <w:pPr>
                        <w:jc w:val="right"/>
                        <w:rPr>
                          <w:rFonts w:ascii="Tahoma" w:hAnsi="Tahoma" w:cs="Tahoma"/>
                          <w:sz w:val="16"/>
                          <w:szCs w:val="16"/>
                        </w:rPr>
                      </w:pPr>
                      <w:r w:rsidRPr="00413454">
                        <w:rPr>
                          <w:rFonts w:ascii="Tahoma" w:hAnsi="Tahoma" w:cs="Tahoma"/>
                          <w:sz w:val="16"/>
                          <w:szCs w:val="16"/>
                        </w:rPr>
                        <w:t xml:space="preserve">Informações sobre nossas fontes e os programas citados estão disponíveis em </w:t>
                      </w:r>
                      <w:hyperlink r:id="rId56" w:history="1">
                        <w:r w:rsidRPr="00413454">
                          <w:rPr>
                            <w:rStyle w:val="Hyperlink"/>
                            <w:rFonts w:ascii="Tahoma" w:hAnsi="Tahoma" w:cs="Tahoma"/>
                            <w:sz w:val="16"/>
                            <w:szCs w:val="16"/>
                          </w:rPr>
                          <w:t>http://www.finep.gov.br/a-finep-externo/fndct/fndct</w:t>
                        </w:r>
                      </w:hyperlink>
                      <w:r w:rsidRPr="00413454">
                        <w:rPr>
                          <w:rFonts w:ascii="Tahoma" w:hAnsi="Tahoma" w:cs="Tahoma"/>
                          <w:sz w:val="16"/>
                          <w:szCs w:val="16"/>
                        </w:rPr>
                        <w:t xml:space="preserve">; </w:t>
                      </w:r>
                      <w:hyperlink r:id="rId57" w:history="1">
                        <w:r w:rsidR="009133DA" w:rsidRPr="00413454">
                          <w:rPr>
                            <w:rStyle w:val="Hyperlink"/>
                            <w:rFonts w:ascii="Tahoma" w:hAnsi="Tahoma" w:cs="Tahoma"/>
                            <w:sz w:val="16"/>
                            <w:szCs w:val="16"/>
                          </w:rPr>
                          <w:t>http://www.finep.gov.br/a-finep-externo/fontes-de-recurso/outras-fontes/o-que-e-funttel</w:t>
                        </w:r>
                      </w:hyperlink>
                      <w:r w:rsidRPr="00413454">
                        <w:rPr>
                          <w:rFonts w:ascii="Tahoma" w:hAnsi="Tahoma" w:cs="Tahoma"/>
                          <w:sz w:val="16"/>
                          <w:szCs w:val="16"/>
                        </w:rPr>
                        <w:t>;</w:t>
                      </w:r>
                    </w:p>
                    <w:p w14:paraId="49099480" w14:textId="19A85320" w:rsidR="00B23211" w:rsidRPr="00413454" w:rsidRDefault="00B23211" w:rsidP="009133DA">
                      <w:pPr>
                        <w:jc w:val="right"/>
                        <w:rPr>
                          <w:rFonts w:ascii="Tahoma" w:hAnsi="Tahoma" w:cs="Tahoma"/>
                          <w:sz w:val="16"/>
                          <w:szCs w:val="16"/>
                        </w:rPr>
                      </w:pPr>
                      <w:r w:rsidRPr="00413454">
                        <w:rPr>
                          <w:rFonts w:ascii="Tahoma" w:hAnsi="Tahoma" w:cs="Tahoma"/>
                          <w:sz w:val="16"/>
                          <w:szCs w:val="16"/>
                        </w:rPr>
                        <w:t xml:space="preserve"> </w:t>
                      </w:r>
                      <w:hyperlink r:id="rId58" w:history="1">
                        <w:r w:rsidRPr="00413454">
                          <w:rPr>
                            <w:rStyle w:val="Hyperlink"/>
                            <w:rFonts w:ascii="Tahoma" w:hAnsi="Tahoma" w:cs="Tahoma"/>
                            <w:sz w:val="16"/>
                            <w:szCs w:val="16"/>
                          </w:rPr>
                          <w:t>http://www.finep.gov.br/apoio-e-financiamento-externa/o-que-apoiamos</w:t>
                        </w:r>
                      </w:hyperlink>
                      <w:r w:rsidRPr="00413454">
                        <w:rPr>
                          <w:rFonts w:ascii="Tahoma" w:hAnsi="Tahoma" w:cs="Tahoma"/>
                          <w:sz w:val="16"/>
                          <w:szCs w:val="16"/>
                        </w:rPr>
                        <w:t>.</w:t>
                      </w:r>
                    </w:p>
                    <w:p w14:paraId="5348949A" w14:textId="2DCA6821" w:rsidR="009133DA" w:rsidRPr="009133DA" w:rsidRDefault="009133DA" w:rsidP="009133DA">
                      <w:pPr>
                        <w:jc w:val="right"/>
                        <w:rPr>
                          <w:rFonts w:asciiTheme="majorHAnsi" w:hAnsiTheme="majorHAnsi" w:cstheme="majorHAnsi"/>
                          <w:sz w:val="16"/>
                          <w:szCs w:val="16"/>
                        </w:rPr>
                      </w:pPr>
                      <w:r w:rsidRPr="009133DA">
                        <w:rPr>
                          <w:rFonts w:asciiTheme="majorHAnsi" w:hAnsiTheme="majorHAnsi" w:cstheme="majorHAnsi"/>
                          <w:sz w:val="16"/>
                          <w:szCs w:val="16"/>
                        </w:rPr>
                        <w:t>.</w:t>
                      </w:r>
                    </w:p>
                  </w:txbxContent>
                </v:textbox>
              </v:shape>
            </w:pict>
          </mc:Fallback>
        </mc:AlternateContent>
      </w:r>
      <w:r w:rsidR="007D157D" w:rsidRPr="00F9760D">
        <w:rPr>
          <w:rFonts w:ascii="Tahoma" w:hAnsi="Tahoma" w:cs="Tahoma"/>
          <w:sz w:val="19"/>
          <w:szCs w:val="19"/>
        </w:rPr>
        <w:t>Os recursos do Funttel, fundo gerido pelo Ministério das Comunicações, são aplicados no apoio a projetos que colaboram para o desenvolvimento tecnológico do setor de telecomunicações brasileiro.</w:t>
      </w:r>
    </w:p>
    <w:p w14:paraId="15F037A5" w14:textId="4CE4C824" w:rsidR="009133DA" w:rsidRPr="00F9760D" w:rsidRDefault="009133DA" w:rsidP="007D157D">
      <w:pPr>
        <w:tabs>
          <w:tab w:val="left" w:pos="426"/>
        </w:tabs>
        <w:spacing w:before="120" w:after="120" w:line="360" w:lineRule="auto"/>
        <w:rPr>
          <w:rFonts w:ascii="Tahoma" w:hAnsi="Tahoma" w:cs="Tahoma"/>
          <w:sz w:val="19"/>
          <w:szCs w:val="19"/>
        </w:rPr>
      </w:pPr>
    </w:p>
    <w:p w14:paraId="41076AD3" w14:textId="77777777" w:rsidR="00B23211" w:rsidRPr="00F9760D" w:rsidRDefault="00B23211" w:rsidP="007D157D">
      <w:pPr>
        <w:tabs>
          <w:tab w:val="left" w:pos="426"/>
        </w:tabs>
        <w:spacing w:before="120" w:after="120" w:line="360" w:lineRule="auto"/>
        <w:rPr>
          <w:rFonts w:ascii="Tahoma" w:hAnsi="Tahoma" w:cs="Tahoma"/>
          <w:sz w:val="19"/>
          <w:szCs w:val="19"/>
        </w:rPr>
      </w:pPr>
    </w:p>
    <w:p w14:paraId="6C083C0F" w14:textId="160E265C" w:rsidR="007D157D" w:rsidRPr="00F9760D" w:rsidRDefault="007D157D" w:rsidP="007D157D">
      <w:pPr>
        <w:tabs>
          <w:tab w:val="left" w:pos="426"/>
        </w:tabs>
        <w:spacing w:before="120" w:after="120" w:line="360" w:lineRule="auto"/>
        <w:rPr>
          <w:rFonts w:ascii="Tahoma" w:hAnsi="Tahoma" w:cs="Tahoma"/>
          <w:sz w:val="19"/>
          <w:szCs w:val="19"/>
        </w:rPr>
      </w:pPr>
      <w:r w:rsidRPr="00F9760D">
        <w:rPr>
          <w:rFonts w:ascii="Tahoma" w:hAnsi="Tahoma" w:cs="Tahoma"/>
          <w:sz w:val="19"/>
          <w:szCs w:val="19"/>
        </w:rPr>
        <w:t xml:space="preserve">Os recursos do </w:t>
      </w:r>
      <w:hyperlink r:id="rId59" w:history="1">
        <w:r w:rsidR="000B161B" w:rsidRPr="00227B63">
          <w:rPr>
            <w:rStyle w:val="Hyperlink"/>
            <w:rFonts w:ascii="Tahoma" w:hAnsi="Tahoma" w:cs="Tahoma"/>
            <w:sz w:val="19"/>
            <w:szCs w:val="19"/>
          </w:rPr>
          <w:t xml:space="preserve">Programa </w:t>
        </w:r>
        <w:r w:rsidRPr="00227B63">
          <w:rPr>
            <w:rStyle w:val="Hyperlink"/>
            <w:rFonts w:ascii="Tahoma" w:hAnsi="Tahoma" w:cs="Tahoma"/>
            <w:sz w:val="19"/>
            <w:szCs w:val="19"/>
          </w:rPr>
          <w:t>Rota 2030</w:t>
        </w:r>
      </w:hyperlink>
      <w:r w:rsidRPr="00F9760D">
        <w:rPr>
          <w:rFonts w:ascii="Tahoma" w:hAnsi="Tahoma" w:cs="Tahoma"/>
          <w:sz w:val="19"/>
          <w:szCs w:val="19"/>
        </w:rPr>
        <w:t xml:space="preserve"> e do </w:t>
      </w:r>
      <w:hyperlink r:id="rId60" w:history="1">
        <w:r w:rsidRPr="00227B63">
          <w:rPr>
            <w:rStyle w:val="Hyperlink"/>
            <w:rFonts w:ascii="Tahoma" w:hAnsi="Tahoma" w:cs="Tahoma"/>
            <w:sz w:val="19"/>
            <w:szCs w:val="19"/>
          </w:rPr>
          <w:t>P</w:t>
        </w:r>
        <w:r w:rsidR="000B161B" w:rsidRPr="00227B63">
          <w:rPr>
            <w:rStyle w:val="Hyperlink"/>
            <w:rFonts w:ascii="Tahoma" w:hAnsi="Tahoma" w:cs="Tahoma"/>
            <w:sz w:val="19"/>
            <w:szCs w:val="19"/>
          </w:rPr>
          <w:t xml:space="preserve">rograma de </w:t>
        </w:r>
        <w:r w:rsidR="00227B63">
          <w:rPr>
            <w:rStyle w:val="Hyperlink"/>
            <w:rFonts w:ascii="Tahoma" w:hAnsi="Tahoma" w:cs="Tahoma"/>
            <w:sz w:val="19"/>
            <w:szCs w:val="19"/>
          </w:rPr>
          <w:t xml:space="preserve">Formação de </w:t>
        </w:r>
        <w:r w:rsidRPr="00227B63">
          <w:rPr>
            <w:rStyle w:val="Hyperlink"/>
            <w:rFonts w:ascii="Tahoma" w:hAnsi="Tahoma" w:cs="Tahoma"/>
            <w:sz w:val="19"/>
            <w:szCs w:val="19"/>
          </w:rPr>
          <w:t>R</w:t>
        </w:r>
        <w:r w:rsidR="000B161B" w:rsidRPr="00227B63">
          <w:rPr>
            <w:rStyle w:val="Hyperlink"/>
            <w:rFonts w:ascii="Tahoma" w:hAnsi="Tahoma" w:cs="Tahoma"/>
            <w:sz w:val="19"/>
            <w:szCs w:val="19"/>
          </w:rPr>
          <w:t xml:space="preserve">ecursos </w:t>
        </w:r>
        <w:r w:rsidRPr="00227B63">
          <w:rPr>
            <w:rStyle w:val="Hyperlink"/>
            <w:rFonts w:ascii="Tahoma" w:hAnsi="Tahoma" w:cs="Tahoma"/>
            <w:sz w:val="19"/>
            <w:szCs w:val="19"/>
          </w:rPr>
          <w:t>H</w:t>
        </w:r>
        <w:r w:rsidR="000B161B" w:rsidRPr="00227B63">
          <w:rPr>
            <w:rStyle w:val="Hyperlink"/>
            <w:rFonts w:ascii="Tahoma" w:hAnsi="Tahoma" w:cs="Tahoma"/>
            <w:sz w:val="19"/>
            <w:szCs w:val="19"/>
          </w:rPr>
          <w:t>umanos</w:t>
        </w:r>
      </w:hyperlink>
      <w:r w:rsidR="00227B63">
        <w:rPr>
          <w:rFonts w:ascii="Tahoma" w:hAnsi="Tahoma" w:cs="Tahoma"/>
          <w:sz w:val="19"/>
          <w:szCs w:val="19"/>
        </w:rPr>
        <w:t xml:space="preserve">, criado pela ANP </w:t>
      </w:r>
      <w:r w:rsidR="000B161B" w:rsidRPr="00F9760D">
        <w:rPr>
          <w:rFonts w:ascii="Tahoma" w:hAnsi="Tahoma" w:cs="Tahoma"/>
          <w:sz w:val="19"/>
          <w:szCs w:val="19"/>
        </w:rPr>
        <w:t>(PRH-ANP)</w:t>
      </w:r>
      <w:r w:rsidRPr="00F9760D">
        <w:rPr>
          <w:rFonts w:ascii="Tahoma" w:hAnsi="Tahoma" w:cs="Tahoma"/>
          <w:sz w:val="19"/>
          <w:szCs w:val="19"/>
        </w:rPr>
        <w:t xml:space="preserve"> são oriundos de incentivos setoriais. No primeiro caso, do setor automotivo e no segundo caso, do setor de Petróleo, Gás Natural e Biocombustível. Esses recursos são operacionalizados no âmbito de acordos de cooperação técnica e financeira em que a Finep desempenha a função de gestora técnica e financeira de recursos de terceiros.</w:t>
      </w:r>
    </w:p>
    <w:p w14:paraId="11F6B46E" w14:textId="37E2631A" w:rsidR="006769FC" w:rsidRDefault="006769FC" w:rsidP="007D157D">
      <w:pPr>
        <w:tabs>
          <w:tab w:val="left" w:pos="426"/>
        </w:tabs>
        <w:spacing w:before="120" w:after="120" w:line="360" w:lineRule="auto"/>
        <w:rPr>
          <w:rFonts w:ascii="Tahoma" w:hAnsi="Tahoma" w:cs="Tahoma"/>
          <w:sz w:val="19"/>
          <w:szCs w:val="19"/>
        </w:rPr>
      </w:pPr>
      <w:r w:rsidRPr="00F9760D">
        <w:rPr>
          <w:rFonts w:ascii="Tahoma" w:hAnsi="Tahoma" w:cs="Tahoma"/>
          <w:noProof/>
          <w:sz w:val="19"/>
          <w:szCs w:val="19"/>
        </w:rPr>
        <mc:AlternateContent>
          <mc:Choice Requires="wps">
            <w:drawing>
              <wp:anchor distT="0" distB="0" distL="114300" distR="114300" simplePos="0" relativeHeight="251883520" behindDoc="0" locked="0" layoutInCell="1" allowOverlap="1" wp14:anchorId="406E17BA" wp14:editId="7CB4E6FC">
                <wp:simplePos x="0" y="0"/>
                <wp:positionH relativeFrom="column">
                  <wp:posOffset>497205</wp:posOffset>
                </wp:positionH>
                <wp:positionV relativeFrom="paragraph">
                  <wp:posOffset>439217</wp:posOffset>
                </wp:positionV>
                <wp:extent cx="5292725" cy="480695"/>
                <wp:effectExtent l="0" t="0" r="3175" b="0"/>
                <wp:wrapNone/>
                <wp:docPr id="701795460" name="Text Box 237"/>
                <wp:cNvGraphicFramePr/>
                <a:graphic xmlns:a="http://schemas.openxmlformats.org/drawingml/2006/main">
                  <a:graphicData uri="http://schemas.microsoft.com/office/word/2010/wordprocessingShape">
                    <wps:wsp>
                      <wps:cNvSpPr txBox="1"/>
                      <wps:spPr>
                        <a:xfrm>
                          <a:off x="0" y="0"/>
                          <a:ext cx="5292725" cy="480695"/>
                        </a:xfrm>
                        <a:prstGeom prst="rect">
                          <a:avLst/>
                        </a:prstGeom>
                        <a:solidFill>
                          <a:srgbClr val="0098BA">
                            <a:alpha val="25098"/>
                          </a:srgbClr>
                        </a:solidFill>
                        <a:ln w="6345">
                          <a:noFill/>
                          <a:prstDash val="dash"/>
                        </a:ln>
                      </wps:spPr>
                      <wps:txbx>
                        <w:txbxContent>
                          <w:p w14:paraId="5E9F0BFA" w14:textId="0DB734CB" w:rsidR="006769FC" w:rsidRPr="006769FC" w:rsidRDefault="006769FC" w:rsidP="006769FC">
                            <w:pPr>
                              <w:jc w:val="right"/>
                              <w:rPr>
                                <w:rFonts w:ascii="Tahoma" w:hAnsi="Tahoma" w:cs="Tahoma"/>
                                <w:sz w:val="16"/>
                                <w:szCs w:val="16"/>
                              </w:rPr>
                            </w:pPr>
                            <w:r w:rsidRPr="006769FC">
                              <w:rPr>
                                <w:rFonts w:ascii="Tahoma" w:hAnsi="Tahoma" w:cs="Tahoma"/>
                                <w:sz w:val="16"/>
                                <w:szCs w:val="16"/>
                              </w:rPr>
                              <w:t xml:space="preserve">As áreas priorizadas podem ser consultadas no item 1.3 do edital da </w:t>
                            </w:r>
                            <w:hyperlink r:id="rId61" w:history="1">
                              <w:r w:rsidRPr="006769FC">
                                <w:rPr>
                                  <w:rStyle w:val="Hyperlink"/>
                                  <w:rFonts w:ascii="Tahoma" w:hAnsi="Tahoma" w:cs="Tahoma"/>
                                  <w:sz w:val="16"/>
                                  <w:szCs w:val="16"/>
                                </w:rPr>
                                <w:t>chamada pública</w:t>
                              </w:r>
                            </w:hyperlink>
                            <w:r w:rsidRPr="006769FC">
                              <w:rPr>
                                <w:rFonts w:ascii="Tahoma" w:hAnsi="Tahoma" w:cs="Tahoma"/>
                                <w:sz w:val="16"/>
                                <w:szCs w:val="16"/>
                              </w:rPr>
                              <w:t xml:space="preserve"> que selecionou os projetos apoiados.</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06E17BA" id="_x0000_s1031" type="#_x0000_t202" style="position:absolute;margin-left:39.15pt;margin-top:34.6pt;width:416.75pt;height:37.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" fillcolor="#0098ba" stroked="f" strokeweight=".17625mm">
                <v:fill opacity="16448f"/>
                <v:stroke dashstyle="dash"/>
                <v:textbox>
                  <w:txbxContent>
                    <w:p w14:paraId="5E9F0BFA" w14:textId="0DB734CB" w:rsidR="006769FC" w:rsidRPr="006769FC" w:rsidRDefault="006769FC" w:rsidP="006769FC">
                      <w:pPr>
                        <w:jc w:val="right"/>
                        <w:rPr>
                          <w:rFonts w:ascii="Tahoma" w:hAnsi="Tahoma" w:cs="Tahoma"/>
                          <w:sz w:val="16"/>
                          <w:szCs w:val="16"/>
                        </w:rPr>
                      </w:pPr>
                      <w:r w:rsidRPr="006769FC">
                        <w:rPr>
                          <w:rFonts w:ascii="Tahoma" w:hAnsi="Tahoma" w:cs="Tahoma"/>
                          <w:sz w:val="16"/>
                          <w:szCs w:val="16"/>
                        </w:rPr>
                        <w:t xml:space="preserve">As áreas priorizadas podem ser consultadas no item 1.3 do edital da </w:t>
                      </w:r>
                      <w:hyperlink r:id="rId62" w:history="1">
                        <w:r w:rsidRPr="006769FC">
                          <w:rPr>
                            <w:rStyle w:val="Hyperlink"/>
                            <w:rFonts w:ascii="Tahoma" w:hAnsi="Tahoma" w:cs="Tahoma"/>
                            <w:sz w:val="16"/>
                            <w:szCs w:val="16"/>
                          </w:rPr>
                          <w:t>chamada pública</w:t>
                        </w:r>
                      </w:hyperlink>
                      <w:r w:rsidRPr="006769FC">
                        <w:rPr>
                          <w:rFonts w:ascii="Tahoma" w:hAnsi="Tahoma" w:cs="Tahoma"/>
                          <w:sz w:val="16"/>
                          <w:szCs w:val="16"/>
                        </w:rPr>
                        <w:t xml:space="preserve"> que selecionou os projetos apoiados.</w:t>
                      </w:r>
                    </w:p>
                  </w:txbxContent>
                </v:textbox>
              </v:shape>
            </w:pict>
          </mc:Fallback>
        </mc:AlternateContent>
      </w:r>
      <w:r w:rsidR="007D157D" w:rsidRPr="00F9760D">
        <w:rPr>
          <w:rFonts w:ascii="Tahoma" w:hAnsi="Tahoma" w:cs="Tahoma"/>
          <w:sz w:val="19"/>
          <w:szCs w:val="19"/>
        </w:rPr>
        <w:t>Os recursos da ANP destinam-se a instituições de ensino que concede</w:t>
      </w:r>
      <w:r w:rsidR="000B161B" w:rsidRPr="00F9760D">
        <w:rPr>
          <w:rFonts w:ascii="Tahoma" w:hAnsi="Tahoma" w:cs="Tahoma"/>
          <w:sz w:val="19"/>
          <w:szCs w:val="19"/>
        </w:rPr>
        <w:t>m</w:t>
      </w:r>
      <w:r w:rsidR="007D157D" w:rsidRPr="00F9760D">
        <w:rPr>
          <w:rFonts w:ascii="Tahoma" w:hAnsi="Tahoma" w:cs="Tahoma"/>
          <w:sz w:val="19"/>
          <w:szCs w:val="19"/>
        </w:rPr>
        <w:t xml:space="preserve"> bolsas de estudo e pesquisa e taxas de bancada nas áreas elencadas pelo PRH-ANP.</w:t>
      </w:r>
    </w:p>
    <w:p w14:paraId="52602BD5" w14:textId="1246E567" w:rsidR="006769FC" w:rsidRDefault="006769FC" w:rsidP="007D157D">
      <w:pPr>
        <w:tabs>
          <w:tab w:val="left" w:pos="426"/>
        </w:tabs>
        <w:spacing w:before="120" w:after="120" w:line="360" w:lineRule="auto"/>
        <w:rPr>
          <w:rFonts w:ascii="Tahoma" w:hAnsi="Tahoma" w:cs="Tahoma"/>
          <w:sz w:val="19"/>
          <w:szCs w:val="19"/>
        </w:rPr>
      </w:pPr>
    </w:p>
    <w:p w14:paraId="4B1666E5" w14:textId="77777777" w:rsidR="006769FC" w:rsidRDefault="006769FC" w:rsidP="007D157D">
      <w:pPr>
        <w:tabs>
          <w:tab w:val="left" w:pos="426"/>
        </w:tabs>
        <w:spacing w:before="120" w:after="120" w:line="360" w:lineRule="auto"/>
        <w:rPr>
          <w:rFonts w:ascii="Tahoma" w:hAnsi="Tahoma" w:cs="Tahoma"/>
          <w:sz w:val="19"/>
          <w:szCs w:val="19"/>
        </w:rPr>
      </w:pPr>
    </w:p>
    <w:p w14:paraId="024B1E75" w14:textId="66C91423" w:rsidR="007D157D" w:rsidRPr="00F9760D" w:rsidRDefault="007D157D" w:rsidP="00254F4A">
      <w:pPr>
        <w:tabs>
          <w:tab w:val="left" w:pos="426"/>
        </w:tabs>
        <w:spacing w:before="120" w:after="120" w:line="360" w:lineRule="auto"/>
        <w:rPr>
          <w:rFonts w:ascii="Tahoma" w:hAnsi="Tahoma" w:cs="Tahoma"/>
          <w:sz w:val="19"/>
          <w:szCs w:val="19"/>
        </w:rPr>
      </w:pPr>
      <w:r w:rsidRPr="00F9760D">
        <w:rPr>
          <w:rFonts w:ascii="Tahoma" w:hAnsi="Tahoma" w:cs="Tahoma"/>
          <w:sz w:val="19"/>
          <w:szCs w:val="19"/>
        </w:rPr>
        <w:lastRenderedPageBreak/>
        <w:t>Os recursos captados pelo Programa Rota 2030, em 202</w:t>
      </w:r>
      <w:r w:rsidR="000B161B" w:rsidRPr="00F9760D">
        <w:rPr>
          <w:rFonts w:ascii="Tahoma" w:hAnsi="Tahoma" w:cs="Tahoma"/>
          <w:sz w:val="19"/>
          <w:szCs w:val="19"/>
        </w:rPr>
        <w:t>3</w:t>
      </w:r>
      <w:r w:rsidRPr="00F9760D">
        <w:rPr>
          <w:rFonts w:ascii="Tahoma" w:hAnsi="Tahoma" w:cs="Tahoma"/>
          <w:sz w:val="19"/>
          <w:szCs w:val="19"/>
        </w:rPr>
        <w:t xml:space="preserve">, foram alocados pela Finep no programa Finep 2030 em </w:t>
      </w:r>
      <w:r w:rsidR="000B161B" w:rsidRPr="00F9760D">
        <w:rPr>
          <w:rFonts w:ascii="Tahoma" w:hAnsi="Tahoma" w:cs="Tahoma"/>
          <w:sz w:val="19"/>
          <w:szCs w:val="19"/>
        </w:rPr>
        <w:t>duas</w:t>
      </w:r>
      <w:r w:rsidRPr="00F9760D">
        <w:rPr>
          <w:rFonts w:ascii="Tahoma" w:hAnsi="Tahoma" w:cs="Tahoma"/>
          <w:sz w:val="19"/>
          <w:szCs w:val="19"/>
        </w:rPr>
        <w:t xml:space="preserve"> linhas de atuação: Finep 2030 - Redes de ICTs (eixo de atuação, </w:t>
      </w:r>
      <w:r w:rsidR="000B161B" w:rsidRPr="00F9760D">
        <w:rPr>
          <w:rFonts w:ascii="Tahoma" w:hAnsi="Tahoma" w:cs="Tahoma"/>
          <w:sz w:val="19"/>
          <w:szCs w:val="19"/>
        </w:rPr>
        <w:t>C</w:t>
      </w:r>
      <w:r w:rsidRPr="00F9760D">
        <w:rPr>
          <w:rFonts w:ascii="Tahoma" w:hAnsi="Tahoma" w:cs="Tahoma"/>
          <w:sz w:val="19"/>
          <w:szCs w:val="19"/>
        </w:rPr>
        <w:t xml:space="preserve">iência e </w:t>
      </w:r>
      <w:r w:rsidR="000B161B" w:rsidRPr="00F9760D">
        <w:rPr>
          <w:rFonts w:ascii="Tahoma" w:hAnsi="Tahoma" w:cs="Tahoma"/>
          <w:sz w:val="19"/>
          <w:szCs w:val="19"/>
        </w:rPr>
        <w:t>T</w:t>
      </w:r>
      <w:r w:rsidRPr="00F9760D">
        <w:rPr>
          <w:rFonts w:ascii="Tahoma" w:hAnsi="Tahoma" w:cs="Tahoma"/>
          <w:sz w:val="19"/>
          <w:szCs w:val="19"/>
        </w:rPr>
        <w:t>ecnologia)</w:t>
      </w:r>
      <w:r w:rsidR="000B161B" w:rsidRPr="00F9760D">
        <w:rPr>
          <w:rFonts w:ascii="Tahoma" w:hAnsi="Tahoma" w:cs="Tahoma"/>
          <w:sz w:val="19"/>
          <w:szCs w:val="19"/>
        </w:rPr>
        <w:t xml:space="preserve"> e</w:t>
      </w:r>
      <w:r w:rsidRPr="00F9760D">
        <w:rPr>
          <w:rFonts w:ascii="Tahoma" w:hAnsi="Tahoma" w:cs="Tahoma"/>
          <w:sz w:val="19"/>
          <w:szCs w:val="19"/>
        </w:rPr>
        <w:t xml:space="preserve"> Finep 2030 Empresarial (eixo de atuação </w:t>
      </w:r>
      <w:r w:rsidR="000B6015" w:rsidRPr="00F9760D">
        <w:rPr>
          <w:rFonts w:ascii="Tahoma" w:hAnsi="Tahoma" w:cs="Tahoma"/>
          <w:sz w:val="19"/>
          <w:szCs w:val="19"/>
        </w:rPr>
        <w:t>Pesquisa, Desenvolvimento e Inovação</w:t>
      </w:r>
      <w:r w:rsidRPr="00F9760D">
        <w:rPr>
          <w:rFonts w:ascii="Tahoma" w:hAnsi="Tahoma" w:cs="Tahoma"/>
          <w:sz w:val="19"/>
          <w:szCs w:val="19"/>
        </w:rPr>
        <w:t>).</w:t>
      </w:r>
    </w:p>
    <w:p w14:paraId="791A2E73" w14:textId="173B0A73" w:rsidR="002B0A3D" w:rsidRPr="00413454" w:rsidRDefault="002B0A3D" w:rsidP="001B204C">
      <w:pPr>
        <w:tabs>
          <w:tab w:val="left" w:pos="426"/>
        </w:tabs>
        <w:spacing w:before="120" w:after="120" w:line="360" w:lineRule="auto"/>
        <w:rPr>
          <w:rFonts w:ascii="Tahoma" w:hAnsi="Tahoma" w:cs="Tahoma"/>
          <w:sz w:val="19"/>
          <w:szCs w:val="19"/>
        </w:rPr>
      </w:pPr>
      <w:r w:rsidRPr="00413454">
        <w:rPr>
          <w:rFonts w:ascii="Tahoma" w:hAnsi="Tahoma" w:cs="Tahoma"/>
          <w:sz w:val="19"/>
          <w:szCs w:val="19"/>
        </w:rPr>
        <w:t>Com ess</w:t>
      </w:r>
      <w:r w:rsidR="00A94A6E" w:rsidRPr="00413454">
        <w:rPr>
          <w:rFonts w:ascii="Tahoma" w:hAnsi="Tahoma" w:cs="Tahoma"/>
          <w:sz w:val="19"/>
          <w:szCs w:val="19"/>
        </w:rPr>
        <w:t>as fontes</w:t>
      </w:r>
      <w:r w:rsidRPr="00413454">
        <w:rPr>
          <w:rFonts w:ascii="Tahoma" w:hAnsi="Tahoma" w:cs="Tahoma"/>
          <w:sz w:val="19"/>
          <w:szCs w:val="19"/>
        </w:rPr>
        <w:t xml:space="preserve">, </w:t>
      </w:r>
      <w:r w:rsidR="001B204C" w:rsidRPr="00413454">
        <w:rPr>
          <w:rFonts w:ascii="Tahoma" w:hAnsi="Tahoma" w:cs="Tahoma"/>
          <w:sz w:val="19"/>
          <w:szCs w:val="19"/>
        </w:rPr>
        <w:t>desenvolvemos e operamos diferentes instrumentos de apoio financeiro e não financeiro e realizamos ações de gestão e articulação. Por meio d</w:t>
      </w:r>
      <w:r w:rsidR="000A7DC0" w:rsidRPr="00413454">
        <w:rPr>
          <w:rFonts w:ascii="Tahoma" w:hAnsi="Tahoma" w:cs="Tahoma"/>
          <w:sz w:val="19"/>
          <w:szCs w:val="19"/>
        </w:rPr>
        <w:t>a operação d</w:t>
      </w:r>
      <w:r w:rsidR="001B204C" w:rsidRPr="00413454">
        <w:rPr>
          <w:rFonts w:ascii="Tahoma" w:hAnsi="Tahoma" w:cs="Tahoma"/>
          <w:sz w:val="19"/>
          <w:szCs w:val="19"/>
        </w:rPr>
        <w:t>esses instrumentos colaboramos para a execução de planos estratégicos, iniciativas e projetos de CT&amp;I, que selecionamos a partir de propostas recebidas de instituições científicas, tecnológicas e de inovação (ICTs), como universidades e institutos de pesquisa, e de empresas nacionais de todos os portes.</w:t>
      </w:r>
    </w:p>
    <w:p w14:paraId="5E07AFB2" w14:textId="5AE84922" w:rsidR="00304559" w:rsidRPr="00413454" w:rsidRDefault="00304559" w:rsidP="00413454">
      <w:pPr>
        <w:spacing w:before="60" w:after="120"/>
        <w:rPr>
          <w:rFonts w:ascii="Tahoma" w:hAnsi="Tahoma" w:cs="Tahoma"/>
          <w:color w:val="0098BA"/>
          <w:sz w:val="19"/>
          <w:szCs w:val="19"/>
        </w:rPr>
      </w:pPr>
      <w:r w:rsidRPr="00413454">
        <w:rPr>
          <w:rFonts w:ascii="Tahoma" w:hAnsi="Tahoma" w:cs="Tahoma"/>
          <w:color w:val="0098BA"/>
          <w:sz w:val="19"/>
          <w:szCs w:val="19"/>
        </w:rPr>
        <w:t>Quadro-resumo: eixos, instrumentos</w:t>
      </w:r>
      <w:r w:rsidR="00DE6BE0" w:rsidRPr="00413454">
        <w:rPr>
          <w:rFonts w:ascii="Tahoma" w:hAnsi="Tahoma" w:cs="Tahoma"/>
          <w:color w:val="0098BA"/>
          <w:sz w:val="19"/>
          <w:szCs w:val="19"/>
        </w:rPr>
        <w:t xml:space="preserve"> </w:t>
      </w:r>
      <w:r w:rsidRPr="00413454">
        <w:rPr>
          <w:rFonts w:ascii="Tahoma" w:hAnsi="Tahoma" w:cs="Tahoma"/>
          <w:color w:val="0098BA"/>
          <w:sz w:val="19"/>
          <w:szCs w:val="19"/>
        </w:rPr>
        <w:t>e fontes de recursos - 2023</w:t>
      </w:r>
    </w:p>
    <w:tbl>
      <w:tblPr>
        <w:tblW w:w="9062" w:type="dxa"/>
        <w:tblInd w:w="-1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2684"/>
        <w:gridCol w:w="3260"/>
        <w:gridCol w:w="3118"/>
      </w:tblGrid>
      <w:tr w:rsidR="00304559" w:rsidRPr="00413454" w14:paraId="1778151D" w14:textId="77777777" w:rsidTr="003C39EB">
        <w:trPr>
          <w:trHeight w:val="567"/>
          <w:tblHeader/>
        </w:trPr>
        <w:tc>
          <w:tcPr>
            <w:tcW w:w="2684" w:type="dxa"/>
            <w:shd w:val="clear" w:color="auto" w:fill="0098BA"/>
            <w:tcMar>
              <w:top w:w="0" w:type="dxa"/>
              <w:left w:w="70" w:type="dxa"/>
              <w:bottom w:w="0" w:type="dxa"/>
              <w:right w:w="70" w:type="dxa"/>
            </w:tcMar>
            <w:vAlign w:val="center"/>
          </w:tcPr>
          <w:p w14:paraId="67EC37C6" w14:textId="120ADE89" w:rsidR="00304559" w:rsidRPr="00413454" w:rsidRDefault="00304559" w:rsidP="00A534A2">
            <w:pPr>
              <w:rPr>
                <w:rFonts w:ascii="Tahoma" w:hAnsi="Tahoma" w:cs="Tahoma"/>
                <w:color w:val="FFFFFF"/>
                <w:sz w:val="19"/>
                <w:szCs w:val="19"/>
              </w:rPr>
            </w:pPr>
            <w:r w:rsidRPr="00413454">
              <w:rPr>
                <w:rFonts w:ascii="Tahoma" w:hAnsi="Tahoma" w:cs="Tahoma"/>
                <w:color w:val="FFFFFF"/>
                <w:sz w:val="19"/>
                <w:szCs w:val="19"/>
              </w:rPr>
              <w:t>Eixo do Modelo de Negócios</w:t>
            </w:r>
          </w:p>
        </w:tc>
        <w:tc>
          <w:tcPr>
            <w:tcW w:w="3260" w:type="dxa"/>
            <w:shd w:val="clear" w:color="auto" w:fill="0098BA"/>
            <w:tcMar>
              <w:top w:w="0" w:type="dxa"/>
              <w:left w:w="70" w:type="dxa"/>
              <w:bottom w:w="0" w:type="dxa"/>
              <w:right w:w="70" w:type="dxa"/>
            </w:tcMar>
            <w:vAlign w:val="center"/>
          </w:tcPr>
          <w:p w14:paraId="6C248749" w14:textId="7021A097" w:rsidR="00304559" w:rsidRPr="00413454" w:rsidRDefault="00304559" w:rsidP="00A534A2">
            <w:pPr>
              <w:rPr>
                <w:rFonts w:ascii="Tahoma" w:hAnsi="Tahoma" w:cs="Tahoma"/>
                <w:color w:val="FFFFFF"/>
                <w:sz w:val="19"/>
                <w:szCs w:val="19"/>
              </w:rPr>
            </w:pPr>
            <w:r w:rsidRPr="00413454">
              <w:rPr>
                <w:rFonts w:ascii="Tahoma" w:hAnsi="Tahoma" w:cs="Tahoma"/>
                <w:color w:val="FFFFFF"/>
                <w:sz w:val="19"/>
                <w:szCs w:val="19"/>
              </w:rPr>
              <w:t>Instrumento</w:t>
            </w:r>
          </w:p>
        </w:tc>
        <w:tc>
          <w:tcPr>
            <w:tcW w:w="3118" w:type="dxa"/>
            <w:shd w:val="clear" w:color="auto" w:fill="0098BA"/>
            <w:tcMar>
              <w:top w:w="0" w:type="dxa"/>
              <w:left w:w="70" w:type="dxa"/>
              <w:bottom w:w="0" w:type="dxa"/>
              <w:right w:w="70" w:type="dxa"/>
            </w:tcMar>
            <w:vAlign w:val="center"/>
          </w:tcPr>
          <w:p w14:paraId="5066EBFC" w14:textId="2E9F8375" w:rsidR="00304559" w:rsidRPr="00413454" w:rsidRDefault="00304559" w:rsidP="00A534A2">
            <w:pPr>
              <w:rPr>
                <w:rFonts w:ascii="Tahoma" w:hAnsi="Tahoma" w:cs="Tahoma"/>
                <w:color w:val="FFFFFF"/>
                <w:sz w:val="19"/>
                <w:szCs w:val="19"/>
              </w:rPr>
            </w:pPr>
            <w:r w:rsidRPr="00413454">
              <w:rPr>
                <w:rFonts w:ascii="Tahoma" w:hAnsi="Tahoma" w:cs="Tahoma"/>
                <w:color w:val="FFFFFF"/>
                <w:sz w:val="19"/>
                <w:szCs w:val="19"/>
              </w:rPr>
              <w:t>Fonte de recursos</w:t>
            </w:r>
          </w:p>
        </w:tc>
      </w:tr>
      <w:tr w:rsidR="0023520E" w:rsidRPr="00B26129" w14:paraId="210DB02A" w14:textId="77777777" w:rsidTr="003C39EB">
        <w:trPr>
          <w:trHeight w:val="567"/>
        </w:trPr>
        <w:tc>
          <w:tcPr>
            <w:tcW w:w="2684" w:type="dxa"/>
            <w:shd w:val="clear" w:color="auto" w:fill="auto"/>
            <w:tcMar>
              <w:top w:w="0" w:type="dxa"/>
              <w:left w:w="70" w:type="dxa"/>
              <w:bottom w:w="0" w:type="dxa"/>
              <w:right w:w="70" w:type="dxa"/>
            </w:tcMar>
            <w:vAlign w:val="center"/>
          </w:tcPr>
          <w:p w14:paraId="74CEC8F5" w14:textId="591F1B86" w:rsidR="00304559" w:rsidRPr="00413454" w:rsidRDefault="00304559" w:rsidP="00A534A2">
            <w:pPr>
              <w:rPr>
                <w:rFonts w:ascii="Tahoma" w:hAnsi="Tahoma" w:cs="Tahoma"/>
                <w:color w:val="000000"/>
                <w:sz w:val="19"/>
                <w:szCs w:val="19"/>
              </w:rPr>
            </w:pPr>
            <w:r w:rsidRPr="00413454">
              <w:rPr>
                <w:rFonts w:ascii="Tahoma" w:hAnsi="Tahoma" w:cs="Tahoma"/>
                <w:color w:val="000000"/>
                <w:sz w:val="19"/>
                <w:szCs w:val="19"/>
              </w:rPr>
              <w:t>Ciência e Tecnologia</w:t>
            </w:r>
          </w:p>
        </w:tc>
        <w:tc>
          <w:tcPr>
            <w:tcW w:w="3260" w:type="dxa"/>
            <w:shd w:val="clear" w:color="auto" w:fill="auto"/>
            <w:tcMar>
              <w:top w:w="0" w:type="dxa"/>
              <w:left w:w="70" w:type="dxa"/>
              <w:bottom w:w="0" w:type="dxa"/>
              <w:right w:w="70" w:type="dxa"/>
            </w:tcMar>
            <w:vAlign w:val="center"/>
          </w:tcPr>
          <w:p w14:paraId="3C004D86" w14:textId="77777777" w:rsidR="00304559" w:rsidRPr="00413454" w:rsidRDefault="00304559" w:rsidP="00A534A2">
            <w:pPr>
              <w:rPr>
                <w:rFonts w:ascii="Tahoma" w:hAnsi="Tahoma" w:cs="Tahoma"/>
                <w:color w:val="000000"/>
                <w:sz w:val="19"/>
                <w:szCs w:val="19"/>
              </w:rPr>
            </w:pPr>
            <w:r w:rsidRPr="00413454">
              <w:rPr>
                <w:rFonts w:ascii="Tahoma" w:hAnsi="Tahoma" w:cs="Tahoma"/>
                <w:color w:val="000000"/>
                <w:sz w:val="19"/>
                <w:szCs w:val="19"/>
              </w:rPr>
              <w:t>Financiamento não reembolsável a ICTs</w:t>
            </w:r>
          </w:p>
        </w:tc>
        <w:tc>
          <w:tcPr>
            <w:tcW w:w="3118" w:type="dxa"/>
            <w:shd w:val="clear" w:color="auto" w:fill="auto"/>
            <w:tcMar>
              <w:top w:w="0" w:type="dxa"/>
              <w:left w:w="70" w:type="dxa"/>
              <w:bottom w:w="0" w:type="dxa"/>
              <w:right w:w="70" w:type="dxa"/>
            </w:tcMar>
            <w:vAlign w:val="center"/>
          </w:tcPr>
          <w:p w14:paraId="72AAE485" w14:textId="39582898" w:rsidR="00304559" w:rsidRPr="00B26129" w:rsidRDefault="00304559" w:rsidP="00A534A2">
            <w:pPr>
              <w:rPr>
                <w:rFonts w:ascii="Tahoma" w:hAnsi="Tahoma" w:cs="Tahoma"/>
                <w:color w:val="000000"/>
                <w:sz w:val="19"/>
                <w:szCs w:val="19"/>
              </w:rPr>
            </w:pPr>
            <w:r w:rsidRPr="00B26129">
              <w:rPr>
                <w:rFonts w:ascii="Tahoma" w:hAnsi="Tahoma" w:cs="Tahoma"/>
                <w:color w:val="000000"/>
                <w:sz w:val="19"/>
                <w:szCs w:val="19"/>
              </w:rPr>
              <w:t>FNDCT</w:t>
            </w:r>
            <w:r w:rsidR="00B26129" w:rsidRPr="00B26129">
              <w:rPr>
                <w:rFonts w:ascii="Tahoma" w:hAnsi="Tahoma" w:cs="Tahoma"/>
                <w:color w:val="000000"/>
                <w:sz w:val="19"/>
                <w:szCs w:val="19"/>
              </w:rPr>
              <w:t xml:space="preserve"> (com</w:t>
            </w:r>
            <w:r w:rsidRPr="00B26129">
              <w:rPr>
                <w:rFonts w:ascii="Tahoma" w:hAnsi="Tahoma" w:cs="Tahoma"/>
                <w:color w:val="000000"/>
                <w:sz w:val="19"/>
                <w:szCs w:val="19"/>
              </w:rPr>
              <w:t xml:space="preserve"> FNS</w:t>
            </w:r>
            <w:r w:rsidR="00B26129" w:rsidRPr="00B26129">
              <w:rPr>
                <w:rFonts w:ascii="Tahoma" w:hAnsi="Tahoma" w:cs="Tahoma"/>
                <w:color w:val="000000"/>
                <w:sz w:val="19"/>
                <w:szCs w:val="19"/>
              </w:rPr>
              <w:t xml:space="preserve"> e</w:t>
            </w:r>
            <w:r w:rsidRPr="00B26129">
              <w:rPr>
                <w:rFonts w:ascii="Tahoma" w:hAnsi="Tahoma" w:cs="Tahoma"/>
                <w:color w:val="000000"/>
                <w:sz w:val="19"/>
                <w:szCs w:val="19"/>
              </w:rPr>
              <w:t xml:space="preserve"> </w:t>
            </w:r>
            <w:r w:rsidR="00B26129" w:rsidRPr="00B26129">
              <w:rPr>
                <w:rFonts w:ascii="Tahoma" w:hAnsi="Tahoma" w:cs="Tahoma"/>
                <w:color w:val="000000"/>
                <w:sz w:val="19"/>
                <w:szCs w:val="19"/>
              </w:rPr>
              <w:t xml:space="preserve">MAPA); </w:t>
            </w:r>
            <w:r w:rsidRPr="00B26129">
              <w:rPr>
                <w:rFonts w:ascii="Tahoma" w:hAnsi="Tahoma" w:cs="Tahoma"/>
                <w:color w:val="000000"/>
                <w:sz w:val="19"/>
                <w:szCs w:val="19"/>
              </w:rPr>
              <w:t>Funttel; ANP, Rota 2030</w:t>
            </w:r>
          </w:p>
        </w:tc>
      </w:tr>
      <w:tr w:rsidR="00BB7B36" w:rsidRPr="00413454" w14:paraId="12288348" w14:textId="77777777" w:rsidTr="003C39EB">
        <w:trPr>
          <w:trHeight w:val="567"/>
        </w:trPr>
        <w:tc>
          <w:tcPr>
            <w:tcW w:w="2684" w:type="dxa"/>
            <w:vMerge w:val="restart"/>
            <w:shd w:val="clear" w:color="auto" w:fill="auto"/>
            <w:tcMar>
              <w:top w:w="0" w:type="dxa"/>
              <w:left w:w="70" w:type="dxa"/>
              <w:bottom w:w="0" w:type="dxa"/>
              <w:right w:w="70" w:type="dxa"/>
            </w:tcMar>
            <w:vAlign w:val="center"/>
          </w:tcPr>
          <w:p w14:paraId="769EAAA2" w14:textId="4E562088" w:rsidR="00BB7B36" w:rsidRPr="00413454" w:rsidRDefault="00BB7B36" w:rsidP="00BB7B36">
            <w:pPr>
              <w:suppressAutoHyphens/>
              <w:rPr>
                <w:rFonts w:ascii="Tahoma" w:hAnsi="Tahoma" w:cs="Tahoma"/>
                <w:color w:val="000000"/>
                <w:sz w:val="19"/>
                <w:szCs w:val="19"/>
              </w:rPr>
            </w:pPr>
            <w:r w:rsidRPr="00413454">
              <w:rPr>
                <w:rFonts w:ascii="Tahoma" w:hAnsi="Tahoma" w:cs="Tahoma"/>
                <w:color w:val="000000"/>
                <w:sz w:val="19"/>
                <w:szCs w:val="19"/>
              </w:rPr>
              <w:t>Pesquisa, Desenvolvimento e Inovação</w:t>
            </w:r>
          </w:p>
        </w:tc>
        <w:tc>
          <w:tcPr>
            <w:tcW w:w="3260" w:type="dxa"/>
            <w:shd w:val="clear" w:color="auto" w:fill="auto"/>
            <w:tcMar>
              <w:top w:w="0" w:type="dxa"/>
              <w:left w:w="70" w:type="dxa"/>
              <w:bottom w:w="0" w:type="dxa"/>
              <w:right w:w="70" w:type="dxa"/>
            </w:tcMar>
            <w:vAlign w:val="center"/>
          </w:tcPr>
          <w:p w14:paraId="4005047C" w14:textId="515CC36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Subvenção econômica direta</w:t>
            </w:r>
          </w:p>
        </w:tc>
        <w:tc>
          <w:tcPr>
            <w:tcW w:w="3118" w:type="dxa"/>
            <w:shd w:val="clear" w:color="auto" w:fill="auto"/>
            <w:tcMar>
              <w:top w:w="0" w:type="dxa"/>
              <w:left w:w="70" w:type="dxa"/>
              <w:bottom w:w="0" w:type="dxa"/>
              <w:right w:w="70" w:type="dxa"/>
            </w:tcMar>
            <w:vAlign w:val="center"/>
          </w:tcPr>
          <w:p w14:paraId="1B89D7CD" w14:textId="6EC1231A"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FNDCT</w:t>
            </w:r>
          </w:p>
        </w:tc>
      </w:tr>
      <w:tr w:rsidR="00BB7B36" w:rsidRPr="00413454" w14:paraId="5F9E2348" w14:textId="77777777" w:rsidTr="003C39EB">
        <w:trPr>
          <w:trHeight w:val="567"/>
        </w:trPr>
        <w:tc>
          <w:tcPr>
            <w:tcW w:w="2684" w:type="dxa"/>
            <w:vMerge/>
            <w:shd w:val="clear" w:color="auto" w:fill="auto"/>
            <w:tcMar>
              <w:top w:w="0" w:type="dxa"/>
              <w:left w:w="70" w:type="dxa"/>
              <w:bottom w:w="0" w:type="dxa"/>
              <w:right w:w="70" w:type="dxa"/>
            </w:tcMar>
            <w:vAlign w:val="center"/>
          </w:tcPr>
          <w:p w14:paraId="252BF9D3" w14:textId="54940A25" w:rsidR="00BB7B36" w:rsidRPr="00413454" w:rsidRDefault="00BB7B36" w:rsidP="00BB7B36">
            <w:pPr>
              <w:rPr>
                <w:rFonts w:ascii="Tahoma" w:hAnsi="Tahoma" w:cs="Tahoma"/>
                <w:color w:val="000000"/>
                <w:sz w:val="19"/>
                <w:szCs w:val="19"/>
              </w:rPr>
            </w:pPr>
          </w:p>
        </w:tc>
        <w:tc>
          <w:tcPr>
            <w:tcW w:w="3260" w:type="dxa"/>
            <w:shd w:val="clear" w:color="auto" w:fill="auto"/>
            <w:tcMar>
              <w:top w:w="0" w:type="dxa"/>
              <w:left w:w="70" w:type="dxa"/>
              <w:bottom w:w="0" w:type="dxa"/>
              <w:right w:w="70" w:type="dxa"/>
            </w:tcMar>
            <w:vAlign w:val="center"/>
          </w:tcPr>
          <w:p w14:paraId="231BE0D5"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Financiamento reembolsável – crédito direto</w:t>
            </w:r>
          </w:p>
        </w:tc>
        <w:tc>
          <w:tcPr>
            <w:tcW w:w="3118" w:type="dxa"/>
            <w:shd w:val="clear" w:color="auto" w:fill="auto"/>
            <w:tcMar>
              <w:top w:w="0" w:type="dxa"/>
              <w:left w:w="70" w:type="dxa"/>
              <w:bottom w:w="0" w:type="dxa"/>
              <w:right w:w="70" w:type="dxa"/>
            </w:tcMar>
            <w:vAlign w:val="center"/>
          </w:tcPr>
          <w:p w14:paraId="7F8D024C" w14:textId="2462BB63"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FNDCT; Funttel; Recursos próprios</w:t>
            </w:r>
          </w:p>
        </w:tc>
      </w:tr>
      <w:tr w:rsidR="00BB7B36" w:rsidRPr="00413454" w14:paraId="5446BF72" w14:textId="77777777" w:rsidTr="003C39EB">
        <w:trPr>
          <w:trHeight w:val="567"/>
        </w:trPr>
        <w:tc>
          <w:tcPr>
            <w:tcW w:w="2684" w:type="dxa"/>
            <w:vMerge/>
            <w:shd w:val="clear" w:color="auto" w:fill="auto"/>
            <w:tcMar>
              <w:top w:w="0" w:type="dxa"/>
              <w:left w:w="70" w:type="dxa"/>
              <w:bottom w:w="0" w:type="dxa"/>
              <w:right w:w="70" w:type="dxa"/>
            </w:tcMar>
            <w:vAlign w:val="center"/>
          </w:tcPr>
          <w:p w14:paraId="50BC5CCB" w14:textId="77777777" w:rsidR="00BB7B36" w:rsidRPr="00413454" w:rsidRDefault="00BB7B36" w:rsidP="00BB7B36">
            <w:pPr>
              <w:rPr>
                <w:rFonts w:ascii="Tahoma" w:hAnsi="Tahoma" w:cs="Tahoma"/>
                <w:color w:val="000000"/>
                <w:sz w:val="19"/>
                <w:szCs w:val="19"/>
              </w:rPr>
            </w:pPr>
          </w:p>
        </w:tc>
        <w:tc>
          <w:tcPr>
            <w:tcW w:w="3260" w:type="dxa"/>
            <w:shd w:val="clear" w:color="auto" w:fill="auto"/>
            <w:tcMar>
              <w:top w:w="0" w:type="dxa"/>
              <w:left w:w="70" w:type="dxa"/>
              <w:bottom w:w="0" w:type="dxa"/>
              <w:right w:w="70" w:type="dxa"/>
            </w:tcMar>
            <w:vAlign w:val="center"/>
          </w:tcPr>
          <w:p w14:paraId="6540B734"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Financiamento reembolsável – crédito descentralizado</w:t>
            </w:r>
          </w:p>
        </w:tc>
        <w:tc>
          <w:tcPr>
            <w:tcW w:w="3118" w:type="dxa"/>
            <w:shd w:val="clear" w:color="auto" w:fill="auto"/>
            <w:tcMar>
              <w:top w:w="0" w:type="dxa"/>
              <w:left w:w="70" w:type="dxa"/>
              <w:bottom w:w="0" w:type="dxa"/>
              <w:right w:w="70" w:type="dxa"/>
            </w:tcMar>
            <w:vAlign w:val="center"/>
          </w:tcPr>
          <w:p w14:paraId="7EC12F76" w14:textId="0863D20F"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FNDCT; Funttel; Recursos próprios</w:t>
            </w:r>
          </w:p>
        </w:tc>
      </w:tr>
      <w:tr w:rsidR="00BB7B36" w:rsidRPr="00413454" w14:paraId="79708B7A" w14:textId="77777777" w:rsidTr="003C39EB">
        <w:trPr>
          <w:trHeight w:val="567"/>
        </w:trPr>
        <w:tc>
          <w:tcPr>
            <w:tcW w:w="2684" w:type="dxa"/>
            <w:vMerge/>
            <w:shd w:val="clear" w:color="auto" w:fill="auto"/>
            <w:tcMar>
              <w:top w:w="0" w:type="dxa"/>
              <w:left w:w="70" w:type="dxa"/>
              <w:bottom w:w="0" w:type="dxa"/>
              <w:right w:w="70" w:type="dxa"/>
            </w:tcMar>
            <w:vAlign w:val="center"/>
          </w:tcPr>
          <w:p w14:paraId="392B62BD" w14:textId="77777777" w:rsidR="00BB7B36" w:rsidRPr="00413454" w:rsidRDefault="00BB7B36" w:rsidP="00BB7B36">
            <w:pPr>
              <w:rPr>
                <w:rFonts w:ascii="Tahoma" w:hAnsi="Tahoma" w:cs="Tahoma"/>
                <w:color w:val="000000"/>
                <w:sz w:val="19"/>
                <w:szCs w:val="19"/>
              </w:rPr>
            </w:pPr>
          </w:p>
        </w:tc>
        <w:tc>
          <w:tcPr>
            <w:tcW w:w="3260" w:type="dxa"/>
            <w:shd w:val="clear" w:color="auto" w:fill="auto"/>
            <w:tcMar>
              <w:top w:w="0" w:type="dxa"/>
              <w:left w:w="70" w:type="dxa"/>
              <w:bottom w:w="0" w:type="dxa"/>
              <w:right w:w="70" w:type="dxa"/>
            </w:tcMar>
            <w:vAlign w:val="center"/>
          </w:tcPr>
          <w:p w14:paraId="5077BCD5"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Financiamento não reembolsável a empresas</w:t>
            </w:r>
          </w:p>
        </w:tc>
        <w:tc>
          <w:tcPr>
            <w:tcW w:w="3118" w:type="dxa"/>
            <w:shd w:val="clear" w:color="auto" w:fill="auto"/>
            <w:tcMar>
              <w:top w:w="0" w:type="dxa"/>
              <w:left w:w="70" w:type="dxa"/>
              <w:bottom w:w="0" w:type="dxa"/>
              <w:right w:w="70" w:type="dxa"/>
            </w:tcMar>
            <w:vAlign w:val="center"/>
          </w:tcPr>
          <w:p w14:paraId="1C941EDB"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Rota 2030</w:t>
            </w:r>
          </w:p>
        </w:tc>
      </w:tr>
      <w:tr w:rsidR="00BB7B36" w:rsidRPr="00413454" w14:paraId="6DCA5E9A" w14:textId="77777777" w:rsidTr="003C39EB">
        <w:trPr>
          <w:trHeight w:val="567"/>
        </w:trPr>
        <w:tc>
          <w:tcPr>
            <w:tcW w:w="2684" w:type="dxa"/>
            <w:vMerge w:val="restart"/>
            <w:shd w:val="clear" w:color="auto" w:fill="auto"/>
            <w:tcMar>
              <w:top w:w="0" w:type="dxa"/>
              <w:left w:w="70" w:type="dxa"/>
              <w:bottom w:w="0" w:type="dxa"/>
              <w:right w:w="70" w:type="dxa"/>
            </w:tcMar>
            <w:vAlign w:val="center"/>
          </w:tcPr>
          <w:p w14:paraId="48B18CEB" w14:textId="795969D9"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Empreendedorismo inovador</w:t>
            </w:r>
          </w:p>
        </w:tc>
        <w:tc>
          <w:tcPr>
            <w:tcW w:w="3260" w:type="dxa"/>
            <w:shd w:val="clear" w:color="auto" w:fill="auto"/>
            <w:tcMar>
              <w:top w:w="0" w:type="dxa"/>
              <w:left w:w="70" w:type="dxa"/>
              <w:bottom w:w="0" w:type="dxa"/>
              <w:right w:w="70" w:type="dxa"/>
            </w:tcMar>
            <w:vAlign w:val="center"/>
          </w:tcPr>
          <w:p w14:paraId="5E77F693" w14:textId="6224FD5B"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Subvenção econômica descentralizada</w:t>
            </w:r>
          </w:p>
        </w:tc>
        <w:tc>
          <w:tcPr>
            <w:tcW w:w="3118" w:type="dxa"/>
            <w:shd w:val="clear" w:color="auto" w:fill="auto"/>
            <w:tcMar>
              <w:top w:w="0" w:type="dxa"/>
              <w:left w:w="70" w:type="dxa"/>
              <w:bottom w:w="0" w:type="dxa"/>
              <w:right w:w="70" w:type="dxa"/>
            </w:tcMar>
            <w:vAlign w:val="center"/>
          </w:tcPr>
          <w:p w14:paraId="3B3B5220"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FNDCT</w:t>
            </w:r>
          </w:p>
        </w:tc>
      </w:tr>
      <w:tr w:rsidR="00BB7B36" w:rsidRPr="00413454" w14:paraId="22BB4FB8" w14:textId="77777777" w:rsidTr="003C39EB">
        <w:trPr>
          <w:trHeight w:val="567"/>
        </w:trPr>
        <w:tc>
          <w:tcPr>
            <w:tcW w:w="2684" w:type="dxa"/>
            <w:vMerge/>
            <w:shd w:val="clear" w:color="auto" w:fill="auto"/>
            <w:tcMar>
              <w:top w:w="0" w:type="dxa"/>
              <w:left w:w="70" w:type="dxa"/>
              <w:bottom w:w="0" w:type="dxa"/>
              <w:right w:w="70" w:type="dxa"/>
            </w:tcMar>
            <w:vAlign w:val="center"/>
          </w:tcPr>
          <w:p w14:paraId="079C3701" w14:textId="77777777" w:rsidR="00BB7B36" w:rsidRPr="00413454" w:rsidRDefault="00BB7B36" w:rsidP="00BB7B36">
            <w:pPr>
              <w:rPr>
                <w:rFonts w:ascii="Tahoma" w:hAnsi="Tahoma" w:cs="Tahoma"/>
                <w:color w:val="000000"/>
                <w:sz w:val="19"/>
                <w:szCs w:val="19"/>
              </w:rPr>
            </w:pPr>
          </w:p>
        </w:tc>
        <w:tc>
          <w:tcPr>
            <w:tcW w:w="3260" w:type="dxa"/>
            <w:shd w:val="clear" w:color="auto" w:fill="auto"/>
            <w:tcMar>
              <w:top w:w="0" w:type="dxa"/>
              <w:left w:w="70" w:type="dxa"/>
              <w:bottom w:w="0" w:type="dxa"/>
              <w:right w:w="70" w:type="dxa"/>
            </w:tcMar>
            <w:vAlign w:val="center"/>
          </w:tcPr>
          <w:p w14:paraId="0EF6DAFD"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Aquisição de Instrumentos Conversíveis em Participação no Capital Social</w:t>
            </w:r>
          </w:p>
        </w:tc>
        <w:tc>
          <w:tcPr>
            <w:tcW w:w="3118" w:type="dxa"/>
            <w:shd w:val="clear" w:color="auto" w:fill="auto"/>
            <w:tcMar>
              <w:top w:w="0" w:type="dxa"/>
              <w:left w:w="70" w:type="dxa"/>
              <w:bottom w:w="0" w:type="dxa"/>
              <w:right w:w="70" w:type="dxa"/>
            </w:tcMar>
            <w:vAlign w:val="center"/>
          </w:tcPr>
          <w:p w14:paraId="2F3BC32D"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Recursos próprios</w:t>
            </w:r>
          </w:p>
        </w:tc>
      </w:tr>
      <w:tr w:rsidR="00BB7B36" w:rsidRPr="00413454" w14:paraId="03350DE9" w14:textId="77777777" w:rsidTr="003C39EB">
        <w:trPr>
          <w:trHeight w:val="567"/>
        </w:trPr>
        <w:tc>
          <w:tcPr>
            <w:tcW w:w="2684" w:type="dxa"/>
            <w:vMerge/>
            <w:shd w:val="clear" w:color="auto" w:fill="auto"/>
            <w:tcMar>
              <w:top w:w="0" w:type="dxa"/>
              <w:left w:w="70" w:type="dxa"/>
              <w:bottom w:w="0" w:type="dxa"/>
              <w:right w:w="70" w:type="dxa"/>
            </w:tcMar>
            <w:vAlign w:val="center"/>
          </w:tcPr>
          <w:p w14:paraId="06EE0C6E" w14:textId="77777777" w:rsidR="00BB7B36" w:rsidRPr="00413454" w:rsidRDefault="00BB7B36" w:rsidP="00BB7B36">
            <w:pPr>
              <w:rPr>
                <w:rFonts w:ascii="Tahoma" w:hAnsi="Tahoma" w:cs="Tahoma"/>
                <w:color w:val="000000"/>
                <w:sz w:val="19"/>
                <w:szCs w:val="19"/>
              </w:rPr>
            </w:pPr>
          </w:p>
        </w:tc>
        <w:tc>
          <w:tcPr>
            <w:tcW w:w="3260" w:type="dxa"/>
            <w:shd w:val="clear" w:color="auto" w:fill="auto"/>
            <w:tcMar>
              <w:top w:w="0" w:type="dxa"/>
              <w:left w:w="70" w:type="dxa"/>
              <w:bottom w:w="0" w:type="dxa"/>
              <w:right w:w="70" w:type="dxa"/>
            </w:tcMar>
            <w:vAlign w:val="center"/>
          </w:tcPr>
          <w:p w14:paraId="755F8F7B"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Capacitação e premiação</w:t>
            </w:r>
          </w:p>
        </w:tc>
        <w:tc>
          <w:tcPr>
            <w:tcW w:w="3118" w:type="dxa"/>
            <w:shd w:val="clear" w:color="auto" w:fill="auto"/>
            <w:tcMar>
              <w:top w:w="0" w:type="dxa"/>
              <w:left w:w="70" w:type="dxa"/>
              <w:bottom w:w="0" w:type="dxa"/>
              <w:right w:w="70" w:type="dxa"/>
            </w:tcMar>
            <w:vAlign w:val="center"/>
          </w:tcPr>
          <w:p w14:paraId="6E105260"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Recursos próprios</w:t>
            </w:r>
          </w:p>
        </w:tc>
      </w:tr>
      <w:tr w:rsidR="00BB7B36" w:rsidRPr="00413454" w14:paraId="71C1F705" w14:textId="77777777" w:rsidTr="003C39EB">
        <w:trPr>
          <w:trHeight w:val="567"/>
        </w:trPr>
        <w:tc>
          <w:tcPr>
            <w:tcW w:w="2684" w:type="dxa"/>
            <w:vMerge/>
            <w:shd w:val="clear" w:color="auto" w:fill="auto"/>
            <w:tcMar>
              <w:top w:w="0" w:type="dxa"/>
              <w:left w:w="70" w:type="dxa"/>
              <w:bottom w:w="0" w:type="dxa"/>
              <w:right w:w="70" w:type="dxa"/>
            </w:tcMar>
            <w:vAlign w:val="center"/>
          </w:tcPr>
          <w:p w14:paraId="25635FD0" w14:textId="77777777" w:rsidR="00BB7B36" w:rsidRPr="00413454" w:rsidRDefault="00BB7B36" w:rsidP="00BB7B36">
            <w:pPr>
              <w:rPr>
                <w:rFonts w:ascii="Tahoma" w:hAnsi="Tahoma" w:cs="Tahoma"/>
                <w:color w:val="000000"/>
                <w:sz w:val="19"/>
                <w:szCs w:val="19"/>
              </w:rPr>
            </w:pPr>
          </w:p>
        </w:tc>
        <w:tc>
          <w:tcPr>
            <w:tcW w:w="3260" w:type="dxa"/>
            <w:shd w:val="clear" w:color="auto" w:fill="auto"/>
            <w:tcMar>
              <w:top w:w="0" w:type="dxa"/>
              <w:left w:w="70" w:type="dxa"/>
              <w:bottom w:w="0" w:type="dxa"/>
              <w:right w:w="70" w:type="dxa"/>
            </w:tcMar>
            <w:vAlign w:val="center"/>
          </w:tcPr>
          <w:p w14:paraId="705F82EE"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Investimento em FIPs exclusivos</w:t>
            </w:r>
          </w:p>
        </w:tc>
        <w:tc>
          <w:tcPr>
            <w:tcW w:w="3118" w:type="dxa"/>
            <w:shd w:val="clear" w:color="auto" w:fill="auto"/>
            <w:tcMar>
              <w:top w:w="0" w:type="dxa"/>
              <w:left w:w="70" w:type="dxa"/>
              <w:bottom w:w="0" w:type="dxa"/>
              <w:right w:w="70" w:type="dxa"/>
            </w:tcMar>
            <w:vAlign w:val="center"/>
          </w:tcPr>
          <w:p w14:paraId="1B2EE989" w14:textId="4F619ED0"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Recursos próprios</w:t>
            </w:r>
            <w:r w:rsidR="00E53D51">
              <w:rPr>
                <w:rFonts w:ascii="Tahoma" w:hAnsi="Tahoma" w:cs="Tahoma"/>
                <w:color w:val="000000"/>
                <w:sz w:val="19"/>
                <w:szCs w:val="19"/>
              </w:rPr>
              <w:t>; Funttel</w:t>
            </w:r>
          </w:p>
        </w:tc>
      </w:tr>
      <w:tr w:rsidR="00BB7B36" w:rsidRPr="00413454" w14:paraId="4BC24F16" w14:textId="77777777" w:rsidTr="003C39EB">
        <w:trPr>
          <w:trHeight w:val="567"/>
        </w:trPr>
        <w:tc>
          <w:tcPr>
            <w:tcW w:w="2684" w:type="dxa"/>
            <w:vMerge/>
            <w:shd w:val="clear" w:color="auto" w:fill="auto"/>
            <w:tcMar>
              <w:top w:w="0" w:type="dxa"/>
              <w:left w:w="70" w:type="dxa"/>
              <w:bottom w:w="0" w:type="dxa"/>
              <w:right w:w="70" w:type="dxa"/>
            </w:tcMar>
            <w:vAlign w:val="center"/>
          </w:tcPr>
          <w:p w14:paraId="392E7B3F" w14:textId="77777777" w:rsidR="00BB7B36" w:rsidRPr="00413454" w:rsidRDefault="00BB7B36" w:rsidP="00BB7B36">
            <w:pPr>
              <w:rPr>
                <w:rFonts w:ascii="Tahoma" w:hAnsi="Tahoma" w:cs="Tahoma"/>
                <w:color w:val="000000"/>
                <w:sz w:val="19"/>
                <w:szCs w:val="19"/>
              </w:rPr>
            </w:pPr>
          </w:p>
        </w:tc>
        <w:tc>
          <w:tcPr>
            <w:tcW w:w="3260" w:type="dxa"/>
            <w:shd w:val="clear" w:color="auto" w:fill="auto"/>
            <w:tcMar>
              <w:top w:w="0" w:type="dxa"/>
              <w:left w:w="70" w:type="dxa"/>
              <w:bottom w:w="0" w:type="dxa"/>
              <w:right w:w="70" w:type="dxa"/>
            </w:tcMar>
            <w:vAlign w:val="center"/>
          </w:tcPr>
          <w:p w14:paraId="473AE040" w14:textId="77777777"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Investimento em FIPs não exclusivos</w:t>
            </w:r>
          </w:p>
        </w:tc>
        <w:tc>
          <w:tcPr>
            <w:tcW w:w="3118" w:type="dxa"/>
            <w:shd w:val="clear" w:color="auto" w:fill="auto"/>
            <w:tcMar>
              <w:top w:w="0" w:type="dxa"/>
              <w:left w:w="70" w:type="dxa"/>
              <w:bottom w:w="0" w:type="dxa"/>
              <w:right w:w="70" w:type="dxa"/>
            </w:tcMar>
            <w:vAlign w:val="center"/>
          </w:tcPr>
          <w:p w14:paraId="38B9D237" w14:textId="5FEDF0D8" w:rsidR="00BB7B36" w:rsidRPr="00413454" w:rsidRDefault="00BB7B36" w:rsidP="00BB7B36">
            <w:pPr>
              <w:rPr>
                <w:rFonts w:ascii="Tahoma" w:hAnsi="Tahoma" w:cs="Tahoma"/>
                <w:color w:val="000000"/>
                <w:sz w:val="19"/>
                <w:szCs w:val="19"/>
              </w:rPr>
            </w:pPr>
            <w:r w:rsidRPr="00413454">
              <w:rPr>
                <w:rFonts w:ascii="Tahoma" w:hAnsi="Tahoma" w:cs="Tahoma"/>
                <w:color w:val="000000"/>
                <w:sz w:val="19"/>
                <w:szCs w:val="19"/>
              </w:rPr>
              <w:t>FNDCT</w:t>
            </w:r>
          </w:p>
        </w:tc>
      </w:tr>
    </w:tbl>
    <w:p w14:paraId="7860E74A" w14:textId="763EB0C6" w:rsidR="00304559" w:rsidRPr="00413454" w:rsidRDefault="00076B8C" w:rsidP="00EE342C">
      <w:pPr>
        <w:tabs>
          <w:tab w:val="left" w:pos="426"/>
        </w:tabs>
        <w:spacing w:before="120" w:after="120" w:line="360" w:lineRule="auto"/>
        <w:rPr>
          <w:rFonts w:ascii="Tahoma" w:hAnsi="Tahoma" w:cs="Tahoma"/>
          <w:sz w:val="19"/>
          <w:szCs w:val="19"/>
        </w:rPr>
      </w:pPr>
      <w:r w:rsidRPr="00A57F59">
        <w:rPr>
          <w:rFonts w:asciiTheme="majorHAnsi" w:hAnsiTheme="majorHAnsi" w:cstheme="majorHAnsi"/>
          <w:noProof/>
          <w:sz w:val="22"/>
          <w:szCs w:val="22"/>
        </w:rPr>
        <mc:AlternateContent>
          <mc:Choice Requires="wps">
            <w:drawing>
              <wp:anchor distT="0" distB="0" distL="114300" distR="114300" simplePos="0" relativeHeight="251772928" behindDoc="0" locked="0" layoutInCell="1" allowOverlap="1" wp14:anchorId="435E4C92" wp14:editId="75EF7B9F">
                <wp:simplePos x="0" y="0"/>
                <wp:positionH relativeFrom="column">
                  <wp:posOffset>406400</wp:posOffset>
                </wp:positionH>
                <wp:positionV relativeFrom="paragraph">
                  <wp:posOffset>97155</wp:posOffset>
                </wp:positionV>
                <wp:extent cx="5346700" cy="249382"/>
                <wp:effectExtent l="0" t="0" r="6350" b="0"/>
                <wp:wrapNone/>
                <wp:docPr id="1943982988" name="Text Box 237"/>
                <wp:cNvGraphicFramePr/>
                <a:graphic xmlns:a="http://schemas.openxmlformats.org/drawingml/2006/main">
                  <a:graphicData uri="http://schemas.microsoft.com/office/word/2010/wordprocessingShape">
                    <wps:wsp>
                      <wps:cNvSpPr txBox="1"/>
                      <wps:spPr>
                        <a:xfrm>
                          <a:off x="0" y="0"/>
                          <a:ext cx="5346700" cy="249382"/>
                        </a:xfrm>
                        <a:prstGeom prst="rect">
                          <a:avLst/>
                        </a:prstGeom>
                        <a:solidFill>
                          <a:srgbClr val="0098BA">
                            <a:alpha val="25098"/>
                          </a:srgbClr>
                        </a:solidFill>
                        <a:ln w="6345">
                          <a:noFill/>
                          <a:prstDash val="dash"/>
                        </a:ln>
                      </wps:spPr>
                      <wps:txbx>
                        <w:txbxContent>
                          <w:p w14:paraId="44751FFF" w14:textId="6244E790" w:rsidR="00EE342C" w:rsidRPr="00413454" w:rsidRDefault="00EE342C" w:rsidP="00EE342C">
                            <w:pPr>
                              <w:jc w:val="right"/>
                              <w:rPr>
                                <w:rFonts w:ascii="Tahoma" w:hAnsi="Tahoma" w:cs="Tahoma"/>
                                <w:sz w:val="16"/>
                                <w:szCs w:val="16"/>
                              </w:rPr>
                            </w:pPr>
                            <w:r w:rsidRPr="00413454">
                              <w:rPr>
                                <w:rFonts w:ascii="Tahoma" w:hAnsi="Tahoma" w:cs="Tahoma"/>
                                <w:sz w:val="16"/>
                                <w:szCs w:val="16"/>
                              </w:rPr>
                              <w:t xml:space="preserve">Para </w:t>
                            </w:r>
                            <w:r w:rsidR="000A7DC0" w:rsidRPr="00413454">
                              <w:rPr>
                                <w:rFonts w:ascii="Tahoma" w:hAnsi="Tahoma" w:cs="Tahoma"/>
                                <w:sz w:val="16"/>
                                <w:szCs w:val="16"/>
                              </w:rPr>
                              <w:t xml:space="preserve">informações sobre os </w:t>
                            </w:r>
                            <w:r w:rsidRPr="00413454">
                              <w:rPr>
                                <w:rFonts w:ascii="Tahoma" w:hAnsi="Tahoma" w:cs="Tahoma"/>
                                <w:sz w:val="16"/>
                                <w:szCs w:val="16"/>
                              </w:rPr>
                              <w:t xml:space="preserve">recursos próprios </w:t>
                            </w:r>
                            <w:r w:rsidR="00F041B4" w:rsidRPr="00413454">
                              <w:rPr>
                                <w:rFonts w:ascii="Tahoma" w:hAnsi="Tahoma" w:cs="Tahoma"/>
                                <w:sz w:val="16"/>
                                <w:szCs w:val="16"/>
                              </w:rPr>
                              <w:t xml:space="preserve">e </w:t>
                            </w:r>
                            <w:r w:rsidR="000A7DC0" w:rsidRPr="00413454">
                              <w:rPr>
                                <w:rFonts w:ascii="Tahoma" w:hAnsi="Tahoma" w:cs="Tahoma"/>
                                <w:sz w:val="16"/>
                                <w:szCs w:val="16"/>
                              </w:rPr>
                              <w:t xml:space="preserve">os recursos </w:t>
                            </w:r>
                            <w:r w:rsidR="00F041B4" w:rsidRPr="00413454">
                              <w:rPr>
                                <w:rFonts w:ascii="Tahoma" w:hAnsi="Tahoma" w:cs="Tahoma"/>
                                <w:sz w:val="16"/>
                                <w:szCs w:val="16"/>
                              </w:rPr>
                              <w:t>captados pela</w:t>
                            </w:r>
                            <w:r w:rsidRPr="00413454">
                              <w:rPr>
                                <w:rFonts w:ascii="Tahoma" w:hAnsi="Tahoma" w:cs="Tahoma"/>
                                <w:sz w:val="16"/>
                                <w:szCs w:val="16"/>
                              </w:rPr>
                              <w:t xml:space="preserve"> Finep, </w:t>
                            </w:r>
                            <w:r w:rsidR="00413454" w:rsidRPr="00413454">
                              <w:rPr>
                                <w:rFonts w:ascii="Tahoma" w:hAnsi="Tahoma" w:cs="Tahoma"/>
                                <w:sz w:val="16"/>
                                <w:szCs w:val="16"/>
                              </w:rPr>
                              <w:t>veja</w:t>
                            </w:r>
                            <w:r w:rsidRPr="00413454">
                              <w:rPr>
                                <w:rFonts w:ascii="Tahoma" w:hAnsi="Tahoma" w:cs="Tahoma"/>
                                <w:sz w:val="16"/>
                                <w:szCs w:val="16"/>
                              </w:rPr>
                              <w:t xml:space="preserve"> a seção </w:t>
                            </w:r>
                            <w:r w:rsidRPr="00413454">
                              <w:rPr>
                                <w:rFonts w:ascii="Tahoma" w:hAnsi="Tahoma" w:cs="Tahoma"/>
                                <w:b/>
                                <w:bCs/>
                                <w:sz w:val="16"/>
                                <w:szCs w:val="16"/>
                              </w:rPr>
                              <w:t>Capital Financeiro</w:t>
                            </w:r>
                            <w:r w:rsidRPr="00413454">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35E4C92" id="_x0000_s1032" type="#_x0000_t202" style="position:absolute;margin-left:32pt;margin-top:7.65pt;width:421pt;height:19.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" fillcolor="#0098ba" stroked="f" strokeweight=".17625mm">
                <v:fill opacity="16448f"/>
                <v:stroke dashstyle="dash"/>
                <v:textbox>
                  <w:txbxContent>
                    <w:p w14:paraId="44751FFF" w14:textId="6244E790" w:rsidR="00EE342C" w:rsidRPr="00413454" w:rsidRDefault="00EE342C" w:rsidP="00EE342C">
                      <w:pPr>
                        <w:jc w:val="right"/>
                        <w:rPr>
                          <w:rFonts w:ascii="Tahoma" w:hAnsi="Tahoma" w:cs="Tahoma"/>
                          <w:sz w:val="16"/>
                          <w:szCs w:val="16"/>
                        </w:rPr>
                      </w:pPr>
                      <w:r w:rsidRPr="00413454">
                        <w:rPr>
                          <w:rFonts w:ascii="Tahoma" w:hAnsi="Tahoma" w:cs="Tahoma"/>
                          <w:sz w:val="16"/>
                          <w:szCs w:val="16"/>
                        </w:rPr>
                        <w:t xml:space="preserve">Para </w:t>
                      </w:r>
                      <w:r w:rsidR="000A7DC0" w:rsidRPr="00413454">
                        <w:rPr>
                          <w:rFonts w:ascii="Tahoma" w:hAnsi="Tahoma" w:cs="Tahoma"/>
                          <w:sz w:val="16"/>
                          <w:szCs w:val="16"/>
                        </w:rPr>
                        <w:t xml:space="preserve">informações sobre os </w:t>
                      </w:r>
                      <w:r w:rsidRPr="00413454">
                        <w:rPr>
                          <w:rFonts w:ascii="Tahoma" w:hAnsi="Tahoma" w:cs="Tahoma"/>
                          <w:sz w:val="16"/>
                          <w:szCs w:val="16"/>
                        </w:rPr>
                        <w:t xml:space="preserve">recursos próprios </w:t>
                      </w:r>
                      <w:r w:rsidR="00F041B4" w:rsidRPr="00413454">
                        <w:rPr>
                          <w:rFonts w:ascii="Tahoma" w:hAnsi="Tahoma" w:cs="Tahoma"/>
                          <w:sz w:val="16"/>
                          <w:szCs w:val="16"/>
                        </w:rPr>
                        <w:t xml:space="preserve">e </w:t>
                      </w:r>
                      <w:r w:rsidR="000A7DC0" w:rsidRPr="00413454">
                        <w:rPr>
                          <w:rFonts w:ascii="Tahoma" w:hAnsi="Tahoma" w:cs="Tahoma"/>
                          <w:sz w:val="16"/>
                          <w:szCs w:val="16"/>
                        </w:rPr>
                        <w:t xml:space="preserve">os recursos </w:t>
                      </w:r>
                      <w:r w:rsidR="00F041B4" w:rsidRPr="00413454">
                        <w:rPr>
                          <w:rFonts w:ascii="Tahoma" w:hAnsi="Tahoma" w:cs="Tahoma"/>
                          <w:sz w:val="16"/>
                          <w:szCs w:val="16"/>
                        </w:rPr>
                        <w:t>captados pela</w:t>
                      </w:r>
                      <w:r w:rsidRPr="00413454">
                        <w:rPr>
                          <w:rFonts w:ascii="Tahoma" w:hAnsi="Tahoma" w:cs="Tahoma"/>
                          <w:sz w:val="16"/>
                          <w:szCs w:val="16"/>
                        </w:rPr>
                        <w:t xml:space="preserve"> Finep, </w:t>
                      </w:r>
                      <w:r w:rsidR="00413454" w:rsidRPr="00413454">
                        <w:rPr>
                          <w:rFonts w:ascii="Tahoma" w:hAnsi="Tahoma" w:cs="Tahoma"/>
                          <w:sz w:val="16"/>
                          <w:szCs w:val="16"/>
                        </w:rPr>
                        <w:t>veja</w:t>
                      </w:r>
                      <w:r w:rsidRPr="00413454">
                        <w:rPr>
                          <w:rFonts w:ascii="Tahoma" w:hAnsi="Tahoma" w:cs="Tahoma"/>
                          <w:sz w:val="16"/>
                          <w:szCs w:val="16"/>
                        </w:rPr>
                        <w:t xml:space="preserve"> a seção </w:t>
                      </w:r>
                      <w:r w:rsidRPr="00413454">
                        <w:rPr>
                          <w:rFonts w:ascii="Tahoma" w:hAnsi="Tahoma" w:cs="Tahoma"/>
                          <w:b/>
                          <w:bCs/>
                          <w:sz w:val="16"/>
                          <w:szCs w:val="16"/>
                        </w:rPr>
                        <w:t>Capital Financeiro</w:t>
                      </w:r>
                      <w:r w:rsidRPr="00413454">
                        <w:rPr>
                          <w:rFonts w:ascii="Tahoma" w:hAnsi="Tahoma" w:cs="Tahoma"/>
                          <w:sz w:val="16"/>
                          <w:szCs w:val="16"/>
                        </w:rPr>
                        <w:t>.</w:t>
                      </w:r>
                    </w:p>
                  </w:txbxContent>
                </v:textbox>
              </v:shape>
            </w:pict>
          </mc:Fallback>
        </mc:AlternateContent>
      </w:r>
    </w:p>
    <w:p w14:paraId="00B2C779" w14:textId="77777777" w:rsidR="00A94A6E" w:rsidRPr="00413454" w:rsidRDefault="00A94A6E" w:rsidP="00D03413">
      <w:pPr>
        <w:tabs>
          <w:tab w:val="left" w:pos="426"/>
        </w:tabs>
        <w:spacing w:before="120" w:after="120" w:line="360" w:lineRule="auto"/>
        <w:rPr>
          <w:rFonts w:ascii="Tahoma" w:hAnsi="Tahoma" w:cs="Tahoma"/>
          <w:sz w:val="19"/>
          <w:szCs w:val="19"/>
        </w:rPr>
      </w:pPr>
    </w:p>
    <w:p w14:paraId="3CAABBFF" w14:textId="414055CA" w:rsidR="00232204" w:rsidRPr="00413454" w:rsidRDefault="00232204" w:rsidP="00254F4A">
      <w:pPr>
        <w:tabs>
          <w:tab w:val="left" w:pos="426"/>
        </w:tabs>
        <w:spacing w:before="120" w:after="120" w:line="360" w:lineRule="auto"/>
        <w:rPr>
          <w:rFonts w:ascii="Tahoma" w:hAnsi="Tahoma" w:cs="Tahoma"/>
          <w:sz w:val="19"/>
          <w:szCs w:val="19"/>
        </w:rPr>
      </w:pPr>
      <w:r w:rsidRPr="00232204">
        <w:rPr>
          <w:rFonts w:ascii="Tahoma" w:hAnsi="Tahoma" w:cs="Tahoma"/>
          <w:sz w:val="19"/>
          <w:szCs w:val="19"/>
        </w:rPr>
        <w:t xml:space="preserve">A operacionalização </w:t>
      </w:r>
      <w:r w:rsidR="007208C8" w:rsidRPr="00232204">
        <w:rPr>
          <w:rFonts w:ascii="Tahoma" w:hAnsi="Tahoma" w:cs="Tahoma"/>
          <w:sz w:val="19"/>
          <w:szCs w:val="19"/>
        </w:rPr>
        <w:t>d</w:t>
      </w:r>
      <w:r w:rsidR="007208C8">
        <w:rPr>
          <w:rFonts w:ascii="Tahoma" w:hAnsi="Tahoma" w:cs="Tahoma"/>
          <w:sz w:val="19"/>
          <w:szCs w:val="19"/>
        </w:rPr>
        <w:t>o</w:t>
      </w:r>
      <w:r w:rsidR="007208C8" w:rsidRPr="00232204">
        <w:rPr>
          <w:rFonts w:ascii="Tahoma" w:hAnsi="Tahoma" w:cs="Tahoma"/>
          <w:sz w:val="19"/>
          <w:szCs w:val="19"/>
        </w:rPr>
        <w:t xml:space="preserve">s </w:t>
      </w:r>
      <w:r w:rsidRPr="007D161B">
        <w:rPr>
          <w:rFonts w:ascii="Tahoma" w:hAnsi="Tahoma" w:cs="Tahoma"/>
          <w:sz w:val="19"/>
          <w:szCs w:val="19"/>
        </w:rPr>
        <w:t xml:space="preserve">recursos </w:t>
      </w:r>
      <w:r w:rsidR="00807C1B">
        <w:rPr>
          <w:rFonts w:ascii="Tahoma" w:hAnsi="Tahoma" w:cs="Tahoma"/>
          <w:sz w:val="19"/>
          <w:szCs w:val="19"/>
        </w:rPr>
        <w:t xml:space="preserve">para financiamento a ICTs </w:t>
      </w:r>
      <w:r w:rsidR="00694C52" w:rsidRPr="007D161B">
        <w:rPr>
          <w:rFonts w:ascii="Tahoma" w:hAnsi="Tahoma" w:cs="Tahoma"/>
          <w:sz w:val="19"/>
          <w:szCs w:val="19"/>
        </w:rPr>
        <w:t xml:space="preserve">e </w:t>
      </w:r>
      <w:r w:rsidR="00807C1B">
        <w:rPr>
          <w:rFonts w:ascii="Tahoma" w:hAnsi="Tahoma" w:cs="Tahoma"/>
          <w:sz w:val="19"/>
          <w:szCs w:val="19"/>
        </w:rPr>
        <w:t xml:space="preserve">para </w:t>
      </w:r>
      <w:r w:rsidR="00694C52" w:rsidRPr="007D161B">
        <w:rPr>
          <w:rFonts w:ascii="Tahoma" w:hAnsi="Tahoma" w:cs="Tahoma"/>
          <w:sz w:val="19"/>
          <w:szCs w:val="19"/>
        </w:rPr>
        <w:t>subvenção</w:t>
      </w:r>
      <w:r w:rsidRPr="00232204">
        <w:rPr>
          <w:rFonts w:ascii="Tahoma" w:hAnsi="Tahoma" w:cs="Tahoma"/>
          <w:sz w:val="19"/>
          <w:szCs w:val="19"/>
        </w:rPr>
        <w:t xml:space="preserve"> </w:t>
      </w:r>
      <w:r w:rsidR="00807C1B">
        <w:rPr>
          <w:rFonts w:ascii="Tahoma" w:hAnsi="Tahoma" w:cs="Tahoma"/>
          <w:sz w:val="19"/>
          <w:szCs w:val="19"/>
        </w:rPr>
        <w:t xml:space="preserve">econômica de empresas </w:t>
      </w:r>
      <w:r w:rsidRPr="00232204">
        <w:rPr>
          <w:rFonts w:ascii="Tahoma" w:hAnsi="Tahoma" w:cs="Tahoma"/>
          <w:sz w:val="19"/>
          <w:szCs w:val="19"/>
        </w:rPr>
        <w:t xml:space="preserve">se dá por meio de </w:t>
      </w:r>
      <w:hyperlink r:id="rId63" w:history="1">
        <w:r w:rsidRPr="001A5E7D">
          <w:rPr>
            <w:rStyle w:val="Hyperlink"/>
            <w:rFonts w:ascii="Tahoma" w:hAnsi="Tahoma" w:cs="Tahoma"/>
            <w:sz w:val="19"/>
            <w:szCs w:val="19"/>
          </w:rPr>
          <w:t>chamadas públicas</w:t>
        </w:r>
      </w:hyperlink>
      <w:r w:rsidRPr="00232204">
        <w:rPr>
          <w:rFonts w:ascii="Tahoma" w:hAnsi="Tahoma" w:cs="Tahoma"/>
          <w:sz w:val="19"/>
          <w:szCs w:val="19"/>
        </w:rPr>
        <w:t>, que selecionam projetos de forma concorrencial, e</w:t>
      </w:r>
      <w:r w:rsidR="00807C1B">
        <w:rPr>
          <w:rFonts w:ascii="Tahoma" w:hAnsi="Tahoma" w:cs="Tahoma"/>
          <w:sz w:val="19"/>
          <w:szCs w:val="19"/>
        </w:rPr>
        <w:t>, no caso do financiamento a ICTs,</w:t>
      </w:r>
      <w:r w:rsidRPr="00232204">
        <w:rPr>
          <w:rFonts w:ascii="Tahoma" w:hAnsi="Tahoma" w:cs="Tahoma"/>
          <w:sz w:val="19"/>
          <w:szCs w:val="19"/>
        </w:rPr>
        <w:t xml:space="preserve"> em menor medida por meio de encomendas</w:t>
      </w:r>
      <w:r w:rsidR="00807C1B">
        <w:rPr>
          <w:rFonts w:ascii="Tahoma" w:hAnsi="Tahoma" w:cs="Tahoma"/>
          <w:sz w:val="19"/>
          <w:szCs w:val="19"/>
        </w:rPr>
        <w:t>. Essas encomendas</w:t>
      </w:r>
      <w:r w:rsidR="0061718E" w:rsidRPr="00232204">
        <w:rPr>
          <w:rFonts w:ascii="Tahoma" w:hAnsi="Tahoma" w:cs="Tahoma"/>
          <w:sz w:val="19"/>
          <w:szCs w:val="19"/>
        </w:rPr>
        <w:t xml:space="preserve"> </w:t>
      </w:r>
      <w:r w:rsidRPr="00232204">
        <w:rPr>
          <w:rFonts w:ascii="Tahoma" w:hAnsi="Tahoma" w:cs="Tahoma"/>
          <w:sz w:val="19"/>
          <w:szCs w:val="19"/>
        </w:rPr>
        <w:t xml:space="preserve">são encaminhadas a instituições que possuem a competência única para solucionar desafios de relevância para o </w:t>
      </w:r>
      <w:r w:rsidR="0061718E">
        <w:rPr>
          <w:rFonts w:ascii="Tahoma" w:hAnsi="Tahoma" w:cs="Tahoma"/>
          <w:sz w:val="19"/>
          <w:szCs w:val="19"/>
        </w:rPr>
        <w:t>Siste</w:t>
      </w:r>
      <w:r w:rsidR="0061718E" w:rsidRPr="00413454">
        <w:rPr>
          <w:rFonts w:ascii="Tahoma" w:hAnsi="Tahoma" w:cs="Tahoma"/>
          <w:sz w:val="19"/>
          <w:szCs w:val="19"/>
        </w:rPr>
        <w:t xml:space="preserve">ma Nacional de CT&amp;I </w:t>
      </w:r>
      <w:r w:rsidR="0061718E">
        <w:rPr>
          <w:rFonts w:ascii="Tahoma" w:hAnsi="Tahoma" w:cs="Tahoma"/>
          <w:sz w:val="19"/>
          <w:szCs w:val="19"/>
        </w:rPr>
        <w:t>(</w:t>
      </w:r>
      <w:r w:rsidRPr="00232204">
        <w:rPr>
          <w:rFonts w:ascii="Tahoma" w:hAnsi="Tahoma" w:cs="Tahoma"/>
          <w:sz w:val="19"/>
          <w:szCs w:val="19"/>
        </w:rPr>
        <w:t>SNCTI</w:t>
      </w:r>
      <w:r w:rsidR="0061718E">
        <w:rPr>
          <w:rFonts w:ascii="Tahoma" w:hAnsi="Tahoma" w:cs="Tahoma"/>
          <w:sz w:val="19"/>
          <w:szCs w:val="19"/>
        </w:rPr>
        <w:t>)</w:t>
      </w:r>
      <w:r w:rsidR="00781A29">
        <w:rPr>
          <w:rFonts w:ascii="Tahoma" w:hAnsi="Tahoma" w:cs="Tahoma"/>
          <w:sz w:val="19"/>
          <w:szCs w:val="19"/>
        </w:rPr>
        <w:t xml:space="preserve">, cuja composição será </w:t>
      </w:r>
      <w:r w:rsidR="00807C1B">
        <w:rPr>
          <w:rFonts w:ascii="Tahoma" w:hAnsi="Tahoma" w:cs="Tahoma"/>
          <w:sz w:val="19"/>
          <w:szCs w:val="19"/>
        </w:rPr>
        <w:t>apresentada no item Contexto de atuação</w:t>
      </w:r>
      <w:r w:rsidRPr="00232204">
        <w:rPr>
          <w:rFonts w:ascii="Tahoma" w:hAnsi="Tahoma" w:cs="Tahoma"/>
          <w:sz w:val="19"/>
          <w:szCs w:val="19"/>
        </w:rPr>
        <w:t>. As chamadas têm como destino as ICTs, instituições públicas ou privadas sem fins lucrativos</w:t>
      </w:r>
      <w:r w:rsidR="00807C1B">
        <w:rPr>
          <w:rFonts w:ascii="Tahoma" w:hAnsi="Tahoma" w:cs="Tahoma"/>
          <w:sz w:val="19"/>
          <w:szCs w:val="19"/>
        </w:rPr>
        <w:t>,</w:t>
      </w:r>
      <w:r w:rsidRPr="00232204">
        <w:rPr>
          <w:rFonts w:ascii="Tahoma" w:hAnsi="Tahoma" w:cs="Tahoma"/>
          <w:sz w:val="19"/>
          <w:szCs w:val="19"/>
        </w:rPr>
        <w:t xml:space="preserve"> que têm como objetivo a realização de pesquisas científicas, tecnológicas, básicas ou aplicadas</w:t>
      </w:r>
      <w:r w:rsidR="00807C1B">
        <w:rPr>
          <w:rFonts w:ascii="Tahoma" w:hAnsi="Tahoma" w:cs="Tahoma"/>
          <w:sz w:val="19"/>
          <w:szCs w:val="19"/>
        </w:rPr>
        <w:t>,</w:t>
      </w:r>
      <w:r w:rsidRPr="00232204">
        <w:rPr>
          <w:rFonts w:ascii="Tahoma" w:hAnsi="Tahoma" w:cs="Tahoma"/>
          <w:sz w:val="19"/>
          <w:szCs w:val="19"/>
        </w:rPr>
        <w:t xml:space="preserve"> </w:t>
      </w:r>
      <w:r>
        <w:rPr>
          <w:rFonts w:ascii="Tahoma" w:hAnsi="Tahoma" w:cs="Tahoma"/>
          <w:sz w:val="19"/>
          <w:szCs w:val="19"/>
        </w:rPr>
        <w:t xml:space="preserve">e </w:t>
      </w:r>
      <w:r w:rsidR="00390CC9">
        <w:rPr>
          <w:rFonts w:ascii="Tahoma" w:hAnsi="Tahoma" w:cs="Tahoma"/>
          <w:sz w:val="19"/>
          <w:szCs w:val="19"/>
        </w:rPr>
        <w:t xml:space="preserve">as </w:t>
      </w:r>
      <w:r>
        <w:rPr>
          <w:rFonts w:ascii="Tahoma" w:hAnsi="Tahoma" w:cs="Tahoma"/>
          <w:sz w:val="19"/>
          <w:szCs w:val="19"/>
        </w:rPr>
        <w:t>empresas que buscam recursos da subvenção para o apoio ao</w:t>
      </w:r>
      <w:r w:rsidRPr="00232204">
        <w:rPr>
          <w:rFonts w:ascii="Tahoma" w:hAnsi="Tahoma" w:cs="Tahoma"/>
          <w:sz w:val="19"/>
          <w:szCs w:val="19"/>
        </w:rPr>
        <w:t xml:space="preserve"> desenvolvimento de produtos, serviços ou processos</w:t>
      </w:r>
      <w:r>
        <w:rPr>
          <w:rFonts w:ascii="Tahoma" w:hAnsi="Tahoma" w:cs="Tahoma"/>
          <w:sz w:val="19"/>
          <w:szCs w:val="19"/>
        </w:rPr>
        <w:t xml:space="preserve"> inovadores</w:t>
      </w:r>
      <w:r w:rsidRPr="00232204">
        <w:rPr>
          <w:rFonts w:ascii="Tahoma" w:hAnsi="Tahoma" w:cs="Tahoma"/>
          <w:sz w:val="19"/>
          <w:szCs w:val="19"/>
        </w:rPr>
        <w:t>.</w:t>
      </w:r>
    </w:p>
    <w:p w14:paraId="39467900" w14:textId="3434384D" w:rsidR="002924F7" w:rsidRPr="00413454" w:rsidRDefault="002924F7" w:rsidP="00254F4A">
      <w:pPr>
        <w:tabs>
          <w:tab w:val="left" w:pos="426"/>
        </w:tabs>
        <w:spacing w:before="120" w:after="120" w:line="360" w:lineRule="auto"/>
        <w:rPr>
          <w:rFonts w:ascii="Tahoma" w:hAnsi="Tahoma" w:cs="Tahoma"/>
          <w:sz w:val="19"/>
          <w:szCs w:val="19"/>
        </w:rPr>
      </w:pPr>
      <w:r w:rsidRPr="00413454">
        <w:rPr>
          <w:rFonts w:ascii="Tahoma" w:hAnsi="Tahoma" w:cs="Tahoma"/>
          <w:sz w:val="19"/>
          <w:szCs w:val="19"/>
        </w:rPr>
        <w:lastRenderedPageBreak/>
        <w:t xml:space="preserve">Nossos instrumentos e formas de operação (direta ou descentralizada) </w:t>
      </w:r>
      <w:r w:rsidR="00846138" w:rsidRPr="00413454">
        <w:rPr>
          <w:rFonts w:ascii="Tahoma" w:hAnsi="Tahoma" w:cs="Tahoma"/>
          <w:sz w:val="19"/>
          <w:szCs w:val="19"/>
        </w:rPr>
        <w:t xml:space="preserve">estão organizados em </w:t>
      </w:r>
      <w:hyperlink r:id="rId64" w:history="1">
        <w:r w:rsidR="00846138" w:rsidRPr="00413454">
          <w:rPr>
            <w:rStyle w:val="Hyperlink"/>
            <w:rFonts w:ascii="Tahoma" w:hAnsi="Tahoma" w:cs="Tahoma"/>
            <w:sz w:val="19"/>
            <w:szCs w:val="19"/>
          </w:rPr>
          <w:t>programas e produtos</w:t>
        </w:r>
      </w:hyperlink>
      <w:r w:rsidR="00846138" w:rsidRPr="00413454">
        <w:rPr>
          <w:rFonts w:ascii="Tahoma" w:hAnsi="Tahoma" w:cs="Tahoma"/>
          <w:sz w:val="19"/>
          <w:szCs w:val="19"/>
        </w:rPr>
        <w:t xml:space="preserve"> que </w:t>
      </w:r>
      <w:r w:rsidRPr="00413454">
        <w:rPr>
          <w:rFonts w:ascii="Tahoma" w:hAnsi="Tahoma" w:cs="Tahoma"/>
          <w:sz w:val="19"/>
          <w:szCs w:val="19"/>
        </w:rPr>
        <w:t xml:space="preserve">buscam atender a diferentes tipos de instituições e empresas, </w:t>
      </w:r>
      <w:r w:rsidR="00F16FF0" w:rsidRPr="00413454">
        <w:rPr>
          <w:rFonts w:ascii="Tahoma" w:hAnsi="Tahoma" w:cs="Tahoma"/>
          <w:sz w:val="19"/>
          <w:szCs w:val="19"/>
        </w:rPr>
        <w:t xml:space="preserve">de acordo com seus setores de atuação, portes e </w:t>
      </w:r>
      <w:r w:rsidRPr="00413454">
        <w:rPr>
          <w:rFonts w:ascii="Tahoma" w:hAnsi="Tahoma" w:cs="Tahoma"/>
          <w:sz w:val="19"/>
          <w:szCs w:val="19"/>
        </w:rPr>
        <w:t>natureza dos projetos apoiados</w:t>
      </w:r>
      <w:r w:rsidR="00F16FF0" w:rsidRPr="00413454">
        <w:rPr>
          <w:rFonts w:ascii="Tahoma" w:hAnsi="Tahoma" w:cs="Tahoma"/>
          <w:sz w:val="19"/>
          <w:szCs w:val="19"/>
        </w:rPr>
        <w:t>. Estes projetos, que envolvem o desenvolvimento de conhecimento, tecnologias e inovações</w:t>
      </w:r>
      <w:r w:rsidRPr="00413454">
        <w:rPr>
          <w:rFonts w:ascii="Tahoma" w:hAnsi="Tahoma" w:cs="Tahoma"/>
          <w:sz w:val="19"/>
          <w:szCs w:val="19"/>
        </w:rPr>
        <w:t xml:space="preserve">, usualmente </w:t>
      </w:r>
      <w:r w:rsidR="00F16FF0" w:rsidRPr="00413454">
        <w:rPr>
          <w:rFonts w:ascii="Tahoma" w:hAnsi="Tahoma" w:cs="Tahoma"/>
          <w:sz w:val="19"/>
          <w:szCs w:val="19"/>
        </w:rPr>
        <w:t xml:space="preserve">demandam tempo para gerar resultados, </w:t>
      </w:r>
      <w:r w:rsidR="00390CC9">
        <w:rPr>
          <w:rFonts w:ascii="Tahoma" w:hAnsi="Tahoma" w:cs="Tahoma"/>
          <w:sz w:val="19"/>
          <w:szCs w:val="19"/>
        </w:rPr>
        <w:t xml:space="preserve">além disso, sempre existe </w:t>
      </w:r>
      <w:r w:rsidR="00F16FF0" w:rsidRPr="00413454">
        <w:rPr>
          <w:rFonts w:ascii="Tahoma" w:hAnsi="Tahoma" w:cs="Tahoma"/>
          <w:sz w:val="19"/>
          <w:szCs w:val="19"/>
        </w:rPr>
        <w:t xml:space="preserve">o risco de que os </w:t>
      </w:r>
      <w:r w:rsidR="00390CC9">
        <w:rPr>
          <w:rFonts w:ascii="Tahoma" w:hAnsi="Tahoma" w:cs="Tahoma"/>
          <w:sz w:val="19"/>
          <w:szCs w:val="19"/>
        </w:rPr>
        <w:t>aportes</w:t>
      </w:r>
      <w:r w:rsidR="00F16FF0" w:rsidRPr="00413454">
        <w:rPr>
          <w:rFonts w:ascii="Tahoma" w:hAnsi="Tahoma" w:cs="Tahoma"/>
          <w:sz w:val="19"/>
          <w:szCs w:val="19"/>
        </w:rPr>
        <w:t xml:space="preserve"> feitos não resultem nos resultados inicialmente </w:t>
      </w:r>
      <w:r w:rsidR="004B0469">
        <w:rPr>
          <w:rFonts w:ascii="Tahoma" w:hAnsi="Tahoma" w:cs="Tahoma"/>
          <w:sz w:val="19"/>
          <w:szCs w:val="19"/>
        </w:rPr>
        <w:t>esperados</w:t>
      </w:r>
      <w:r w:rsidR="00F16FF0" w:rsidRPr="00413454">
        <w:rPr>
          <w:rFonts w:ascii="Tahoma" w:hAnsi="Tahoma" w:cs="Tahoma"/>
          <w:sz w:val="19"/>
          <w:szCs w:val="19"/>
        </w:rPr>
        <w:t>.</w:t>
      </w:r>
    </w:p>
    <w:p w14:paraId="29CBB069" w14:textId="7D7B252C" w:rsidR="00536C68" w:rsidRPr="00413454" w:rsidRDefault="00304559" w:rsidP="00254F4A">
      <w:pPr>
        <w:tabs>
          <w:tab w:val="left" w:pos="426"/>
        </w:tabs>
        <w:spacing w:before="120" w:after="120" w:line="360" w:lineRule="auto"/>
        <w:rPr>
          <w:rFonts w:ascii="Tahoma" w:hAnsi="Tahoma" w:cs="Tahoma"/>
          <w:sz w:val="19"/>
          <w:szCs w:val="19"/>
        </w:rPr>
      </w:pPr>
      <w:r w:rsidRPr="00413454">
        <w:rPr>
          <w:rFonts w:ascii="Tahoma" w:hAnsi="Tahoma" w:cs="Tahoma"/>
          <w:sz w:val="19"/>
          <w:szCs w:val="19"/>
        </w:rPr>
        <w:t xml:space="preserve">O documento </w:t>
      </w:r>
      <w:hyperlink r:id="rId65" w:history="1">
        <w:r w:rsidRPr="00413454">
          <w:rPr>
            <w:rStyle w:val="Hyperlink"/>
            <w:rFonts w:ascii="Tahoma" w:hAnsi="Tahoma" w:cs="Tahoma"/>
            <w:sz w:val="19"/>
            <w:szCs w:val="19"/>
          </w:rPr>
          <w:t>Condições Operacionais</w:t>
        </w:r>
      </w:hyperlink>
      <w:r w:rsidR="00536C68" w:rsidRPr="00413454">
        <w:rPr>
          <w:rFonts w:ascii="Tahoma" w:hAnsi="Tahoma" w:cs="Tahoma"/>
          <w:sz w:val="19"/>
          <w:szCs w:val="19"/>
        </w:rPr>
        <w:t xml:space="preserve">, publicado em nosso site, </w:t>
      </w:r>
      <w:r w:rsidRPr="00413454">
        <w:rPr>
          <w:rFonts w:ascii="Tahoma" w:hAnsi="Tahoma" w:cs="Tahoma"/>
          <w:sz w:val="19"/>
          <w:szCs w:val="19"/>
        </w:rPr>
        <w:t xml:space="preserve">descreve as diretrizes gerais da nossa </w:t>
      </w:r>
      <w:r w:rsidR="00536C68" w:rsidRPr="00413454">
        <w:rPr>
          <w:rFonts w:ascii="Tahoma" w:hAnsi="Tahoma" w:cs="Tahoma"/>
          <w:sz w:val="19"/>
          <w:szCs w:val="19"/>
        </w:rPr>
        <w:t>oper</w:t>
      </w:r>
      <w:r w:rsidRPr="00413454">
        <w:rPr>
          <w:rFonts w:ascii="Tahoma" w:hAnsi="Tahoma" w:cs="Tahoma"/>
          <w:sz w:val="19"/>
          <w:szCs w:val="19"/>
        </w:rPr>
        <w:t xml:space="preserve">ação. Apresenta ainda as condições de financiamento dos produtos e linhas de ação </w:t>
      </w:r>
      <w:r w:rsidR="005C7DF3">
        <w:rPr>
          <w:rFonts w:ascii="Tahoma" w:hAnsi="Tahoma" w:cs="Tahoma"/>
          <w:sz w:val="19"/>
          <w:szCs w:val="19"/>
        </w:rPr>
        <w:t>d</w:t>
      </w:r>
      <w:r w:rsidR="00536C68" w:rsidRPr="00413454">
        <w:rPr>
          <w:rFonts w:ascii="Tahoma" w:hAnsi="Tahoma" w:cs="Tahoma"/>
          <w:sz w:val="19"/>
          <w:szCs w:val="19"/>
        </w:rPr>
        <w:t>o instrumento</w:t>
      </w:r>
      <w:r w:rsidRPr="00413454">
        <w:rPr>
          <w:rFonts w:ascii="Tahoma" w:hAnsi="Tahoma" w:cs="Tahoma"/>
          <w:sz w:val="19"/>
          <w:szCs w:val="19"/>
        </w:rPr>
        <w:t xml:space="preserve"> crédito</w:t>
      </w:r>
      <w:r w:rsidR="00536C68" w:rsidRPr="00413454">
        <w:rPr>
          <w:rFonts w:ascii="Tahoma" w:hAnsi="Tahoma" w:cs="Tahoma"/>
          <w:sz w:val="19"/>
          <w:szCs w:val="19"/>
        </w:rPr>
        <w:t xml:space="preserve"> direto</w:t>
      </w:r>
      <w:r w:rsidRPr="00413454">
        <w:rPr>
          <w:rFonts w:ascii="Tahoma" w:hAnsi="Tahoma" w:cs="Tahoma"/>
          <w:sz w:val="19"/>
          <w:szCs w:val="19"/>
        </w:rPr>
        <w:t xml:space="preserve"> (taxas, prazos de carência, prazos totais, percentuais de financiamento da Finep) e os programas e ações de fomento. </w:t>
      </w:r>
    </w:p>
    <w:p w14:paraId="4E316F2D" w14:textId="4A6A9D58" w:rsidR="001B204C" w:rsidRPr="00413454" w:rsidRDefault="00536C68" w:rsidP="001B204C">
      <w:pPr>
        <w:tabs>
          <w:tab w:val="left" w:pos="426"/>
        </w:tabs>
        <w:spacing w:before="120" w:after="120" w:line="360" w:lineRule="auto"/>
        <w:rPr>
          <w:rFonts w:ascii="Tahoma" w:hAnsi="Tahoma" w:cs="Tahoma"/>
          <w:sz w:val="19"/>
          <w:szCs w:val="19"/>
        </w:rPr>
      </w:pPr>
      <w:r w:rsidRPr="00413454">
        <w:rPr>
          <w:rFonts w:ascii="Tahoma" w:hAnsi="Tahoma" w:cs="Tahoma"/>
          <w:sz w:val="19"/>
          <w:szCs w:val="19"/>
        </w:rPr>
        <w:t>Nossos</w:t>
      </w:r>
      <w:r w:rsidR="006E1B78" w:rsidRPr="00413454">
        <w:rPr>
          <w:rFonts w:ascii="Tahoma" w:hAnsi="Tahoma" w:cs="Tahoma"/>
          <w:sz w:val="19"/>
          <w:szCs w:val="19"/>
        </w:rPr>
        <w:t xml:space="preserve"> macroprocessos </w:t>
      </w:r>
      <w:r w:rsidR="00F041B4" w:rsidRPr="00413454">
        <w:rPr>
          <w:rFonts w:ascii="Tahoma" w:hAnsi="Tahoma" w:cs="Tahoma"/>
          <w:sz w:val="19"/>
          <w:szCs w:val="19"/>
        </w:rPr>
        <w:t>finalísticos e não finalísticos</w:t>
      </w:r>
      <w:r w:rsidR="00DB2290" w:rsidRPr="00413454">
        <w:rPr>
          <w:rFonts w:ascii="Tahoma" w:hAnsi="Tahoma" w:cs="Tahoma"/>
          <w:sz w:val="19"/>
          <w:szCs w:val="19"/>
        </w:rPr>
        <w:t xml:space="preserve"> </w:t>
      </w:r>
      <w:r w:rsidR="00C308D8" w:rsidRPr="00413454">
        <w:rPr>
          <w:rFonts w:ascii="Tahoma" w:hAnsi="Tahoma" w:cs="Tahoma"/>
          <w:sz w:val="19"/>
          <w:szCs w:val="19"/>
        </w:rPr>
        <w:t xml:space="preserve">e suas entregas </w:t>
      </w:r>
      <w:r w:rsidR="0082713D" w:rsidRPr="00413454">
        <w:rPr>
          <w:rFonts w:ascii="Tahoma" w:hAnsi="Tahoma" w:cs="Tahoma"/>
          <w:sz w:val="19"/>
          <w:szCs w:val="19"/>
        </w:rPr>
        <w:t>estão representados na Cadeia de Valor da empresa.</w:t>
      </w:r>
    </w:p>
    <w:p w14:paraId="7E47B227" w14:textId="77777777" w:rsidR="0082713D" w:rsidRPr="00413454" w:rsidRDefault="0082713D" w:rsidP="00C308D8">
      <w:pPr>
        <w:spacing w:before="120" w:after="120" w:line="360" w:lineRule="auto"/>
        <w:jc w:val="center"/>
        <w:rPr>
          <w:rFonts w:ascii="Tahoma" w:hAnsi="Tahoma" w:cs="Tahoma"/>
          <w:sz w:val="19"/>
          <w:szCs w:val="19"/>
        </w:rPr>
      </w:pPr>
      <w:r>
        <w:rPr>
          <w:noProof/>
          <w:color w:val="2B579A"/>
          <w:shd w:val="clear" w:color="auto" w:fill="E6E6E6"/>
        </w:rPr>
        <w:drawing>
          <wp:inline distT="0" distB="0" distL="0" distR="0" wp14:anchorId="01ABD2BE" wp14:editId="5F372B3C">
            <wp:extent cx="4812739" cy="3181680"/>
            <wp:effectExtent l="0" t="0" r="6985" b="0"/>
            <wp:docPr id="547401307" name="Picture 243" descr="Gráfico&#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rcRect/>
                    <a:stretch>
                      <a:fillRect/>
                    </a:stretch>
                  </pic:blipFill>
                  <pic:spPr>
                    <a:xfrm>
                      <a:off x="0" y="0"/>
                      <a:ext cx="4832944" cy="3195037"/>
                    </a:xfrm>
                    <a:prstGeom prst="rect">
                      <a:avLst/>
                    </a:prstGeom>
                    <a:noFill/>
                    <a:ln>
                      <a:noFill/>
                      <a:prstDash/>
                    </a:ln>
                  </pic:spPr>
                </pic:pic>
              </a:graphicData>
            </a:graphic>
          </wp:inline>
        </w:drawing>
      </w:r>
    </w:p>
    <w:p w14:paraId="1F8A80B9" w14:textId="77777777" w:rsidR="0082713D" w:rsidRPr="00413454" w:rsidRDefault="0082713D" w:rsidP="0082713D">
      <w:pPr>
        <w:spacing w:before="120" w:after="120" w:line="360" w:lineRule="auto"/>
        <w:rPr>
          <w:rFonts w:ascii="Tahoma" w:hAnsi="Tahoma" w:cs="Tahoma"/>
          <w:sz w:val="19"/>
          <w:szCs w:val="19"/>
        </w:rPr>
      </w:pPr>
      <w:r w:rsidRPr="00413454">
        <w:rPr>
          <w:rFonts w:ascii="Tahoma" w:hAnsi="Tahoma" w:cs="Tahoma"/>
          <w:noProof/>
          <w:color w:val="2B579A"/>
          <w:sz w:val="19"/>
          <w:szCs w:val="19"/>
          <w:shd w:val="clear" w:color="auto" w:fill="E6E6E6"/>
        </w:rPr>
        <mc:AlternateContent>
          <mc:Choice Requires="wps">
            <w:drawing>
              <wp:anchor distT="0" distB="0" distL="114300" distR="114300" simplePos="0" relativeHeight="251766784" behindDoc="0" locked="0" layoutInCell="1" allowOverlap="1" wp14:anchorId="6FB6C557" wp14:editId="0A4AD336">
                <wp:simplePos x="0" y="0"/>
                <wp:positionH relativeFrom="column">
                  <wp:posOffset>1390650</wp:posOffset>
                </wp:positionH>
                <wp:positionV relativeFrom="paragraph">
                  <wp:posOffset>7620</wp:posOffset>
                </wp:positionV>
                <wp:extent cx="4616450" cy="393700"/>
                <wp:effectExtent l="0" t="0" r="0" b="6350"/>
                <wp:wrapTight wrapText="bothSides">
                  <wp:wrapPolygon edited="0">
                    <wp:start x="0" y="0"/>
                    <wp:lineTo x="0" y="20903"/>
                    <wp:lineTo x="21481" y="20903"/>
                    <wp:lineTo x="21481" y="0"/>
                    <wp:lineTo x="0" y="0"/>
                  </wp:wrapPolygon>
                </wp:wrapTight>
                <wp:docPr id="939634078" name="Text Box 64"/>
                <wp:cNvGraphicFramePr/>
                <a:graphic xmlns:a="http://schemas.openxmlformats.org/drawingml/2006/main">
                  <a:graphicData uri="http://schemas.microsoft.com/office/word/2010/wordprocessingShape">
                    <wps:wsp>
                      <wps:cNvSpPr txBox="1"/>
                      <wps:spPr>
                        <a:xfrm>
                          <a:off x="0" y="0"/>
                          <a:ext cx="4616450" cy="393700"/>
                        </a:xfrm>
                        <a:prstGeom prst="rect">
                          <a:avLst/>
                        </a:prstGeom>
                        <a:solidFill>
                          <a:srgbClr val="0098BA">
                            <a:alpha val="25098"/>
                          </a:srgbClr>
                        </a:solidFill>
                        <a:ln w="6345">
                          <a:noFill/>
                          <a:prstDash val="dash"/>
                        </a:ln>
                      </wps:spPr>
                      <wps:txbx>
                        <w:txbxContent>
                          <w:p w14:paraId="2C7ED9A2" w14:textId="77777777" w:rsidR="0082713D" w:rsidRPr="00413454" w:rsidRDefault="0082713D" w:rsidP="0082713D">
                            <w:pPr>
                              <w:jc w:val="right"/>
                              <w:rPr>
                                <w:rFonts w:ascii="Tahoma" w:hAnsi="Tahoma" w:cs="Tahoma"/>
                                <w:sz w:val="16"/>
                                <w:szCs w:val="16"/>
                              </w:rPr>
                            </w:pPr>
                            <w:r w:rsidRPr="00413454">
                              <w:rPr>
                                <w:rFonts w:ascii="Tahoma" w:hAnsi="Tahoma" w:cs="Tahoma"/>
                                <w:sz w:val="16"/>
                                <w:szCs w:val="16"/>
                              </w:rPr>
                              <w:t xml:space="preserve">É possível consultar o segundo nível da cadeia de valor em </w:t>
                            </w:r>
                            <w:hyperlink r:id="rId67" w:history="1">
                              <w:r w:rsidRPr="00413454">
                                <w:rPr>
                                  <w:rStyle w:val="Hyperlink"/>
                                  <w:rFonts w:ascii="Tahoma" w:hAnsi="Tahoma" w:cs="Tahoma"/>
                                  <w:sz w:val="16"/>
                                  <w:szCs w:val="16"/>
                                </w:rPr>
                                <w:t>http://www.finep.gov.br/a-finep-externo/cadeia-de-valor</w:t>
                              </w:r>
                            </w:hyperlink>
                            <w:r w:rsidRPr="00413454">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6FB6C557" id="Text Box 64" o:spid="_x0000_s1033" type="#_x0000_t202" style="position:absolute;margin-left:109.5pt;margin-top:.6pt;width:363.5pt;height:3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" fillcolor="#0098ba" stroked="f" strokeweight=".17625mm">
                <v:fill opacity="16448f"/>
                <v:stroke dashstyle="dash"/>
                <v:textbox>
                  <w:txbxContent>
                    <w:p w14:paraId="2C7ED9A2" w14:textId="77777777" w:rsidR="0082713D" w:rsidRPr="00413454" w:rsidRDefault="0082713D" w:rsidP="0082713D">
                      <w:pPr>
                        <w:jc w:val="right"/>
                        <w:rPr>
                          <w:rFonts w:ascii="Tahoma" w:hAnsi="Tahoma" w:cs="Tahoma"/>
                          <w:sz w:val="16"/>
                          <w:szCs w:val="16"/>
                        </w:rPr>
                      </w:pPr>
                      <w:r w:rsidRPr="00413454">
                        <w:rPr>
                          <w:rFonts w:ascii="Tahoma" w:hAnsi="Tahoma" w:cs="Tahoma"/>
                          <w:sz w:val="16"/>
                          <w:szCs w:val="16"/>
                        </w:rPr>
                        <w:t xml:space="preserve">É possível consultar o segundo nível da cadeia de valor em </w:t>
                      </w:r>
                      <w:hyperlink r:id="rId68" w:history="1">
                        <w:r w:rsidRPr="00413454">
                          <w:rPr>
                            <w:rStyle w:val="Hyperlink"/>
                            <w:rFonts w:ascii="Tahoma" w:hAnsi="Tahoma" w:cs="Tahoma"/>
                            <w:sz w:val="16"/>
                            <w:szCs w:val="16"/>
                          </w:rPr>
                          <w:t>http://www.finep.gov.br/a-finep-externo/cadeia-de-valor</w:t>
                        </w:r>
                      </w:hyperlink>
                      <w:r w:rsidRPr="00413454">
                        <w:rPr>
                          <w:rFonts w:ascii="Tahoma" w:hAnsi="Tahoma" w:cs="Tahoma"/>
                          <w:sz w:val="16"/>
                          <w:szCs w:val="16"/>
                        </w:rPr>
                        <w:t>.</w:t>
                      </w:r>
                    </w:p>
                  </w:txbxContent>
                </v:textbox>
                <w10:wrap type="tight"/>
              </v:shape>
            </w:pict>
          </mc:Fallback>
        </mc:AlternateContent>
      </w:r>
    </w:p>
    <w:p w14:paraId="1F790B1B" w14:textId="77777777" w:rsidR="0082713D" w:rsidRDefault="0082713D" w:rsidP="0082713D">
      <w:pPr>
        <w:spacing w:before="120" w:after="120" w:line="360" w:lineRule="auto"/>
        <w:rPr>
          <w:rFonts w:ascii="Tahoma" w:hAnsi="Tahoma" w:cs="Tahoma"/>
          <w:sz w:val="19"/>
          <w:szCs w:val="19"/>
        </w:rPr>
      </w:pPr>
    </w:p>
    <w:p w14:paraId="644826DE" w14:textId="77777777" w:rsidR="00413454" w:rsidRPr="00413454" w:rsidRDefault="00413454" w:rsidP="0082713D">
      <w:pPr>
        <w:spacing w:before="120" w:after="120" w:line="360" w:lineRule="auto"/>
        <w:rPr>
          <w:rFonts w:ascii="Tahoma" w:hAnsi="Tahoma" w:cs="Tahoma"/>
          <w:sz w:val="19"/>
          <w:szCs w:val="19"/>
        </w:rPr>
      </w:pPr>
    </w:p>
    <w:p w14:paraId="37460A3B" w14:textId="77230C23" w:rsidR="000D6D0A" w:rsidRPr="00413454" w:rsidRDefault="0057636F" w:rsidP="00573A30">
      <w:pPr>
        <w:pStyle w:val="Ttulo2"/>
        <w:spacing w:before="0" w:after="120" w:line="360" w:lineRule="auto"/>
        <w:ind w:left="862" w:hanging="578"/>
        <w:rPr>
          <w:rFonts w:ascii="Tahoma" w:hAnsi="Tahoma" w:cs="Tahoma"/>
          <w:color w:val="0098BA"/>
          <w:sz w:val="24"/>
          <w:szCs w:val="24"/>
        </w:rPr>
      </w:pPr>
      <w:bookmarkStart w:id="33" w:name="_Toc129115511"/>
      <w:bookmarkStart w:id="34" w:name="_Toc131692229"/>
      <w:bookmarkStart w:id="35" w:name="_Toc163025245"/>
      <w:bookmarkStart w:id="36" w:name="_Toc162512582"/>
      <w:r w:rsidRPr="00413454">
        <w:rPr>
          <w:rFonts w:ascii="Tahoma" w:hAnsi="Tahoma" w:cs="Tahoma"/>
          <w:color w:val="0098BA"/>
          <w:sz w:val="24"/>
          <w:szCs w:val="24"/>
        </w:rPr>
        <w:t>C</w:t>
      </w:r>
      <w:r w:rsidR="00BB0E07" w:rsidRPr="00413454">
        <w:rPr>
          <w:rFonts w:ascii="Tahoma" w:hAnsi="Tahoma" w:cs="Tahoma"/>
          <w:color w:val="0098BA"/>
          <w:sz w:val="24"/>
          <w:szCs w:val="24"/>
        </w:rPr>
        <w:t>ontexto de atuação</w:t>
      </w:r>
      <w:bookmarkEnd w:id="33"/>
      <w:bookmarkEnd w:id="34"/>
      <w:r w:rsidR="00FC31BC" w:rsidRPr="00413454">
        <w:rPr>
          <w:rFonts w:ascii="Tahoma" w:hAnsi="Tahoma" w:cs="Tahoma"/>
          <w:color w:val="0098BA"/>
          <w:sz w:val="24"/>
          <w:szCs w:val="24"/>
        </w:rPr>
        <w:t xml:space="preserve"> – CT&amp;I</w:t>
      </w:r>
      <w:bookmarkEnd w:id="35"/>
      <w:bookmarkEnd w:id="36"/>
    </w:p>
    <w:p w14:paraId="5D6B4410" w14:textId="46395240" w:rsidR="002D1329" w:rsidRPr="00413454" w:rsidRDefault="002D1329" w:rsidP="00254F4A">
      <w:pPr>
        <w:spacing w:before="120" w:after="120" w:line="360" w:lineRule="auto"/>
        <w:rPr>
          <w:rFonts w:ascii="Tahoma" w:hAnsi="Tahoma" w:cs="Tahoma"/>
          <w:sz w:val="19"/>
          <w:szCs w:val="19"/>
        </w:rPr>
      </w:pPr>
      <w:r w:rsidRPr="00413454">
        <w:rPr>
          <w:rFonts w:ascii="Tahoma" w:hAnsi="Tahoma" w:cs="Tahoma"/>
          <w:sz w:val="19"/>
          <w:szCs w:val="19"/>
        </w:rPr>
        <w:t>Como empresa pública vinculada ao MCTI e instituição integrante do S</w:t>
      </w:r>
      <w:r w:rsidR="005A7DE7" w:rsidRPr="00413454">
        <w:rPr>
          <w:rFonts w:ascii="Tahoma" w:hAnsi="Tahoma" w:cs="Tahoma"/>
          <w:sz w:val="19"/>
          <w:szCs w:val="19"/>
        </w:rPr>
        <w:t xml:space="preserve">istema </w:t>
      </w:r>
      <w:r w:rsidRPr="00413454">
        <w:rPr>
          <w:rFonts w:ascii="Tahoma" w:hAnsi="Tahoma" w:cs="Tahoma"/>
          <w:sz w:val="19"/>
          <w:szCs w:val="19"/>
        </w:rPr>
        <w:t>N</w:t>
      </w:r>
      <w:r w:rsidR="005A7DE7" w:rsidRPr="00413454">
        <w:rPr>
          <w:rFonts w:ascii="Tahoma" w:hAnsi="Tahoma" w:cs="Tahoma"/>
          <w:sz w:val="19"/>
          <w:szCs w:val="19"/>
        </w:rPr>
        <w:t xml:space="preserve">acional de </w:t>
      </w:r>
      <w:r w:rsidRPr="00413454">
        <w:rPr>
          <w:rFonts w:ascii="Tahoma" w:hAnsi="Tahoma" w:cs="Tahoma"/>
          <w:sz w:val="19"/>
          <w:szCs w:val="19"/>
        </w:rPr>
        <w:t>CT</w:t>
      </w:r>
      <w:r w:rsidR="005A7DE7" w:rsidRPr="00413454">
        <w:rPr>
          <w:rFonts w:ascii="Tahoma" w:hAnsi="Tahoma" w:cs="Tahoma"/>
          <w:sz w:val="19"/>
          <w:szCs w:val="19"/>
        </w:rPr>
        <w:t>&amp;</w:t>
      </w:r>
      <w:r w:rsidRPr="00413454">
        <w:rPr>
          <w:rFonts w:ascii="Tahoma" w:hAnsi="Tahoma" w:cs="Tahoma"/>
          <w:sz w:val="19"/>
          <w:szCs w:val="19"/>
        </w:rPr>
        <w:t>I</w:t>
      </w:r>
      <w:r w:rsidR="00067990" w:rsidRPr="00413454">
        <w:rPr>
          <w:rFonts w:ascii="Tahoma" w:hAnsi="Tahoma" w:cs="Tahoma"/>
          <w:sz w:val="19"/>
          <w:szCs w:val="19"/>
        </w:rPr>
        <w:t xml:space="preserve"> (SNCTI)</w:t>
      </w:r>
      <w:r w:rsidRPr="00413454">
        <w:rPr>
          <w:rFonts w:ascii="Tahoma" w:hAnsi="Tahoma" w:cs="Tahoma"/>
          <w:sz w:val="19"/>
          <w:szCs w:val="19"/>
        </w:rPr>
        <w:t xml:space="preserve">, as diretrizes para nossa atuação emanaram dos documentos que expressavam </w:t>
      </w:r>
      <w:r w:rsidR="00067990" w:rsidRPr="00413454">
        <w:rPr>
          <w:rFonts w:ascii="Tahoma" w:hAnsi="Tahoma" w:cs="Tahoma"/>
          <w:sz w:val="19"/>
          <w:szCs w:val="19"/>
        </w:rPr>
        <w:t xml:space="preserve">a </w:t>
      </w:r>
      <w:r w:rsidRPr="00413454">
        <w:rPr>
          <w:rFonts w:ascii="Tahoma" w:hAnsi="Tahoma" w:cs="Tahoma"/>
          <w:sz w:val="19"/>
          <w:szCs w:val="19"/>
        </w:rPr>
        <w:t>política pública de CT&amp;I em 2023</w:t>
      </w:r>
      <w:r w:rsidR="00781A29">
        <w:rPr>
          <w:rFonts w:ascii="Tahoma" w:hAnsi="Tahoma" w:cs="Tahoma"/>
          <w:sz w:val="19"/>
          <w:szCs w:val="19"/>
        </w:rPr>
        <w:t>, a saber</w:t>
      </w:r>
      <w:r w:rsidRPr="00413454">
        <w:rPr>
          <w:rFonts w:ascii="Tahoma" w:hAnsi="Tahoma" w:cs="Tahoma"/>
          <w:sz w:val="19"/>
          <w:szCs w:val="19"/>
        </w:rPr>
        <w:t>:</w:t>
      </w:r>
    </w:p>
    <w:p w14:paraId="771F1511" w14:textId="27F7E8D6" w:rsidR="002D1329" w:rsidRDefault="005A7DE7" w:rsidP="00254F4A">
      <w:pPr>
        <w:pStyle w:val="PargrafodaLista"/>
        <w:numPr>
          <w:ilvl w:val="0"/>
          <w:numId w:val="23"/>
        </w:numPr>
        <w:spacing w:before="120" w:after="120" w:line="360" w:lineRule="auto"/>
        <w:textAlignment w:val="baseline"/>
        <w:rPr>
          <w:rFonts w:ascii="Tahoma" w:hAnsi="Tahoma" w:cs="Tahoma"/>
          <w:sz w:val="19"/>
          <w:szCs w:val="19"/>
        </w:rPr>
      </w:pPr>
      <w:r w:rsidRPr="00413454">
        <w:rPr>
          <w:rFonts w:ascii="Tahoma" w:hAnsi="Tahoma" w:cs="Tahoma"/>
          <w:noProof/>
          <w:color w:val="2B579A"/>
          <w:sz w:val="19"/>
          <w:szCs w:val="19"/>
          <w:highlight w:val="yellow"/>
          <w:shd w:val="clear" w:color="auto" w:fill="E6E6E6"/>
        </w:rPr>
        <mc:AlternateContent>
          <mc:Choice Requires="wps">
            <w:drawing>
              <wp:anchor distT="0" distB="0" distL="114300" distR="114300" simplePos="0" relativeHeight="251814912" behindDoc="0" locked="0" layoutInCell="1" allowOverlap="1" wp14:anchorId="07204CC2" wp14:editId="61139B9E">
                <wp:simplePos x="0" y="0"/>
                <wp:positionH relativeFrom="margin">
                  <wp:posOffset>1858010</wp:posOffset>
                </wp:positionH>
                <wp:positionV relativeFrom="paragraph">
                  <wp:posOffset>674396</wp:posOffset>
                </wp:positionV>
                <wp:extent cx="3790950" cy="350520"/>
                <wp:effectExtent l="0" t="0" r="0" b="0"/>
                <wp:wrapTight wrapText="bothSides">
                  <wp:wrapPolygon edited="0">
                    <wp:start x="0" y="0"/>
                    <wp:lineTo x="0" y="19957"/>
                    <wp:lineTo x="21491" y="19957"/>
                    <wp:lineTo x="21491" y="0"/>
                    <wp:lineTo x="0" y="0"/>
                  </wp:wrapPolygon>
                </wp:wrapTight>
                <wp:docPr id="983482229" name="Text Box 64"/>
                <wp:cNvGraphicFramePr/>
                <a:graphic xmlns:a="http://schemas.openxmlformats.org/drawingml/2006/main">
                  <a:graphicData uri="http://schemas.microsoft.com/office/word/2010/wordprocessingShape">
                    <wps:wsp>
                      <wps:cNvSpPr txBox="1"/>
                      <wps:spPr>
                        <a:xfrm>
                          <a:off x="0" y="0"/>
                          <a:ext cx="3790950" cy="350520"/>
                        </a:xfrm>
                        <a:prstGeom prst="rect">
                          <a:avLst/>
                        </a:prstGeom>
                        <a:solidFill>
                          <a:srgbClr val="0098BA">
                            <a:alpha val="25098"/>
                          </a:srgbClr>
                        </a:solidFill>
                        <a:ln w="6345">
                          <a:noFill/>
                          <a:prstDash val="dash"/>
                        </a:ln>
                      </wps:spPr>
                      <wps:txbx>
                        <w:txbxContent>
                          <w:p w14:paraId="2FC42B7C" w14:textId="77777777" w:rsidR="005A7DE7" w:rsidRPr="00413454" w:rsidRDefault="005A7DE7" w:rsidP="005A7DE7">
                            <w:pPr>
                              <w:jc w:val="right"/>
                              <w:rPr>
                                <w:rFonts w:ascii="Tahoma" w:hAnsi="Tahoma" w:cs="Tahoma"/>
                                <w:sz w:val="16"/>
                                <w:szCs w:val="16"/>
                              </w:rPr>
                            </w:pPr>
                            <w:r w:rsidRPr="00413454">
                              <w:rPr>
                                <w:rFonts w:ascii="Tahoma" w:hAnsi="Tahoma" w:cs="Tahoma"/>
                                <w:sz w:val="16"/>
                                <w:szCs w:val="16"/>
                              </w:rPr>
                              <w:t>A ENCTI será revista e atualizada para o período 2024-2030 a partir da 5ª Conferência Nacional de CT&amp;I, prevista para acontecer em junho de 2024.</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07204CC2" id="_x0000_s1034" type="#_x0000_t202" style="position:absolute;left:0;text-align:left;margin-left:146.3pt;margin-top:53.1pt;width:298.5pt;height:27.6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" fillcolor="#0098ba" stroked="f" strokeweight=".17625mm">
                <v:fill opacity="16448f"/>
                <v:stroke dashstyle="dash"/>
                <v:textbox>
                  <w:txbxContent>
                    <w:p w14:paraId="2FC42B7C" w14:textId="77777777" w:rsidR="005A7DE7" w:rsidRPr="00413454" w:rsidRDefault="005A7DE7" w:rsidP="005A7DE7">
                      <w:pPr>
                        <w:jc w:val="right"/>
                        <w:rPr>
                          <w:rFonts w:ascii="Tahoma" w:hAnsi="Tahoma" w:cs="Tahoma"/>
                          <w:sz w:val="16"/>
                          <w:szCs w:val="16"/>
                        </w:rPr>
                      </w:pPr>
                      <w:r w:rsidRPr="00413454">
                        <w:rPr>
                          <w:rFonts w:ascii="Tahoma" w:hAnsi="Tahoma" w:cs="Tahoma"/>
                          <w:sz w:val="16"/>
                          <w:szCs w:val="16"/>
                        </w:rPr>
                        <w:t>A ENCTI será revista e atualizada para o período 2024-2030 a partir da 5ª Conferência Nacional de CT&amp;I, prevista para acontecer em junho de 2024.</w:t>
                      </w:r>
                    </w:p>
                  </w:txbxContent>
                </v:textbox>
                <w10:wrap type="tight" anchorx="margin"/>
              </v:shape>
            </w:pict>
          </mc:Fallback>
        </mc:AlternateContent>
      </w:r>
      <w:hyperlink r:id="rId69" w:history="1">
        <w:r w:rsidR="002D1329" w:rsidRPr="00413454">
          <w:rPr>
            <w:rStyle w:val="Hyperlink"/>
            <w:rFonts w:ascii="Tahoma" w:hAnsi="Tahoma" w:cs="Tahoma"/>
            <w:sz w:val="19"/>
            <w:szCs w:val="19"/>
          </w:rPr>
          <w:t xml:space="preserve">Estratégia Nacional de Ciência, Tecnologia e Inovação </w:t>
        </w:r>
        <w:r w:rsidR="00D21061">
          <w:rPr>
            <w:rStyle w:val="Hyperlink"/>
            <w:rFonts w:ascii="Tahoma" w:hAnsi="Tahoma" w:cs="Tahoma"/>
            <w:sz w:val="19"/>
            <w:szCs w:val="19"/>
          </w:rPr>
          <w:t xml:space="preserve">(ENCTI) </w:t>
        </w:r>
        <w:r w:rsidR="002D1329" w:rsidRPr="00413454">
          <w:rPr>
            <w:rStyle w:val="Hyperlink"/>
            <w:rFonts w:ascii="Tahoma" w:hAnsi="Tahoma" w:cs="Tahoma"/>
            <w:sz w:val="19"/>
            <w:szCs w:val="19"/>
          </w:rPr>
          <w:t>2016-2022</w:t>
        </w:r>
      </w:hyperlink>
      <w:r w:rsidR="002D1329" w:rsidRPr="00413454">
        <w:rPr>
          <w:rFonts w:ascii="Tahoma" w:hAnsi="Tahoma" w:cs="Tahoma"/>
          <w:sz w:val="19"/>
          <w:szCs w:val="19"/>
        </w:rPr>
        <w:t xml:space="preserve"> (adotada como referencial até a aprovação da estratégia para o ciclo 2024-2030), documento de orientação estratégica de médio prazo.</w:t>
      </w:r>
    </w:p>
    <w:p w14:paraId="4F20869F" w14:textId="77777777" w:rsidR="00413454" w:rsidRDefault="00413454" w:rsidP="00254F4A">
      <w:pPr>
        <w:spacing w:before="120" w:after="120" w:line="360" w:lineRule="auto"/>
        <w:textAlignment w:val="baseline"/>
        <w:rPr>
          <w:rFonts w:ascii="Tahoma" w:hAnsi="Tahoma" w:cs="Tahoma"/>
          <w:sz w:val="19"/>
          <w:szCs w:val="19"/>
        </w:rPr>
      </w:pPr>
    </w:p>
    <w:p w14:paraId="7E7825A8" w14:textId="6B0FA170" w:rsidR="002D1329" w:rsidRPr="00413454" w:rsidRDefault="00541FB6" w:rsidP="00254F4A">
      <w:pPr>
        <w:pStyle w:val="PargrafodaLista"/>
        <w:numPr>
          <w:ilvl w:val="0"/>
          <w:numId w:val="23"/>
        </w:numPr>
        <w:spacing w:before="120" w:after="120" w:line="360" w:lineRule="auto"/>
        <w:textAlignment w:val="baseline"/>
        <w:rPr>
          <w:rFonts w:ascii="Tahoma" w:hAnsi="Tahoma" w:cs="Tahoma"/>
          <w:sz w:val="19"/>
          <w:szCs w:val="19"/>
        </w:rPr>
      </w:pPr>
      <w:hyperlink r:id="rId70" w:history="1">
        <w:r w:rsidR="002D1329" w:rsidRPr="00413454">
          <w:rPr>
            <w:rStyle w:val="Hyperlink"/>
            <w:rFonts w:ascii="Tahoma" w:hAnsi="Tahoma" w:cs="Tahoma"/>
            <w:sz w:val="19"/>
            <w:szCs w:val="19"/>
          </w:rPr>
          <w:t>Plano Plurianual 2020-2023</w:t>
        </w:r>
      </w:hyperlink>
      <w:r w:rsidR="002D1329" w:rsidRPr="00413454">
        <w:rPr>
          <w:rFonts w:ascii="Tahoma" w:hAnsi="Tahoma" w:cs="Tahoma"/>
          <w:sz w:val="19"/>
          <w:szCs w:val="19"/>
        </w:rPr>
        <w:t xml:space="preserve"> - </w:t>
      </w:r>
      <w:hyperlink r:id="rId71" w:history="1">
        <w:r w:rsidR="002D1329" w:rsidRPr="00413454">
          <w:rPr>
            <w:rStyle w:val="Hyperlink"/>
            <w:rFonts w:ascii="Tahoma" w:hAnsi="Tahoma" w:cs="Tahoma"/>
            <w:sz w:val="19"/>
            <w:szCs w:val="19"/>
          </w:rPr>
          <w:t>Lei nº 13.971, de 27 de dezembro de 2019</w:t>
        </w:r>
      </w:hyperlink>
      <w:r w:rsidR="002D1329" w:rsidRPr="00413454">
        <w:rPr>
          <w:rFonts w:ascii="Tahoma" w:hAnsi="Tahoma" w:cs="Tahoma"/>
          <w:sz w:val="19"/>
          <w:szCs w:val="19"/>
        </w:rPr>
        <w:t xml:space="preserve">, instrumento de planejamento plurianual de todo o governo federal. A Finep contribuiu diretamente para os </w:t>
      </w:r>
      <w:r w:rsidR="002D1329" w:rsidRPr="00413454">
        <w:rPr>
          <w:rStyle w:val="Hyperlink"/>
          <w:rFonts w:ascii="Tahoma" w:hAnsi="Tahoma" w:cs="Tahoma"/>
          <w:color w:val="auto"/>
          <w:sz w:val="19"/>
          <w:szCs w:val="19"/>
          <w:u w:val="none"/>
        </w:rPr>
        <w:t>programas 2204 - Brasil na Fronteira do Conhecimento e 2208 - Tecnologias Aplicadas, Inovação e Desenvolvimento Sustentável</w:t>
      </w:r>
      <w:r w:rsidR="002D1329" w:rsidRPr="00413454">
        <w:rPr>
          <w:rFonts w:ascii="Tahoma" w:hAnsi="Tahoma" w:cs="Tahoma"/>
          <w:sz w:val="19"/>
          <w:szCs w:val="19"/>
        </w:rPr>
        <w:t>.</w:t>
      </w:r>
    </w:p>
    <w:p w14:paraId="6249A13B" w14:textId="77777777" w:rsidR="002D1329" w:rsidRPr="00413454" w:rsidRDefault="00541FB6" w:rsidP="00254F4A">
      <w:pPr>
        <w:pStyle w:val="PargrafodaLista"/>
        <w:numPr>
          <w:ilvl w:val="0"/>
          <w:numId w:val="23"/>
        </w:numPr>
        <w:spacing w:before="120" w:after="120" w:line="360" w:lineRule="auto"/>
        <w:ind w:left="714" w:hanging="357"/>
        <w:textAlignment w:val="baseline"/>
        <w:rPr>
          <w:rFonts w:ascii="Tahoma" w:hAnsi="Tahoma" w:cs="Tahoma"/>
          <w:sz w:val="19"/>
          <w:szCs w:val="19"/>
        </w:rPr>
      </w:pPr>
      <w:hyperlink r:id="rId72" w:history="1">
        <w:r w:rsidR="002D1329" w:rsidRPr="00413454">
          <w:rPr>
            <w:rStyle w:val="Hyperlink"/>
            <w:rFonts w:ascii="Tahoma" w:hAnsi="Tahoma" w:cs="Tahoma"/>
            <w:sz w:val="19"/>
            <w:szCs w:val="19"/>
          </w:rPr>
          <w:t>Estratégia Federal de Desenvolvimento para o Brasil - EFD 2020-2031</w:t>
        </w:r>
      </w:hyperlink>
      <w:r w:rsidR="002D1329" w:rsidRPr="00413454">
        <w:rPr>
          <w:rFonts w:ascii="Tahoma" w:hAnsi="Tahoma" w:cs="Tahoma"/>
          <w:sz w:val="19"/>
          <w:szCs w:val="19"/>
        </w:rPr>
        <w:t xml:space="preserve"> - </w:t>
      </w:r>
      <w:hyperlink r:id="rId73" w:history="1">
        <w:r w:rsidR="002D1329" w:rsidRPr="00413454">
          <w:rPr>
            <w:rStyle w:val="Hyperlink"/>
            <w:rFonts w:ascii="Tahoma" w:hAnsi="Tahoma" w:cs="Tahoma"/>
            <w:sz w:val="19"/>
            <w:szCs w:val="19"/>
          </w:rPr>
          <w:t>Decreto nº 10.531, de 26 de outubro de 2020</w:t>
        </w:r>
      </w:hyperlink>
      <w:r w:rsidR="002D1329" w:rsidRPr="00413454">
        <w:rPr>
          <w:rFonts w:ascii="Tahoma" w:hAnsi="Tahoma" w:cs="Tahoma"/>
          <w:sz w:val="19"/>
          <w:szCs w:val="19"/>
        </w:rPr>
        <w:t>, declaração de planejamento governamental. As atividades da Finep enquadram-se principalmente no eixo econômico da EFD.</w:t>
      </w:r>
    </w:p>
    <w:p w14:paraId="3DBB305F" w14:textId="77777777" w:rsidR="002D1329" w:rsidRPr="00413454" w:rsidRDefault="00541FB6" w:rsidP="00254F4A">
      <w:pPr>
        <w:pStyle w:val="PargrafodaLista"/>
        <w:numPr>
          <w:ilvl w:val="0"/>
          <w:numId w:val="23"/>
        </w:numPr>
        <w:spacing w:before="120" w:after="120" w:line="360" w:lineRule="auto"/>
        <w:textAlignment w:val="baseline"/>
        <w:rPr>
          <w:rFonts w:ascii="Tahoma" w:hAnsi="Tahoma" w:cs="Tahoma"/>
          <w:sz w:val="19"/>
          <w:szCs w:val="19"/>
        </w:rPr>
      </w:pPr>
      <w:hyperlink r:id="rId74" w:history="1">
        <w:r w:rsidR="002D1329" w:rsidRPr="00413454">
          <w:rPr>
            <w:rStyle w:val="Hyperlink"/>
            <w:rFonts w:ascii="Tahoma" w:hAnsi="Tahoma" w:cs="Tahoma"/>
            <w:sz w:val="19"/>
            <w:szCs w:val="19"/>
          </w:rPr>
          <w:t>Mapa Estratégico do MCTI 2020-2023</w:t>
        </w:r>
      </w:hyperlink>
      <w:r w:rsidR="002D1329" w:rsidRPr="00413454">
        <w:rPr>
          <w:rFonts w:ascii="Tahoma" w:hAnsi="Tahoma" w:cs="Tahoma"/>
          <w:sz w:val="19"/>
          <w:szCs w:val="19"/>
        </w:rPr>
        <w:t>.</w:t>
      </w:r>
    </w:p>
    <w:p w14:paraId="513B817B" w14:textId="77777777" w:rsidR="002D1329" w:rsidRPr="00413454" w:rsidRDefault="00541FB6" w:rsidP="00254F4A">
      <w:pPr>
        <w:pStyle w:val="PargrafodaLista"/>
        <w:numPr>
          <w:ilvl w:val="0"/>
          <w:numId w:val="23"/>
        </w:numPr>
        <w:spacing w:before="120" w:after="120" w:line="360" w:lineRule="auto"/>
        <w:textAlignment w:val="baseline"/>
        <w:rPr>
          <w:rFonts w:ascii="Tahoma" w:hAnsi="Tahoma" w:cs="Tahoma"/>
          <w:sz w:val="19"/>
          <w:szCs w:val="19"/>
        </w:rPr>
      </w:pPr>
      <w:hyperlink r:id="rId75" w:history="1">
        <w:r w:rsidR="002D1329" w:rsidRPr="00413454">
          <w:rPr>
            <w:rStyle w:val="Hyperlink"/>
            <w:rFonts w:ascii="Tahoma" w:hAnsi="Tahoma" w:cs="Tahoma"/>
            <w:sz w:val="19"/>
            <w:szCs w:val="19"/>
          </w:rPr>
          <w:t>Portaria MCTI nº 6.998/2023</w:t>
        </w:r>
      </w:hyperlink>
      <w:r w:rsidR="002D1329" w:rsidRPr="00413454">
        <w:rPr>
          <w:rFonts w:ascii="Tahoma" w:hAnsi="Tahoma" w:cs="Tahoma"/>
          <w:sz w:val="19"/>
          <w:szCs w:val="19"/>
        </w:rPr>
        <w:t>, que estabelece as diretrizes para a elaboração da Estratégia Nacional de Ciência, Tecnologia e Inovação para o período de 2024 a 2030.</w:t>
      </w:r>
    </w:p>
    <w:p w14:paraId="72E324C5" w14:textId="77777777" w:rsidR="002D1329" w:rsidRPr="00413454" w:rsidRDefault="00541FB6" w:rsidP="00254F4A">
      <w:pPr>
        <w:pStyle w:val="PargrafodaLista"/>
        <w:numPr>
          <w:ilvl w:val="0"/>
          <w:numId w:val="23"/>
        </w:numPr>
        <w:spacing w:before="120" w:after="120" w:line="360" w:lineRule="auto"/>
        <w:textAlignment w:val="baseline"/>
        <w:rPr>
          <w:rFonts w:ascii="Tahoma" w:hAnsi="Tahoma" w:cs="Tahoma"/>
          <w:sz w:val="19"/>
          <w:szCs w:val="19"/>
        </w:rPr>
      </w:pPr>
      <w:hyperlink r:id="rId76" w:history="1">
        <w:r w:rsidR="002D1329" w:rsidRPr="00413454">
          <w:rPr>
            <w:rStyle w:val="Hyperlink"/>
            <w:rFonts w:ascii="Tahoma" w:hAnsi="Tahoma" w:cs="Tahoma"/>
            <w:sz w:val="19"/>
            <w:szCs w:val="19"/>
          </w:rPr>
          <w:t>Plano Anual de Investimento do Fundo Nacional de Desenvolvimento Científico e Tecnológico (FNDCT) 2023</w:t>
        </w:r>
      </w:hyperlink>
      <w:r w:rsidR="002D1329" w:rsidRPr="00413454">
        <w:rPr>
          <w:rFonts w:ascii="Tahoma" w:hAnsi="Tahoma" w:cs="Tahoma"/>
          <w:sz w:val="19"/>
          <w:szCs w:val="19"/>
        </w:rPr>
        <w:t xml:space="preserve">, documento de planejamento da alocação de recursos orçamentários e financeiros do FNDCT, aprovado pela </w:t>
      </w:r>
      <w:hyperlink r:id="rId77" w:history="1">
        <w:r w:rsidR="002D1329" w:rsidRPr="00413454">
          <w:rPr>
            <w:rStyle w:val="Hyperlink"/>
            <w:rFonts w:ascii="Tahoma" w:hAnsi="Tahoma" w:cs="Tahoma"/>
            <w:sz w:val="19"/>
            <w:szCs w:val="19"/>
          </w:rPr>
          <w:t>Resolução CD-FNDCT nº 793/2023</w:t>
        </w:r>
      </w:hyperlink>
      <w:r w:rsidR="002D1329" w:rsidRPr="00413454">
        <w:rPr>
          <w:rFonts w:ascii="Tahoma" w:hAnsi="Tahoma" w:cs="Tahoma"/>
          <w:sz w:val="19"/>
          <w:szCs w:val="19"/>
        </w:rPr>
        <w:t>.</w:t>
      </w:r>
    </w:p>
    <w:p w14:paraId="0F0698A6" w14:textId="01461758" w:rsidR="002D1329" w:rsidRPr="00413454" w:rsidRDefault="00541FB6" w:rsidP="00254F4A">
      <w:pPr>
        <w:pStyle w:val="PargrafodaLista"/>
        <w:numPr>
          <w:ilvl w:val="0"/>
          <w:numId w:val="23"/>
        </w:numPr>
        <w:spacing w:before="120" w:after="120" w:line="360" w:lineRule="auto"/>
        <w:ind w:left="714" w:hanging="357"/>
        <w:textAlignment w:val="baseline"/>
        <w:rPr>
          <w:rFonts w:ascii="Tahoma" w:hAnsi="Tahoma" w:cs="Tahoma"/>
          <w:sz w:val="19"/>
          <w:szCs w:val="19"/>
        </w:rPr>
      </w:pPr>
      <w:hyperlink r:id="rId78" w:history="1">
        <w:r w:rsidR="002D1329" w:rsidRPr="00413454">
          <w:rPr>
            <w:rStyle w:val="Hyperlink"/>
            <w:rFonts w:ascii="Tahoma" w:hAnsi="Tahoma" w:cs="Tahoma"/>
            <w:sz w:val="19"/>
            <w:szCs w:val="19"/>
          </w:rPr>
          <w:t>Diretrizes para a nova política industrial</w:t>
        </w:r>
      </w:hyperlink>
      <w:r w:rsidR="002D1329" w:rsidRPr="00413454">
        <w:rPr>
          <w:rFonts w:ascii="Tahoma" w:hAnsi="Tahoma" w:cs="Tahoma"/>
          <w:sz w:val="19"/>
          <w:szCs w:val="19"/>
        </w:rPr>
        <w:t xml:space="preserve"> </w:t>
      </w:r>
      <w:r w:rsidR="00067990" w:rsidRPr="00413454">
        <w:rPr>
          <w:rFonts w:ascii="Tahoma" w:hAnsi="Tahoma" w:cs="Tahoma"/>
          <w:sz w:val="19"/>
          <w:szCs w:val="19"/>
        </w:rPr>
        <w:t>- R</w:t>
      </w:r>
      <w:r w:rsidR="002D1329" w:rsidRPr="00413454">
        <w:rPr>
          <w:rFonts w:ascii="Tahoma" w:hAnsi="Tahoma" w:cs="Tahoma"/>
          <w:sz w:val="19"/>
          <w:szCs w:val="19"/>
        </w:rPr>
        <w:t>esolução CNDI/MDIC nº 1, de 6 de julho de 2023.</w:t>
      </w:r>
    </w:p>
    <w:p w14:paraId="2A5C8B68" w14:textId="77777777" w:rsidR="009D07A4" w:rsidRDefault="009D07A4" w:rsidP="00254F4A">
      <w:pPr>
        <w:spacing w:before="120" w:after="120" w:line="360" w:lineRule="auto"/>
        <w:rPr>
          <w:rFonts w:ascii="Tahoma" w:hAnsi="Tahoma" w:cs="Tahoma"/>
          <w:sz w:val="19"/>
          <w:szCs w:val="19"/>
        </w:rPr>
      </w:pPr>
    </w:p>
    <w:tbl>
      <w:tblPr>
        <w:tblStyle w:val="Tabelacomgrade"/>
        <w:tblW w:w="0" w:type="auto"/>
        <w:tblBorders>
          <w:top w:val="single" w:sz="4" w:space="0" w:color="0098BA"/>
          <w:left w:val="single" w:sz="4" w:space="0" w:color="0098BA"/>
          <w:bottom w:val="single" w:sz="4" w:space="0" w:color="0098BA"/>
          <w:right w:val="single" w:sz="4" w:space="0" w:color="0098BA"/>
          <w:insideH w:val="single" w:sz="4" w:space="0" w:color="0098BA"/>
          <w:insideV w:val="single" w:sz="4" w:space="0" w:color="0098BA"/>
        </w:tblBorders>
        <w:tblLook w:val="04A0" w:firstRow="1" w:lastRow="0" w:firstColumn="1" w:lastColumn="0" w:noHBand="0" w:noVBand="1"/>
      </w:tblPr>
      <w:tblGrid>
        <w:gridCol w:w="9116"/>
      </w:tblGrid>
      <w:tr w:rsidR="00767D16" w14:paraId="73E62B45" w14:textId="77777777" w:rsidTr="00767D16">
        <w:tc>
          <w:tcPr>
            <w:tcW w:w="9116" w:type="dxa"/>
          </w:tcPr>
          <w:p w14:paraId="3B985634" w14:textId="77777777" w:rsidR="00767D16" w:rsidRPr="009D07A4" w:rsidRDefault="00767D16" w:rsidP="00767D16">
            <w:pPr>
              <w:spacing w:before="120" w:after="120" w:line="360" w:lineRule="auto"/>
              <w:rPr>
                <w:rFonts w:ascii="Tahoma" w:eastAsiaTheme="minorHAnsi" w:hAnsi="Tahoma" w:cs="Tahoma"/>
                <w:color w:val="0098BA"/>
                <w:sz w:val="19"/>
                <w:szCs w:val="19"/>
              </w:rPr>
            </w:pPr>
            <w:r w:rsidRPr="009D07A4">
              <w:rPr>
                <w:rFonts w:ascii="Tahoma" w:eastAsiaTheme="minorHAnsi" w:hAnsi="Tahoma" w:cs="Tahoma"/>
                <w:color w:val="0098BA"/>
                <w:sz w:val="19"/>
                <w:szCs w:val="19"/>
              </w:rPr>
              <w:t>Cooperação Internacional</w:t>
            </w:r>
          </w:p>
          <w:p w14:paraId="5E2FE7D3" w14:textId="77777777" w:rsidR="00767D16" w:rsidRPr="009D07A4" w:rsidRDefault="00767D16" w:rsidP="00767D16">
            <w:pPr>
              <w:spacing w:before="120" w:after="120" w:line="360" w:lineRule="auto"/>
              <w:rPr>
                <w:rFonts w:ascii="Tahoma" w:hAnsi="Tahoma" w:cs="Tahoma"/>
                <w:sz w:val="19"/>
                <w:szCs w:val="19"/>
              </w:rPr>
            </w:pPr>
            <w:r w:rsidRPr="009D07A4">
              <w:rPr>
                <w:rFonts w:ascii="Tahoma" w:hAnsi="Tahoma" w:cs="Tahoma"/>
                <w:sz w:val="19"/>
                <w:szCs w:val="19"/>
              </w:rPr>
              <w:t>Os documentos de referência para as políticas públicas de CT&amp;I expressam com frequência a importância atribuída à inserção e integração do Brasil em cenários de Cooperação Internacional relacionados aos temas de Ciência, Tecnologia e Inovação.</w:t>
            </w:r>
          </w:p>
          <w:p w14:paraId="6EDD68CF" w14:textId="77777777" w:rsidR="00767D16" w:rsidRPr="009D07A4" w:rsidRDefault="00767D16" w:rsidP="00767D16">
            <w:pPr>
              <w:spacing w:before="120" w:after="120" w:line="360" w:lineRule="auto"/>
              <w:rPr>
                <w:rFonts w:ascii="Tahoma" w:hAnsi="Tahoma" w:cs="Tahoma"/>
                <w:sz w:val="19"/>
                <w:szCs w:val="19"/>
              </w:rPr>
            </w:pPr>
            <w:r w:rsidRPr="009D07A4">
              <w:rPr>
                <w:rFonts w:ascii="Tahoma" w:hAnsi="Tahoma" w:cs="Tahoma"/>
                <w:sz w:val="19"/>
                <w:szCs w:val="19"/>
              </w:rPr>
              <w:t>No ano de 2023, em consonância com as orientações, diretrizes e políticas estabelecidas pelo Governo Federal, a Finep, além de suas atividades de recepção e interação com instituições e representantes de instituições estrangeiras, realizou algumas aproximações de maior destaque com agentes internacionais, especialmente nas iniciativas da Coalizão Verde e de interlocução no processo de solicitação do Brasil à Rede Eureka.</w:t>
            </w:r>
          </w:p>
          <w:p w14:paraId="3F0AC143" w14:textId="77777777" w:rsidR="00767D16" w:rsidRPr="009D07A4" w:rsidRDefault="00767D16" w:rsidP="00767D16">
            <w:pPr>
              <w:spacing w:before="120" w:after="120" w:line="360" w:lineRule="auto"/>
              <w:rPr>
                <w:rFonts w:ascii="Tahoma" w:hAnsi="Tahoma" w:cs="Tahoma"/>
                <w:sz w:val="19"/>
                <w:szCs w:val="19"/>
              </w:rPr>
            </w:pPr>
            <w:r w:rsidRPr="009D07A4">
              <w:rPr>
                <w:rFonts w:ascii="Tahoma" w:hAnsi="Tahoma" w:cs="Tahoma"/>
                <w:sz w:val="19"/>
                <w:szCs w:val="19"/>
              </w:rPr>
              <w:t xml:space="preserve">A </w:t>
            </w:r>
            <w:hyperlink r:id="rId79" w:history="1">
              <w:r w:rsidRPr="002E23C2">
                <w:rPr>
                  <w:rStyle w:val="Hyperlink"/>
                  <w:rFonts w:ascii="Tahoma" w:hAnsi="Tahoma" w:cs="Tahoma"/>
                  <w:sz w:val="19"/>
                  <w:szCs w:val="19"/>
                </w:rPr>
                <w:t>Coalizão Verde</w:t>
              </w:r>
            </w:hyperlink>
            <w:r w:rsidRPr="009D07A4">
              <w:rPr>
                <w:rFonts w:ascii="Tahoma" w:hAnsi="Tahoma" w:cs="Tahoma"/>
                <w:sz w:val="19"/>
                <w:szCs w:val="19"/>
              </w:rPr>
              <w:t xml:space="preserve"> é uma iniciativa proposta pelo Banco Interamericano de Desenvolvimento (BID) e o Banco Nacional de Desenvolvimento Econômico e Social (BNDES) na Cúpula da Amazônia, realizada em agosto de 2023</w:t>
            </w:r>
            <w:r>
              <w:rPr>
                <w:rFonts w:ascii="Tahoma" w:hAnsi="Tahoma" w:cs="Tahoma"/>
                <w:sz w:val="19"/>
                <w:szCs w:val="19"/>
              </w:rPr>
              <w:t>, em</w:t>
            </w:r>
            <w:r w:rsidRPr="009D07A4">
              <w:rPr>
                <w:rFonts w:ascii="Tahoma" w:hAnsi="Tahoma" w:cs="Tahoma"/>
                <w:sz w:val="19"/>
                <w:szCs w:val="19"/>
              </w:rPr>
              <w:t xml:space="preserve"> Belém do Pará. Na ocasião, a Finep manifestou seu interesse de se integrar à iniciativa.</w:t>
            </w:r>
            <w:r w:rsidRPr="002E23C2">
              <w:rPr>
                <w:rFonts w:ascii="Tahoma" w:hAnsi="Tahoma" w:cs="Tahoma"/>
                <w:sz w:val="19"/>
                <w:szCs w:val="19"/>
              </w:rPr>
              <w:t xml:space="preserve"> </w:t>
            </w:r>
            <w:r>
              <w:rPr>
                <w:rFonts w:ascii="Tahoma" w:hAnsi="Tahoma" w:cs="Tahoma"/>
                <w:sz w:val="19"/>
                <w:szCs w:val="19"/>
              </w:rPr>
              <w:t>F</w:t>
            </w:r>
            <w:r w:rsidRPr="009D07A4">
              <w:rPr>
                <w:rFonts w:ascii="Tahoma" w:hAnsi="Tahoma" w:cs="Tahoma"/>
                <w:sz w:val="19"/>
                <w:szCs w:val="19"/>
              </w:rPr>
              <w:t>oi formalmente lançada na Conferência das Partes da Convenção-Quadro das Nações Unidas sobre a Mudança do Clima (COP28) em dezembro de 2023, em Dubai</w:t>
            </w:r>
            <w:r>
              <w:rPr>
                <w:rFonts w:ascii="Tahoma" w:hAnsi="Tahoma" w:cs="Tahoma"/>
                <w:sz w:val="19"/>
                <w:szCs w:val="19"/>
              </w:rPr>
              <w:t>.</w:t>
            </w:r>
          </w:p>
          <w:p w14:paraId="1AA50F1E" w14:textId="77777777" w:rsidR="00767D16" w:rsidRPr="009D07A4" w:rsidRDefault="00767D16" w:rsidP="00767D16">
            <w:pPr>
              <w:spacing w:before="120" w:after="120" w:line="360" w:lineRule="auto"/>
              <w:rPr>
                <w:rFonts w:ascii="Tahoma" w:hAnsi="Tahoma" w:cs="Tahoma"/>
                <w:sz w:val="19"/>
                <w:szCs w:val="19"/>
              </w:rPr>
            </w:pPr>
            <w:r w:rsidRPr="009D07A4">
              <w:rPr>
                <w:rFonts w:ascii="Tahoma" w:hAnsi="Tahoma" w:cs="Tahoma"/>
                <w:sz w:val="19"/>
                <w:szCs w:val="19"/>
              </w:rPr>
              <w:t>A Coalizão Verde é uma aliança que engloba 20 instituições de países Amazônicos, incluindo majoritariamente Bancos de Desenvolvimento</w:t>
            </w:r>
            <w:r>
              <w:rPr>
                <w:rFonts w:ascii="Tahoma" w:hAnsi="Tahoma" w:cs="Tahoma"/>
                <w:sz w:val="19"/>
                <w:szCs w:val="19"/>
              </w:rPr>
              <w:t>. Tem como</w:t>
            </w:r>
            <w:r w:rsidRPr="009D07A4">
              <w:rPr>
                <w:rFonts w:ascii="Tahoma" w:hAnsi="Tahoma" w:cs="Tahoma"/>
                <w:sz w:val="19"/>
                <w:szCs w:val="19"/>
              </w:rPr>
              <w:t xml:space="preserve"> objetivo principal a promoção do desenvolvimento sustentável, resiliente e inclusivo, procurando abranger, harmonicamente, as abordagens de fatores humanos, sociais, econômicos, ambientais, ecológicos e urbanos no espaço do importante bioma Amazônico.</w:t>
            </w:r>
          </w:p>
          <w:p w14:paraId="4941BB54" w14:textId="77777777" w:rsidR="00767D16" w:rsidRPr="009D07A4" w:rsidRDefault="00767D16" w:rsidP="00767D16">
            <w:pPr>
              <w:spacing w:before="120" w:after="120" w:line="360" w:lineRule="auto"/>
              <w:rPr>
                <w:rFonts w:ascii="Tahoma" w:hAnsi="Tahoma" w:cs="Tahoma"/>
                <w:sz w:val="19"/>
                <w:szCs w:val="19"/>
              </w:rPr>
            </w:pPr>
            <w:r w:rsidRPr="009D07A4">
              <w:rPr>
                <w:rFonts w:ascii="Tahoma" w:hAnsi="Tahoma" w:cs="Tahoma"/>
                <w:sz w:val="19"/>
                <w:szCs w:val="19"/>
              </w:rPr>
              <w:lastRenderedPageBreak/>
              <w:t xml:space="preserve">O pedido de entrada do Brasil na </w:t>
            </w:r>
            <w:hyperlink r:id="rId80" w:history="1">
              <w:r w:rsidRPr="002E23C2">
                <w:rPr>
                  <w:rStyle w:val="Hyperlink"/>
                  <w:rFonts w:ascii="Tahoma" w:hAnsi="Tahoma" w:cs="Tahoma"/>
                  <w:sz w:val="19"/>
                  <w:szCs w:val="19"/>
                </w:rPr>
                <w:t>Rede Eureka</w:t>
              </w:r>
            </w:hyperlink>
            <w:r w:rsidRPr="009D07A4">
              <w:rPr>
                <w:rFonts w:ascii="Tahoma" w:hAnsi="Tahoma" w:cs="Tahoma"/>
                <w:sz w:val="19"/>
                <w:szCs w:val="19"/>
              </w:rPr>
              <w:t xml:space="preserve"> se constitui</w:t>
            </w:r>
            <w:r>
              <w:rPr>
                <w:rFonts w:ascii="Tahoma" w:hAnsi="Tahoma" w:cs="Tahoma"/>
                <w:sz w:val="19"/>
                <w:szCs w:val="19"/>
              </w:rPr>
              <w:t>u</w:t>
            </w:r>
            <w:r w:rsidRPr="009D07A4">
              <w:rPr>
                <w:rFonts w:ascii="Tahoma" w:hAnsi="Tahoma" w:cs="Tahoma"/>
                <w:sz w:val="19"/>
                <w:szCs w:val="19"/>
              </w:rPr>
              <w:t xml:space="preserve"> a partir do envio de uma carta da ministra Luciana Santos à presidência da rede Eureka e ao ministro de Indústria e Tecnologia da Turquia, país a ocupar a presidência rotativa da Rede. Nela a ministra brasileira designa o presidente Celso Pansera da Finep como principal contato para viabilizar as ações brasileiras no processo de submissão do pleito de associação à Rede Eureka.</w:t>
            </w:r>
          </w:p>
          <w:p w14:paraId="79BC5FA7" w14:textId="77777777" w:rsidR="00767D16" w:rsidRPr="009D07A4" w:rsidRDefault="00767D16" w:rsidP="00767D16">
            <w:pPr>
              <w:spacing w:before="120" w:after="120" w:line="360" w:lineRule="auto"/>
              <w:rPr>
                <w:rFonts w:ascii="Tahoma" w:hAnsi="Tahoma" w:cs="Tahoma"/>
                <w:sz w:val="19"/>
                <w:szCs w:val="19"/>
              </w:rPr>
            </w:pPr>
            <w:r w:rsidRPr="009D07A4">
              <w:rPr>
                <w:rFonts w:ascii="Tahoma" w:hAnsi="Tahoma" w:cs="Tahoma"/>
                <w:sz w:val="19"/>
                <w:szCs w:val="19"/>
              </w:rPr>
              <w:t>Eureka é considerada a maior rede pública mundial de cooperação internacional em Pesquisa, Desenvolvimento e Inovação, presente em mais de 45 países, majoritariamente concentrada em países no continente europeu.</w:t>
            </w:r>
          </w:p>
          <w:p w14:paraId="4AAE7736" w14:textId="77777777" w:rsidR="00767D16" w:rsidRPr="009D07A4" w:rsidRDefault="00767D16" w:rsidP="00767D16">
            <w:pPr>
              <w:spacing w:before="120" w:after="120" w:line="360" w:lineRule="auto"/>
              <w:rPr>
                <w:rFonts w:ascii="Tahoma" w:hAnsi="Tahoma" w:cs="Tahoma"/>
                <w:sz w:val="19"/>
                <w:szCs w:val="19"/>
              </w:rPr>
            </w:pPr>
            <w:r w:rsidRPr="009D07A4">
              <w:rPr>
                <w:rFonts w:ascii="Tahoma" w:hAnsi="Tahoma" w:cs="Tahoma"/>
                <w:sz w:val="19"/>
                <w:szCs w:val="19"/>
              </w:rPr>
              <w:t>Em 2023, a Rede Eureka e a Finep lançaram uma Chamada conjunta no programa Globalstars, tendo o Brasil como país de interesse, e recebendo a participação da África do Sul, Bélgica, Espanha, Países Baixos, Portugal, República Tcheca e Turquia, como países para cooperação no fomento às propostas a serem aprovadas.</w:t>
            </w:r>
          </w:p>
          <w:p w14:paraId="061878FD" w14:textId="4A9230EE" w:rsidR="00767D16" w:rsidRDefault="00767D16" w:rsidP="00767D16">
            <w:pPr>
              <w:spacing w:before="120" w:after="120" w:line="360" w:lineRule="auto"/>
              <w:rPr>
                <w:rFonts w:ascii="Tahoma" w:hAnsi="Tahoma" w:cs="Tahoma"/>
                <w:sz w:val="19"/>
                <w:szCs w:val="19"/>
              </w:rPr>
            </w:pPr>
            <w:r w:rsidRPr="009D07A4">
              <w:rPr>
                <w:rFonts w:ascii="Tahoma" w:hAnsi="Tahoma" w:cs="Tahoma"/>
                <w:sz w:val="19"/>
                <w:szCs w:val="19"/>
              </w:rPr>
              <w:t>A data para o resultado do pedido de associação do Brasil à Rede Eureka está prevista para meados de junho</w:t>
            </w:r>
            <w:r>
              <w:rPr>
                <w:rFonts w:ascii="Tahoma" w:hAnsi="Tahoma" w:cs="Tahoma"/>
                <w:sz w:val="19"/>
                <w:szCs w:val="19"/>
              </w:rPr>
              <w:t xml:space="preserve"> de 2024</w:t>
            </w:r>
            <w:r w:rsidRPr="009D07A4">
              <w:rPr>
                <w:rFonts w:ascii="Tahoma" w:hAnsi="Tahoma" w:cs="Tahoma"/>
                <w:sz w:val="19"/>
                <w:szCs w:val="19"/>
              </w:rPr>
              <w:t>, durante o Encontro da Cúpula Global de Inovação da Rede Eureka, na Turquia.</w:t>
            </w:r>
          </w:p>
        </w:tc>
      </w:tr>
    </w:tbl>
    <w:p w14:paraId="368526E3" w14:textId="77777777" w:rsidR="00767D16" w:rsidRDefault="00767D16" w:rsidP="00254F4A">
      <w:pPr>
        <w:spacing w:before="120" w:after="120" w:line="360" w:lineRule="auto"/>
        <w:rPr>
          <w:rFonts w:ascii="Tahoma" w:hAnsi="Tahoma" w:cs="Tahoma"/>
          <w:sz w:val="19"/>
          <w:szCs w:val="19"/>
        </w:rPr>
      </w:pPr>
    </w:p>
    <w:p w14:paraId="6CE6790E" w14:textId="77777777" w:rsidR="009D07A4" w:rsidRDefault="009D07A4" w:rsidP="00254F4A">
      <w:pPr>
        <w:spacing w:before="120" w:after="120" w:line="360" w:lineRule="auto"/>
        <w:rPr>
          <w:rFonts w:ascii="Tahoma" w:hAnsi="Tahoma" w:cs="Tahoma"/>
          <w:sz w:val="19"/>
          <w:szCs w:val="19"/>
        </w:rPr>
      </w:pPr>
    </w:p>
    <w:p w14:paraId="51339A1C" w14:textId="02EE3A0D" w:rsidR="00573A30" w:rsidRPr="00413454" w:rsidRDefault="00767D16" w:rsidP="00254F4A">
      <w:pPr>
        <w:spacing w:before="120" w:after="120" w:line="360" w:lineRule="auto"/>
        <w:rPr>
          <w:rFonts w:ascii="Tahoma" w:hAnsi="Tahoma" w:cs="Tahoma"/>
          <w:sz w:val="19"/>
          <w:szCs w:val="19"/>
        </w:rPr>
      </w:pPr>
      <w:r>
        <w:rPr>
          <w:rFonts w:ascii="Tahoma" w:hAnsi="Tahoma" w:cs="Tahoma"/>
          <w:sz w:val="19"/>
          <w:szCs w:val="19"/>
        </w:rPr>
        <w:t>A</w:t>
      </w:r>
      <w:r w:rsidR="0069262C" w:rsidRPr="00413454">
        <w:rPr>
          <w:rFonts w:ascii="Tahoma" w:hAnsi="Tahoma" w:cs="Tahoma"/>
          <w:sz w:val="19"/>
          <w:szCs w:val="19"/>
        </w:rPr>
        <w:t xml:space="preserve"> imagem do</w:t>
      </w:r>
      <w:r w:rsidR="00573A30" w:rsidRPr="00413454">
        <w:rPr>
          <w:rFonts w:ascii="Tahoma" w:hAnsi="Tahoma" w:cs="Tahoma"/>
          <w:sz w:val="19"/>
          <w:szCs w:val="19"/>
        </w:rPr>
        <w:t xml:space="preserve"> </w:t>
      </w:r>
      <w:r>
        <w:rPr>
          <w:rFonts w:ascii="Tahoma" w:hAnsi="Tahoma" w:cs="Tahoma"/>
          <w:sz w:val="19"/>
          <w:szCs w:val="19"/>
        </w:rPr>
        <w:t>Sistema Nacional de CT&amp;I</w:t>
      </w:r>
      <w:r w:rsidR="00413454">
        <w:rPr>
          <w:rFonts w:ascii="Tahoma" w:hAnsi="Tahoma" w:cs="Tahoma"/>
          <w:color w:val="000000" w:themeColor="text1"/>
          <w:sz w:val="19"/>
          <w:szCs w:val="19"/>
        </w:rPr>
        <w:t>,</w:t>
      </w:r>
      <w:r w:rsidR="00573A30" w:rsidRPr="00413454">
        <w:rPr>
          <w:rFonts w:ascii="Tahoma" w:hAnsi="Tahoma" w:cs="Tahoma"/>
          <w:color w:val="000000" w:themeColor="text1"/>
          <w:sz w:val="19"/>
          <w:szCs w:val="19"/>
        </w:rPr>
        <w:t xml:space="preserve"> </w:t>
      </w:r>
      <w:r w:rsidR="0069262C" w:rsidRPr="00413454">
        <w:rPr>
          <w:rFonts w:ascii="Tahoma" w:hAnsi="Tahoma" w:cs="Tahoma"/>
          <w:color w:val="000000" w:themeColor="text1"/>
          <w:sz w:val="19"/>
          <w:szCs w:val="19"/>
        </w:rPr>
        <w:t>apresentada</w:t>
      </w:r>
      <w:r w:rsidR="00573A30" w:rsidRPr="00413454">
        <w:rPr>
          <w:rFonts w:ascii="Tahoma" w:hAnsi="Tahoma" w:cs="Tahoma"/>
          <w:color w:val="000000" w:themeColor="text1"/>
          <w:sz w:val="19"/>
          <w:szCs w:val="19"/>
        </w:rPr>
        <w:t xml:space="preserve"> </w:t>
      </w:r>
      <w:r w:rsidR="00573A30" w:rsidRPr="00413454">
        <w:rPr>
          <w:rFonts w:ascii="Tahoma" w:hAnsi="Tahoma" w:cs="Tahoma"/>
          <w:sz w:val="19"/>
          <w:szCs w:val="19"/>
        </w:rPr>
        <w:t xml:space="preserve">na Estratégia Nacional de Ciência, Tecnologia e Inovação </w:t>
      </w:r>
      <w:hyperlink r:id="rId81" w:history="1">
        <w:r w:rsidR="00573A30" w:rsidRPr="00413454">
          <w:rPr>
            <w:rStyle w:val="Hyperlink"/>
            <w:rFonts w:ascii="Tahoma" w:hAnsi="Tahoma" w:cs="Tahoma"/>
            <w:sz w:val="19"/>
            <w:szCs w:val="19"/>
          </w:rPr>
          <w:t>ENCTI 2016-2022</w:t>
        </w:r>
      </w:hyperlink>
      <w:r w:rsidR="00573A30" w:rsidRPr="00413454">
        <w:rPr>
          <w:rFonts w:ascii="Tahoma" w:hAnsi="Tahoma" w:cs="Tahoma"/>
          <w:sz w:val="19"/>
          <w:szCs w:val="19"/>
        </w:rPr>
        <w:t xml:space="preserve"> (MCTI), </w:t>
      </w:r>
      <w:r w:rsidR="0057636F" w:rsidRPr="00413454">
        <w:rPr>
          <w:rFonts w:ascii="Tahoma" w:hAnsi="Tahoma" w:cs="Tahoma"/>
          <w:sz w:val="19"/>
          <w:szCs w:val="19"/>
        </w:rPr>
        <w:t>oferece</w:t>
      </w:r>
      <w:r w:rsidR="00573A30" w:rsidRPr="00413454">
        <w:rPr>
          <w:rFonts w:ascii="Tahoma" w:hAnsi="Tahoma" w:cs="Tahoma"/>
          <w:sz w:val="19"/>
          <w:szCs w:val="19"/>
        </w:rPr>
        <w:t xml:space="preserve"> um</w:t>
      </w:r>
      <w:r w:rsidR="0069262C" w:rsidRPr="00413454">
        <w:rPr>
          <w:rFonts w:ascii="Tahoma" w:hAnsi="Tahoma" w:cs="Tahoma"/>
          <w:sz w:val="19"/>
          <w:szCs w:val="19"/>
        </w:rPr>
        <w:t xml:space="preserve">a representação do nosso ambiente </w:t>
      </w:r>
      <w:r w:rsidR="00573A30" w:rsidRPr="00413454">
        <w:rPr>
          <w:rFonts w:ascii="Tahoma" w:hAnsi="Tahoma" w:cs="Tahoma"/>
          <w:sz w:val="19"/>
          <w:szCs w:val="19"/>
        </w:rPr>
        <w:t>de atuação. Ne</w:t>
      </w:r>
      <w:r w:rsidR="0069262C" w:rsidRPr="00413454">
        <w:rPr>
          <w:rFonts w:ascii="Tahoma" w:hAnsi="Tahoma" w:cs="Tahoma"/>
          <w:sz w:val="19"/>
          <w:szCs w:val="19"/>
        </w:rPr>
        <w:t>le</w:t>
      </w:r>
      <w:r w:rsidR="00573A30" w:rsidRPr="00413454">
        <w:rPr>
          <w:rFonts w:ascii="Tahoma" w:hAnsi="Tahoma" w:cs="Tahoma"/>
          <w:sz w:val="19"/>
          <w:szCs w:val="19"/>
        </w:rPr>
        <w:t>, interagimos com outras agências de fomento e instituições que representam os interesses da sociedade, do estado e do governo</w:t>
      </w:r>
      <w:r w:rsidR="0069262C" w:rsidRPr="00413454">
        <w:rPr>
          <w:rFonts w:ascii="Tahoma" w:hAnsi="Tahoma" w:cs="Tahoma"/>
          <w:sz w:val="19"/>
          <w:szCs w:val="19"/>
        </w:rPr>
        <w:t xml:space="preserve"> em CT&amp;I</w:t>
      </w:r>
      <w:r w:rsidR="00573A30" w:rsidRPr="00413454">
        <w:rPr>
          <w:rFonts w:ascii="Tahoma" w:hAnsi="Tahoma" w:cs="Tahoma"/>
          <w:sz w:val="19"/>
          <w:szCs w:val="19"/>
        </w:rPr>
        <w:t>.</w:t>
      </w:r>
    </w:p>
    <w:p w14:paraId="218974A5" w14:textId="350F1275" w:rsidR="00E55DEA" w:rsidRDefault="00573A30" w:rsidP="00565E9B">
      <w:pPr>
        <w:spacing w:before="120" w:after="120" w:line="360" w:lineRule="auto"/>
        <w:jc w:val="center"/>
        <w:rPr>
          <w:rFonts w:ascii="Tahoma" w:hAnsi="Tahoma" w:cs="Tahoma"/>
          <w:sz w:val="19"/>
          <w:szCs w:val="19"/>
        </w:rPr>
      </w:pPr>
      <w:r w:rsidRPr="00413454">
        <w:rPr>
          <w:rFonts w:ascii="Tahoma" w:hAnsi="Tahoma" w:cs="Tahoma"/>
          <w:noProof/>
          <w:sz w:val="19"/>
          <w:szCs w:val="19"/>
        </w:rPr>
        <w:drawing>
          <wp:inline distT="0" distB="0" distL="0" distR="0" wp14:anchorId="6F0265A4" wp14:editId="40563086">
            <wp:extent cx="4740910" cy="2106032"/>
            <wp:effectExtent l="0" t="0" r="2540" b="8890"/>
            <wp:docPr id="709374621" name="Imagem 1"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374621" name="Imagem 1" descr="Uma imagem contendo Interface gráfica do usuário&#10;&#10;Descrição gerada automaticamente"/>
                    <pic:cNvPicPr/>
                  </pic:nvPicPr>
                  <pic:blipFill>
                    <a:blip r:embed="rId82"/>
                    <a:stretch>
                      <a:fillRect/>
                    </a:stretch>
                  </pic:blipFill>
                  <pic:spPr>
                    <a:xfrm>
                      <a:off x="0" y="0"/>
                      <a:ext cx="4788027" cy="2126963"/>
                    </a:xfrm>
                    <a:prstGeom prst="rect">
                      <a:avLst/>
                    </a:prstGeom>
                  </pic:spPr>
                </pic:pic>
              </a:graphicData>
            </a:graphic>
          </wp:inline>
        </w:drawing>
      </w:r>
    </w:p>
    <w:p w14:paraId="309CC8EC" w14:textId="77777777" w:rsidR="00767D16" w:rsidRPr="00413454" w:rsidRDefault="00767D16" w:rsidP="00565E9B">
      <w:pPr>
        <w:spacing w:before="120" w:after="120" w:line="360" w:lineRule="auto"/>
        <w:jc w:val="center"/>
        <w:rPr>
          <w:rFonts w:ascii="Tahoma" w:hAnsi="Tahoma" w:cs="Tahoma"/>
          <w:sz w:val="19"/>
          <w:szCs w:val="19"/>
        </w:rPr>
      </w:pPr>
    </w:p>
    <w:p w14:paraId="602D9942" w14:textId="561A0A9D" w:rsidR="005A7DE7" w:rsidRDefault="00565E9B" w:rsidP="00254F4A">
      <w:pPr>
        <w:spacing w:before="120" w:after="120" w:line="360" w:lineRule="auto"/>
        <w:rPr>
          <w:rFonts w:ascii="Tahoma" w:hAnsi="Tahoma" w:cs="Tahoma"/>
          <w:sz w:val="19"/>
          <w:szCs w:val="19"/>
        </w:rPr>
      </w:pPr>
      <w:r w:rsidRPr="00413454">
        <w:rPr>
          <w:rFonts w:ascii="Tahoma" w:hAnsi="Tahoma" w:cs="Tahoma"/>
          <w:sz w:val="19"/>
          <w:szCs w:val="19"/>
        </w:rPr>
        <w:t xml:space="preserve">Dentro de nosso contexto de atuação, e em consonância com as orientações da Política de CT&amp;I, </w:t>
      </w:r>
      <w:r w:rsidR="002D66F8" w:rsidRPr="00413454">
        <w:rPr>
          <w:rFonts w:ascii="Tahoma" w:hAnsi="Tahoma" w:cs="Tahoma"/>
          <w:sz w:val="19"/>
          <w:szCs w:val="19"/>
        </w:rPr>
        <w:t>destacamos três assuntos que</w:t>
      </w:r>
      <w:r w:rsidRPr="00413454">
        <w:rPr>
          <w:rFonts w:ascii="Tahoma" w:hAnsi="Tahoma" w:cs="Tahoma"/>
          <w:sz w:val="19"/>
          <w:szCs w:val="19"/>
        </w:rPr>
        <w:t xml:space="preserve"> </w:t>
      </w:r>
      <w:r w:rsidR="002D66F8" w:rsidRPr="00413454">
        <w:rPr>
          <w:rFonts w:ascii="Tahoma" w:hAnsi="Tahoma" w:cs="Tahoma"/>
          <w:sz w:val="19"/>
          <w:szCs w:val="19"/>
        </w:rPr>
        <w:t>impactaram nossa</w:t>
      </w:r>
      <w:r w:rsidRPr="00413454">
        <w:rPr>
          <w:rFonts w:ascii="Tahoma" w:hAnsi="Tahoma" w:cs="Tahoma"/>
          <w:sz w:val="19"/>
          <w:szCs w:val="19"/>
        </w:rPr>
        <w:t xml:space="preserve"> </w:t>
      </w:r>
      <w:r w:rsidR="002D66F8" w:rsidRPr="00413454">
        <w:rPr>
          <w:rFonts w:ascii="Tahoma" w:hAnsi="Tahoma" w:cs="Tahoma"/>
          <w:sz w:val="19"/>
          <w:szCs w:val="19"/>
        </w:rPr>
        <w:t>atuação</w:t>
      </w:r>
      <w:r w:rsidRPr="00413454">
        <w:rPr>
          <w:rFonts w:ascii="Tahoma" w:hAnsi="Tahoma" w:cs="Tahoma"/>
          <w:sz w:val="19"/>
          <w:szCs w:val="19"/>
        </w:rPr>
        <w:t xml:space="preserve"> em 2023: </w:t>
      </w:r>
      <w:r w:rsidR="002D66F8" w:rsidRPr="00413454">
        <w:rPr>
          <w:rFonts w:ascii="Tahoma" w:hAnsi="Tahoma" w:cs="Tahoma"/>
          <w:sz w:val="19"/>
          <w:szCs w:val="19"/>
        </w:rPr>
        <w:t xml:space="preserve">Crescimento do FNDCT, </w:t>
      </w:r>
      <w:r w:rsidRPr="00413454">
        <w:rPr>
          <w:rFonts w:ascii="Tahoma" w:hAnsi="Tahoma" w:cs="Tahoma"/>
          <w:sz w:val="19"/>
          <w:szCs w:val="19"/>
        </w:rPr>
        <w:t>Desenvolvimen</w:t>
      </w:r>
      <w:r w:rsidR="007D51BB" w:rsidRPr="00413454">
        <w:rPr>
          <w:rFonts w:ascii="Tahoma" w:hAnsi="Tahoma" w:cs="Tahoma"/>
          <w:sz w:val="19"/>
          <w:szCs w:val="19"/>
        </w:rPr>
        <w:t>t</w:t>
      </w:r>
      <w:r w:rsidRPr="00413454">
        <w:rPr>
          <w:rFonts w:ascii="Tahoma" w:hAnsi="Tahoma" w:cs="Tahoma"/>
          <w:sz w:val="19"/>
          <w:szCs w:val="19"/>
        </w:rPr>
        <w:t>o sustentável e Política industrial.</w:t>
      </w:r>
    </w:p>
    <w:p w14:paraId="2D6766A9" w14:textId="0835B834" w:rsidR="00767D16" w:rsidRDefault="00767D16">
      <w:pPr>
        <w:autoSpaceDN w:val="0"/>
        <w:spacing w:after="160"/>
        <w:textAlignment w:val="baseline"/>
        <w:rPr>
          <w:rFonts w:ascii="Tahoma" w:hAnsi="Tahoma" w:cs="Tahoma"/>
          <w:sz w:val="19"/>
          <w:szCs w:val="19"/>
        </w:rPr>
      </w:pPr>
      <w:r>
        <w:rPr>
          <w:rFonts w:ascii="Tahoma" w:hAnsi="Tahoma" w:cs="Tahoma"/>
          <w:sz w:val="19"/>
          <w:szCs w:val="19"/>
        </w:rPr>
        <w:br w:type="page"/>
      </w:r>
    </w:p>
    <w:p w14:paraId="0A5E82FC" w14:textId="5939E013" w:rsidR="007D51BB" w:rsidRPr="00413454" w:rsidRDefault="007D51BB" w:rsidP="005A7DE7">
      <w:pPr>
        <w:spacing w:before="120" w:after="120" w:line="360" w:lineRule="auto"/>
        <w:rPr>
          <w:rFonts w:ascii="Tahoma" w:eastAsiaTheme="minorHAnsi" w:hAnsi="Tahoma" w:cs="Tahoma"/>
          <w:color w:val="0098BA"/>
          <w:sz w:val="19"/>
          <w:szCs w:val="19"/>
          <w:lang w:eastAsia="en-US"/>
        </w:rPr>
      </w:pPr>
      <w:r w:rsidRPr="00413454">
        <w:rPr>
          <w:rFonts w:ascii="Tahoma" w:eastAsiaTheme="minorHAnsi" w:hAnsi="Tahoma" w:cs="Tahoma"/>
          <w:color w:val="0098BA"/>
          <w:sz w:val="19"/>
          <w:szCs w:val="19"/>
          <w:lang w:eastAsia="en-US"/>
        </w:rPr>
        <w:lastRenderedPageBreak/>
        <w:t>Crescimento do FNDCT</w:t>
      </w:r>
    </w:p>
    <w:p w14:paraId="22DC4AD1" w14:textId="78958BCA" w:rsidR="008A1FC3" w:rsidRDefault="00AD6A3E" w:rsidP="00254F4A">
      <w:pPr>
        <w:spacing w:before="120" w:after="120" w:line="360" w:lineRule="auto"/>
        <w:jc w:val="both"/>
        <w:rPr>
          <w:rFonts w:ascii="Tahoma" w:eastAsia="Calibri" w:hAnsi="Tahoma" w:cs="Tahoma"/>
          <w:sz w:val="19"/>
          <w:szCs w:val="19"/>
          <w:lang w:eastAsia="en-US"/>
        </w:rPr>
      </w:pPr>
      <w:r w:rsidRPr="00AD6A3E">
        <w:rPr>
          <w:rFonts w:ascii="Tahoma" w:eastAsia="Calibri" w:hAnsi="Tahoma" w:cs="Tahoma"/>
          <w:sz w:val="19"/>
          <w:szCs w:val="19"/>
          <w:lang w:eastAsia="en-US"/>
        </w:rPr>
        <w:t xml:space="preserve">O FNDCT </w:t>
      </w:r>
      <w:r>
        <w:rPr>
          <w:rFonts w:ascii="Tahoma" w:eastAsia="Calibri" w:hAnsi="Tahoma" w:cs="Tahoma"/>
          <w:sz w:val="19"/>
          <w:szCs w:val="19"/>
          <w:lang w:eastAsia="en-US"/>
        </w:rPr>
        <w:t xml:space="preserve">é nossa principal fonte de recursos para apoio a iniciativas de CT&amp;I. </w:t>
      </w:r>
      <w:r w:rsidR="008B151B">
        <w:rPr>
          <w:rFonts w:ascii="Tahoma" w:eastAsia="Calibri" w:hAnsi="Tahoma" w:cs="Tahoma"/>
          <w:sz w:val="19"/>
          <w:szCs w:val="19"/>
          <w:lang w:eastAsia="en-US"/>
        </w:rPr>
        <w:t>No</w:t>
      </w:r>
      <w:r w:rsidR="0018241E">
        <w:rPr>
          <w:rFonts w:ascii="Tahoma" w:eastAsia="Calibri" w:hAnsi="Tahoma" w:cs="Tahoma"/>
          <w:sz w:val="19"/>
          <w:szCs w:val="19"/>
          <w:lang w:eastAsia="en-US"/>
        </w:rPr>
        <w:t xml:space="preserve"> papel de </w:t>
      </w:r>
      <w:r w:rsidR="00F70D68">
        <w:rPr>
          <w:rFonts w:ascii="Tahoma" w:eastAsia="Calibri" w:hAnsi="Tahoma" w:cs="Tahoma"/>
          <w:sz w:val="19"/>
          <w:szCs w:val="19"/>
          <w:lang w:eastAsia="en-US"/>
        </w:rPr>
        <w:t xml:space="preserve">Secretaria Executiva </w:t>
      </w:r>
      <w:r w:rsidR="0081155F">
        <w:rPr>
          <w:rFonts w:ascii="Tahoma" w:eastAsia="Calibri" w:hAnsi="Tahoma" w:cs="Tahoma"/>
          <w:sz w:val="19"/>
          <w:szCs w:val="19"/>
          <w:lang w:eastAsia="en-US"/>
        </w:rPr>
        <w:t>do FNDCT</w:t>
      </w:r>
      <w:r w:rsidR="0018241E">
        <w:rPr>
          <w:rFonts w:ascii="Tahoma" w:eastAsia="Calibri" w:hAnsi="Tahoma" w:cs="Tahoma"/>
          <w:sz w:val="19"/>
          <w:szCs w:val="19"/>
          <w:lang w:eastAsia="en-US"/>
        </w:rPr>
        <w:t>, destinamos os</w:t>
      </w:r>
      <w:r>
        <w:rPr>
          <w:rFonts w:ascii="Tahoma" w:eastAsia="Calibri" w:hAnsi="Tahoma" w:cs="Tahoma"/>
          <w:sz w:val="19"/>
          <w:szCs w:val="19"/>
          <w:lang w:eastAsia="en-US"/>
        </w:rPr>
        <w:t xml:space="preserve"> recursos </w:t>
      </w:r>
      <w:r w:rsidR="0018241E">
        <w:rPr>
          <w:rFonts w:ascii="Tahoma" w:eastAsia="Calibri" w:hAnsi="Tahoma" w:cs="Tahoma"/>
          <w:sz w:val="19"/>
          <w:szCs w:val="19"/>
          <w:lang w:eastAsia="en-US"/>
        </w:rPr>
        <w:t xml:space="preserve">desse Fundo </w:t>
      </w:r>
      <w:r w:rsidR="00744B5F">
        <w:rPr>
          <w:rFonts w:ascii="Tahoma" w:eastAsia="Calibri" w:hAnsi="Tahoma" w:cs="Tahoma"/>
          <w:sz w:val="19"/>
          <w:szCs w:val="19"/>
          <w:lang w:eastAsia="en-US"/>
        </w:rPr>
        <w:t>(</w:t>
      </w:r>
      <w:r w:rsidR="009B7741">
        <w:rPr>
          <w:rFonts w:ascii="Tahoma" w:eastAsia="Calibri" w:hAnsi="Tahoma" w:cs="Tahoma"/>
          <w:sz w:val="19"/>
          <w:szCs w:val="19"/>
          <w:lang w:eastAsia="en-US"/>
        </w:rPr>
        <w:t xml:space="preserve">na modalidade não reembolsável </w:t>
      </w:r>
      <w:r w:rsidR="008F0677">
        <w:rPr>
          <w:rFonts w:ascii="Tahoma" w:eastAsia="Calibri" w:hAnsi="Tahoma" w:cs="Tahoma"/>
          <w:sz w:val="19"/>
          <w:szCs w:val="19"/>
          <w:lang w:eastAsia="en-US"/>
        </w:rPr>
        <w:t xml:space="preserve">e de subvenção) </w:t>
      </w:r>
      <w:r w:rsidR="0018241E">
        <w:rPr>
          <w:rFonts w:ascii="Tahoma" w:eastAsia="Calibri" w:hAnsi="Tahoma" w:cs="Tahoma"/>
          <w:sz w:val="19"/>
          <w:szCs w:val="19"/>
          <w:lang w:eastAsia="en-US"/>
        </w:rPr>
        <w:t>a projetos de ICTs e de empresas que participam de seleções públicas</w:t>
      </w:r>
      <w:r w:rsidR="008A1FC3">
        <w:rPr>
          <w:rFonts w:ascii="Tahoma" w:eastAsia="Calibri" w:hAnsi="Tahoma" w:cs="Tahoma"/>
          <w:sz w:val="19"/>
          <w:szCs w:val="19"/>
          <w:lang w:eastAsia="en-US"/>
        </w:rPr>
        <w:t>,</w:t>
      </w:r>
      <w:r w:rsidR="0018241E">
        <w:rPr>
          <w:rFonts w:ascii="Tahoma" w:eastAsia="Calibri" w:hAnsi="Tahoma" w:cs="Tahoma"/>
          <w:sz w:val="19"/>
          <w:szCs w:val="19"/>
          <w:lang w:eastAsia="en-US"/>
        </w:rPr>
        <w:t xml:space="preserve"> organiza</w:t>
      </w:r>
      <w:r w:rsidR="008A1FC3">
        <w:rPr>
          <w:rFonts w:ascii="Tahoma" w:eastAsia="Calibri" w:hAnsi="Tahoma" w:cs="Tahoma"/>
          <w:sz w:val="19"/>
          <w:szCs w:val="19"/>
          <w:lang w:eastAsia="en-US"/>
        </w:rPr>
        <w:t xml:space="preserve">das por nós ou por nossas parceiras </w:t>
      </w:r>
      <w:r w:rsidR="001C6BB8">
        <w:rPr>
          <w:rFonts w:ascii="Tahoma" w:eastAsia="Calibri" w:hAnsi="Tahoma" w:cs="Tahoma"/>
          <w:sz w:val="19"/>
          <w:szCs w:val="19"/>
          <w:lang w:eastAsia="en-US"/>
        </w:rPr>
        <w:t xml:space="preserve">de forma descentralizada </w:t>
      </w:r>
      <w:r w:rsidR="008A1FC3">
        <w:rPr>
          <w:rFonts w:ascii="Tahoma" w:eastAsia="Calibri" w:hAnsi="Tahoma" w:cs="Tahoma"/>
          <w:sz w:val="19"/>
          <w:szCs w:val="19"/>
          <w:lang w:eastAsia="en-US"/>
        </w:rPr>
        <w:t>nos estados,</w:t>
      </w:r>
      <w:r w:rsidR="0018241E">
        <w:rPr>
          <w:rFonts w:ascii="Tahoma" w:eastAsia="Calibri" w:hAnsi="Tahoma" w:cs="Tahoma"/>
          <w:sz w:val="19"/>
          <w:szCs w:val="19"/>
          <w:lang w:eastAsia="en-US"/>
        </w:rPr>
        <w:t xml:space="preserve"> ou a empresas que são investidas por Fundos de Investimento em Participações (FIPs)</w:t>
      </w:r>
      <w:r w:rsidR="008A1FC3">
        <w:rPr>
          <w:rFonts w:ascii="Tahoma" w:eastAsia="Calibri" w:hAnsi="Tahoma" w:cs="Tahoma"/>
          <w:sz w:val="19"/>
          <w:szCs w:val="19"/>
          <w:lang w:eastAsia="en-US"/>
        </w:rPr>
        <w:t xml:space="preserve"> que contam com recursos do Fundo.</w:t>
      </w:r>
    </w:p>
    <w:p w14:paraId="4464CC03" w14:textId="557E0A4D" w:rsidR="0075359D" w:rsidRDefault="0030153D" w:rsidP="0075359D">
      <w:pPr>
        <w:spacing w:before="120" w:after="120" w:line="360" w:lineRule="auto"/>
        <w:jc w:val="both"/>
        <w:rPr>
          <w:rFonts w:ascii="Tahoma" w:eastAsia="Calibri" w:hAnsi="Tahoma" w:cs="Tahoma"/>
          <w:sz w:val="19"/>
          <w:szCs w:val="19"/>
          <w:lang w:eastAsia="en-US"/>
        </w:rPr>
      </w:pPr>
      <w:r>
        <w:rPr>
          <w:rFonts w:ascii="Tahoma" w:eastAsia="Calibri" w:hAnsi="Tahoma" w:cs="Tahoma"/>
          <w:sz w:val="19"/>
          <w:szCs w:val="19"/>
          <w:lang w:eastAsia="en-US"/>
        </w:rPr>
        <w:t>A descentralização de</w:t>
      </w:r>
      <w:r w:rsidR="0075359D">
        <w:rPr>
          <w:rFonts w:ascii="Tahoma" w:eastAsia="Calibri" w:hAnsi="Tahoma" w:cs="Tahoma"/>
          <w:sz w:val="19"/>
          <w:szCs w:val="19"/>
          <w:lang w:eastAsia="en-US"/>
        </w:rPr>
        <w:t xml:space="preserve"> recursos não reembolsáveis e de subvenção </w:t>
      </w:r>
      <w:r w:rsidR="0036596D">
        <w:rPr>
          <w:rFonts w:ascii="Tahoma" w:eastAsia="Calibri" w:hAnsi="Tahoma" w:cs="Tahoma"/>
          <w:sz w:val="19"/>
          <w:szCs w:val="19"/>
          <w:lang w:eastAsia="en-US"/>
        </w:rPr>
        <w:t xml:space="preserve">consiste na </w:t>
      </w:r>
      <w:r w:rsidR="0075359D">
        <w:rPr>
          <w:rFonts w:ascii="Tahoma" w:eastAsia="Calibri" w:hAnsi="Tahoma" w:cs="Tahoma"/>
          <w:sz w:val="19"/>
          <w:szCs w:val="19"/>
          <w:lang w:eastAsia="en-US"/>
        </w:rPr>
        <w:t>transfer</w:t>
      </w:r>
      <w:r w:rsidR="0036596D">
        <w:rPr>
          <w:rFonts w:ascii="Tahoma" w:eastAsia="Calibri" w:hAnsi="Tahoma" w:cs="Tahoma"/>
          <w:sz w:val="19"/>
          <w:szCs w:val="19"/>
          <w:lang w:eastAsia="en-US"/>
        </w:rPr>
        <w:t>ência de</w:t>
      </w:r>
      <w:r w:rsidR="0075359D">
        <w:rPr>
          <w:rFonts w:ascii="Tahoma" w:eastAsia="Calibri" w:hAnsi="Tahoma" w:cs="Tahoma"/>
          <w:sz w:val="19"/>
          <w:szCs w:val="19"/>
          <w:lang w:eastAsia="en-US"/>
        </w:rPr>
        <w:t xml:space="preserve"> recursos para ações do </w:t>
      </w:r>
      <w:r w:rsidR="0075359D" w:rsidRPr="00C636B9">
        <w:rPr>
          <w:rFonts w:ascii="Tahoma" w:eastAsia="Calibri" w:hAnsi="Tahoma" w:cs="Tahoma"/>
          <w:sz w:val="19"/>
          <w:szCs w:val="19"/>
          <w:lang w:eastAsia="en-US"/>
        </w:rPr>
        <w:t>Conselho Nacional de Desenvolvimento Científico e Tecnológico</w:t>
      </w:r>
      <w:r w:rsidR="0075359D">
        <w:rPr>
          <w:rFonts w:ascii="Tahoma" w:eastAsia="Calibri" w:hAnsi="Tahoma" w:cs="Tahoma"/>
          <w:sz w:val="19"/>
          <w:szCs w:val="19"/>
          <w:lang w:eastAsia="en-US"/>
        </w:rPr>
        <w:t xml:space="preserve"> (CNPq) e para </w:t>
      </w:r>
      <w:r w:rsidR="0075359D" w:rsidRPr="00C636B9">
        <w:rPr>
          <w:rFonts w:ascii="Tahoma" w:eastAsia="Calibri" w:hAnsi="Tahoma" w:cs="Tahoma"/>
          <w:sz w:val="19"/>
          <w:szCs w:val="19"/>
          <w:lang w:eastAsia="en-US"/>
        </w:rPr>
        <w:t>programas desenvolvidos por organizações sociais, qualificadas conforme a Lei nº 9.637</w:t>
      </w:r>
      <w:r w:rsidR="0075359D">
        <w:rPr>
          <w:rFonts w:ascii="Tahoma" w:eastAsia="Calibri" w:hAnsi="Tahoma" w:cs="Tahoma"/>
          <w:sz w:val="19"/>
          <w:szCs w:val="19"/>
          <w:lang w:eastAsia="en-US"/>
        </w:rPr>
        <w:t>/1998</w:t>
      </w:r>
      <w:r w:rsidR="0075359D" w:rsidRPr="00C636B9">
        <w:rPr>
          <w:rFonts w:ascii="Tahoma" w:eastAsia="Calibri" w:hAnsi="Tahoma" w:cs="Tahoma"/>
          <w:sz w:val="19"/>
          <w:szCs w:val="19"/>
          <w:lang w:eastAsia="en-US"/>
        </w:rPr>
        <w:t xml:space="preserve">, que </w:t>
      </w:r>
      <w:r w:rsidR="0075359D">
        <w:rPr>
          <w:rFonts w:ascii="Tahoma" w:eastAsia="Calibri" w:hAnsi="Tahoma" w:cs="Tahoma"/>
          <w:sz w:val="19"/>
          <w:szCs w:val="19"/>
          <w:lang w:eastAsia="en-US"/>
        </w:rPr>
        <w:t>têm</w:t>
      </w:r>
      <w:r w:rsidR="0075359D" w:rsidRPr="00C636B9">
        <w:rPr>
          <w:rFonts w:ascii="Tahoma" w:eastAsia="Calibri" w:hAnsi="Tahoma" w:cs="Tahoma"/>
          <w:sz w:val="19"/>
          <w:szCs w:val="19"/>
          <w:lang w:eastAsia="en-US"/>
        </w:rPr>
        <w:t xml:space="preserve"> contrato de gestão com o </w:t>
      </w:r>
      <w:r w:rsidR="0075359D">
        <w:rPr>
          <w:rFonts w:ascii="Tahoma" w:eastAsia="Calibri" w:hAnsi="Tahoma" w:cs="Tahoma"/>
          <w:sz w:val="19"/>
          <w:szCs w:val="19"/>
          <w:lang w:eastAsia="en-US"/>
        </w:rPr>
        <w:t xml:space="preserve">MCTI. Mais detalhes sobre a execução orçamentária e financeira do FNDCT em 2023 podem ser encontrados no </w:t>
      </w:r>
      <w:hyperlink r:id="rId83" w:history="1">
        <w:r w:rsidR="0075359D" w:rsidRPr="000F001A">
          <w:rPr>
            <w:rStyle w:val="Hyperlink"/>
            <w:rFonts w:ascii="Tahoma" w:eastAsia="Calibri" w:hAnsi="Tahoma" w:cs="Tahoma"/>
            <w:sz w:val="19"/>
            <w:szCs w:val="19"/>
            <w:lang w:eastAsia="en-US"/>
          </w:rPr>
          <w:t>Relatório de Gestão do MCTI</w:t>
        </w:r>
      </w:hyperlink>
      <w:r w:rsidR="0075359D">
        <w:rPr>
          <w:rFonts w:ascii="Tahoma" w:eastAsia="Calibri" w:hAnsi="Tahoma" w:cs="Tahoma"/>
          <w:sz w:val="19"/>
          <w:szCs w:val="19"/>
          <w:lang w:eastAsia="en-US"/>
        </w:rPr>
        <w:t xml:space="preserve"> e na </w:t>
      </w:r>
      <w:hyperlink r:id="rId84" w:history="1">
        <w:r w:rsidR="0075359D" w:rsidRPr="00D82635">
          <w:rPr>
            <w:rStyle w:val="Hyperlink"/>
            <w:rFonts w:ascii="Tahoma" w:eastAsia="Calibri" w:hAnsi="Tahoma" w:cs="Tahoma"/>
            <w:sz w:val="19"/>
            <w:szCs w:val="19"/>
            <w:lang w:eastAsia="en-US"/>
          </w:rPr>
          <w:t>seção sobre o FNDCT</w:t>
        </w:r>
      </w:hyperlink>
      <w:r w:rsidR="0075359D">
        <w:rPr>
          <w:rFonts w:ascii="Tahoma" w:eastAsia="Calibri" w:hAnsi="Tahoma" w:cs="Tahoma"/>
          <w:sz w:val="19"/>
          <w:szCs w:val="19"/>
          <w:lang w:eastAsia="en-US"/>
        </w:rPr>
        <w:t xml:space="preserve"> no nosso site.</w:t>
      </w:r>
    </w:p>
    <w:p w14:paraId="7430D409" w14:textId="1C20C9D5" w:rsidR="0018241E" w:rsidRDefault="0036596D" w:rsidP="00254F4A">
      <w:pPr>
        <w:spacing w:before="120" w:after="120" w:line="360" w:lineRule="auto"/>
        <w:rPr>
          <w:rFonts w:ascii="Tahoma" w:eastAsia="Calibri" w:hAnsi="Tahoma" w:cs="Tahoma"/>
          <w:sz w:val="19"/>
          <w:szCs w:val="19"/>
          <w:lang w:eastAsia="en-US"/>
        </w:rPr>
      </w:pPr>
      <w:r>
        <w:rPr>
          <w:rFonts w:ascii="Tahoma" w:eastAsia="Calibri" w:hAnsi="Tahoma" w:cs="Tahoma"/>
          <w:sz w:val="19"/>
          <w:szCs w:val="19"/>
          <w:lang w:eastAsia="en-US"/>
        </w:rPr>
        <w:t>Adicionalmente</w:t>
      </w:r>
      <w:r w:rsidR="008B151B">
        <w:rPr>
          <w:rFonts w:ascii="Tahoma" w:eastAsia="Calibri" w:hAnsi="Tahoma" w:cs="Tahoma"/>
          <w:sz w:val="19"/>
          <w:szCs w:val="19"/>
          <w:lang w:eastAsia="en-US"/>
        </w:rPr>
        <w:t>, o</w:t>
      </w:r>
      <w:r w:rsidR="0018241E">
        <w:rPr>
          <w:rFonts w:ascii="Tahoma" w:eastAsia="Calibri" w:hAnsi="Tahoma" w:cs="Tahoma"/>
          <w:sz w:val="19"/>
          <w:szCs w:val="19"/>
          <w:lang w:eastAsia="en-US"/>
        </w:rPr>
        <w:t>s recursos do FNDCT também são concedidos na forma de crédito a projetos e planos de inovação de empresas</w:t>
      </w:r>
      <w:r w:rsidR="00C51B71">
        <w:rPr>
          <w:rFonts w:ascii="Tahoma" w:eastAsia="Calibri" w:hAnsi="Tahoma" w:cs="Tahoma"/>
          <w:sz w:val="19"/>
          <w:szCs w:val="19"/>
          <w:lang w:eastAsia="en-US"/>
        </w:rPr>
        <w:t>, quando atuamos como agência de fomento</w:t>
      </w:r>
      <w:r w:rsidR="00271E81">
        <w:rPr>
          <w:rFonts w:ascii="Tahoma" w:eastAsia="Calibri" w:hAnsi="Tahoma" w:cs="Tahoma"/>
          <w:sz w:val="19"/>
          <w:szCs w:val="19"/>
          <w:lang w:eastAsia="en-US"/>
        </w:rPr>
        <w:t>,</w:t>
      </w:r>
      <w:r w:rsidR="0018241E">
        <w:rPr>
          <w:rFonts w:ascii="Tahoma" w:eastAsia="Calibri" w:hAnsi="Tahoma" w:cs="Tahoma"/>
          <w:sz w:val="19"/>
          <w:szCs w:val="19"/>
          <w:lang w:eastAsia="en-US"/>
        </w:rPr>
        <w:t xml:space="preserve"> que são apresentados</w:t>
      </w:r>
      <w:r w:rsidR="008A1FC3">
        <w:rPr>
          <w:rFonts w:ascii="Tahoma" w:eastAsia="Calibri" w:hAnsi="Tahoma" w:cs="Tahoma"/>
          <w:sz w:val="19"/>
          <w:szCs w:val="19"/>
          <w:lang w:eastAsia="en-US"/>
        </w:rPr>
        <w:t xml:space="preserve"> diretamente para nossa análise ou para análise de um de nossos agentes financeiros</w:t>
      </w:r>
      <w:r w:rsidR="0018241E">
        <w:rPr>
          <w:rFonts w:ascii="Tahoma" w:eastAsia="Calibri" w:hAnsi="Tahoma" w:cs="Tahoma"/>
          <w:sz w:val="19"/>
          <w:szCs w:val="19"/>
          <w:lang w:eastAsia="en-US"/>
        </w:rPr>
        <w:t xml:space="preserve">. </w:t>
      </w:r>
      <w:r w:rsidR="008A1FC3">
        <w:rPr>
          <w:rFonts w:ascii="Tahoma" w:eastAsia="Calibri" w:hAnsi="Tahoma" w:cs="Tahoma"/>
          <w:sz w:val="19"/>
          <w:szCs w:val="19"/>
          <w:lang w:eastAsia="en-US"/>
        </w:rPr>
        <w:t>Para essas operações de crédito contamos com recursos que o FNDCT nos empresta e pelos quais pagamos amortizações e juros.</w:t>
      </w:r>
    </w:p>
    <w:p w14:paraId="0B10A91A" w14:textId="56AEA7D1" w:rsidR="00966640" w:rsidRDefault="007716B1" w:rsidP="00254F4A">
      <w:pPr>
        <w:spacing w:before="120" w:after="120" w:line="360" w:lineRule="auto"/>
        <w:rPr>
          <w:rFonts w:ascii="Tahoma" w:eastAsia="Calibri" w:hAnsi="Tahoma" w:cs="Tahoma"/>
          <w:sz w:val="19"/>
          <w:szCs w:val="19"/>
          <w:lang w:eastAsia="en-US"/>
        </w:rPr>
      </w:pPr>
      <w:r>
        <w:rPr>
          <w:rFonts w:ascii="Tahoma" w:eastAsia="Calibri" w:hAnsi="Tahoma" w:cs="Tahoma"/>
          <w:sz w:val="19"/>
          <w:szCs w:val="19"/>
          <w:lang w:eastAsia="en-US"/>
        </w:rPr>
        <w:t xml:space="preserve">A partir de discussões sobre a importância do financiamento à CT&amp;I, </w:t>
      </w:r>
      <w:r w:rsidR="00AD6A3E">
        <w:rPr>
          <w:rFonts w:ascii="Tahoma" w:eastAsia="Calibri" w:hAnsi="Tahoma" w:cs="Tahoma"/>
          <w:sz w:val="19"/>
          <w:szCs w:val="19"/>
          <w:lang w:eastAsia="en-US"/>
        </w:rPr>
        <w:t xml:space="preserve">que contaram com ampla participação de várias instituições do governo, da comunidade científica e da indústria, a </w:t>
      </w:r>
      <w:hyperlink r:id="rId85" w:history="1">
        <w:r w:rsidR="00AD6A3E" w:rsidRPr="00CF0896">
          <w:rPr>
            <w:rStyle w:val="Hyperlink"/>
            <w:rFonts w:ascii="Tahoma" w:eastAsia="Calibri" w:hAnsi="Tahoma" w:cs="Tahoma"/>
            <w:sz w:val="19"/>
            <w:szCs w:val="19"/>
            <w:lang w:eastAsia="en-US"/>
          </w:rPr>
          <w:t>Lei do FNDCT</w:t>
        </w:r>
      </w:hyperlink>
      <w:r w:rsidR="00AD6A3E">
        <w:rPr>
          <w:rFonts w:ascii="Tahoma" w:eastAsia="Calibri" w:hAnsi="Tahoma" w:cs="Tahoma"/>
          <w:sz w:val="19"/>
          <w:szCs w:val="19"/>
          <w:lang w:eastAsia="en-US"/>
        </w:rPr>
        <w:t xml:space="preserve"> (</w:t>
      </w:r>
      <w:r w:rsidR="00AD6A3E" w:rsidRPr="007716B1">
        <w:rPr>
          <w:rFonts w:ascii="Tahoma" w:eastAsia="Calibri" w:hAnsi="Tahoma" w:cs="Tahoma"/>
          <w:sz w:val="19"/>
          <w:szCs w:val="19"/>
          <w:lang w:eastAsia="en-US"/>
        </w:rPr>
        <w:t>Lei 11.540</w:t>
      </w:r>
      <w:r w:rsidR="00AD6A3E">
        <w:rPr>
          <w:rFonts w:ascii="Tahoma" w:eastAsia="Calibri" w:hAnsi="Tahoma" w:cs="Tahoma"/>
          <w:sz w:val="19"/>
          <w:szCs w:val="19"/>
          <w:lang w:eastAsia="en-US"/>
        </w:rPr>
        <w:t>/</w:t>
      </w:r>
      <w:r w:rsidR="00AD6A3E" w:rsidRPr="007716B1">
        <w:rPr>
          <w:rFonts w:ascii="Tahoma" w:eastAsia="Calibri" w:hAnsi="Tahoma" w:cs="Tahoma"/>
          <w:sz w:val="19"/>
          <w:szCs w:val="19"/>
          <w:lang w:eastAsia="en-US"/>
        </w:rPr>
        <w:t>2007</w:t>
      </w:r>
      <w:r w:rsidR="00AD6A3E">
        <w:rPr>
          <w:rFonts w:ascii="Tahoma" w:eastAsia="Calibri" w:hAnsi="Tahoma" w:cs="Tahoma"/>
          <w:sz w:val="19"/>
          <w:szCs w:val="19"/>
          <w:lang w:eastAsia="en-US"/>
        </w:rPr>
        <w:t xml:space="preserve">) sofreu alterações que ampliaram a disponibilidade de recursos do Fundo, facilitando ainda seu acesso para um maior número de empresas. Essas alterações foram formalizadas na </w:t>
      </w:r>
      <w:hyperlink r:id="rId86" w:history="1">
        <w:r w:rsidR="00AD6A3E" w:rsidRPr="00CF43D5">
          <w:rPr>
            <w:rStyle w:val="Hyperlink"/>
            <w:rFonts w:ascii="Tahoma" w:eastAsia="Calibri" w:hAnsi="Tahoma" w:cs="Tahoma"/>
            <w:sz w:val="19"/>
            <w:szCs w:val="19"/>
            <w:lang w:eastAsia="en-US"/>
          </w:rPr>
          <w:t>Lei Complementar 177/2021</w:t>
        </w:r>
      </w:hyperlink>
      <w:r w:rsidR="00AD6A3E">
        <w:rPr>
          <w:rFonts w:ascii="Tahoma" w:eastAsia="Calibri" w:hAnsi="Tahoma" w:cs="Tahoma"/>
          <w:sz w:val="19"/>
          <w:szCs w:val="19"/>
          <w:lang w:eastAsia="en-US"/>
        </w:rPr>
        <w:t xml:space="preserve"> e na </w:t>
      </w:r>
      <w:hyperlink r:id="rId87" w:history="1">
        <w:r w:rsidR="005C7DF3" w:rsidRPr="00CF43D5">
          <w:rPr>
            <w:rStyle w:val="Hyperlink"/>
            <w:rFonts w:ascii="Tahoma" w:eastAsia="Calibri" w:hAnsi="Tahoma" w:cs="Tahoma"/>
            <w:sz w:val="19"/>
            <w:szCs w:val="19"/>
            <w:lang w:eastAsia="en-US"/>
          </w:rPr>
          <w:t>Lei 14.554/2023</w:t>
        </w:r>
      </w:hyperlink>
      <w:r w:rsidR="00966640">
        <w:rPr>
          <w:rFonts w:ascii="Tahoma" w:eastAsia="Calibri" w:hAnsi="Tahoma" w:cs="Tahoma"/>
          <w:sz w:val="19"/>
          <w:szCs w:val="19"/>
          <w:lang w:eastAsia="en-US"/>
        </w:rPr>
        <w:t>. A primeira</w:t>
      </w:r>
      <w:r w:rsidR="00CF43D5">
        <w:rPr>
          <w:rFonts w:ascii="Tahoma" w:eastAsia="Calibri" w:hAnsi="Tahoma" w:cs="Tahoma"/>
          <w:sz w:val="19"/>
          <w:szCs w:val="19"/>
          <w:lang w:eastAsia="en-US"/>
        </w:rPr>
        <w:t>, entre outras alterações relativas à natureza do Fundo,</w:t>
      </w:r>
      <w:r w:rsidR="00966640">
        <w:rPr>
          <w:rFonts w:ascii="Tahoma" w:eastAsia="Calibri" w:hAnsi="Tahoma" w:cs="Tahoma"/>
          <w:sz w:val="19"/>
          <w:szCs w:val="19"/>
          <w:lang w:eastAsia="en-US"/>
        </w:rPr>
        <w:t xml:space="preserve"> proibiu que recursos que compõem o FNDCT fossem colocados em reserva de contingência no Orçamento da União</w:t>
      </w:r>
      <w:r w:rsidR="00CF43D5">
        <w:rPr>
          <w:rFonts w:ascii="Tahoma" w:eastAsia="Calibri" w:hAnsi="Tahoma" w:cs="Tahoma"/>
          <w:sz w:val="19"/>
          <w:szCs w:val="19"/>
          <w:lang w:eastAsia="en-US"/>
        </w:rPr>
        <w:t xml:space="preserve">. Essa vedação </w:t>
      </w:r>
      <w:r w:rsidR="00966640">
        <w:rPr>
          <w:rFonts w:ascii="Tahoma" w:eastAsia="Calibri" w:hAnsi="Tahoma" w:cs="Tahoma"/>
          <w:sz w:val="19"/>
          <w:szCs w:val="19"/>
          <w:lang w:eastAsia="en-US"/>
        </w:rPr>
        <w:t>ampli</w:t>
      </w:r>
      <w:r w:rsidR="00CF43D5">
        <w:rPr>
          <w:rFonts w:ascii="Tahoma" w:eastAsia="Calibri" w:hAnsi="Tahoma" w:cs="Tahoma"/>
          <w:sz w:val="19"/>
          <w:szCs w:val="19"/>
          <w:lang w:eastAsia="en-US"/>
        </w:rPr>
        <w:t>ou</w:t>
      </w:r>
      <w:r w:rsidR="00966640">
        <w:rPr>
          <w:rFonts w:ascii="Tahoma" w:eastAsia="Calibri" w:hAnsi="Tahoma" w:cs="Tahoma"/>
          <w:sz w:val="19"/>
          <w:szCs w:val="19"/>
          <w:lang w:eastAsia="en-US"/>
        </w:rPr>
        <w:t xml:space="preserve"> a disponibilidade de recursos para o objetivo do Fundo que é “</w:t>
      </w:r>
      <w:r w:rsidR="00966640">
        <w:rPr>
          <w:rFonts w:ascii="Arial" w:hAnsi="Arial" w:cs="Arial"/>
          <w:color w:val="000000"/>
          <w:sz w:val="20"/>
          <w:szCs w:val="20"/>
        </w:rPr>
        <w:t>financiar a inovação e o desenvolvimento científico e tecnológico com vistas a promover o desenvolvimento econômico e social do País.”</w:t>
      </w:r>
      <w:r w:rsidR="00CF43D5">
        <w:rPr>
          <w:rFonts w:ascii="Arial" w:hAnsi="Arial" w:cs="Arial"/>
          <w:color w:val="000000"/>
          <w:sz w:val="20"/>
          <w:szCs w:val="20"/>
        </w:rPr>
        <w:t xml:space="preserve"> (art. 1º,</w:t>
      </w:r>
      <w:r w:rsidR="00CF43D5">
        <w:rPr>
          <w:rFonts w:ascii="Tahoma" w:eastAsia="Calibri" w:hAnsi="Tahoma" w:cs="Tahoma"/>
          <w:sz w:val="19"/>
          <w:szCs w:val="19"/>
          <w:lang w:eastAsia="en-US"/>
        </w:rPr>
        <w:t xml:space="preserve"> </w:t>
      </w:r>
      <w:r w:rsidR="00CF43D5" w:rsidRPr="007716B1">
        <w:rPr>
          <w:rFonts w:ascii="Tahoma" w:eastAsia="Calibri" w:hAnsi="Tahoma" w:cs="Tahoma"/>
          <w:sz w:val="19"/>
          <w:szCs w:val="19"/>
          <w:lang w:eastAsia="en-US"/>
        </w:rPr>
        <w:t>Lei 11.540</w:t>
      </w:r>
      <w:r w:rsidR="00CF43D5">
        <w:rPr>
          <w:rFonts w:ascii="Tahoma" w:eastAsia="Calibri" w:hAnsi="Tahoma" w:cs="Tahoma"/>
          <w:sz w:val="19"/>
          <w:szCs w:val="19"/>
          <w:lang w:eastAsia="en-US"/>
        </w:rPr>
        <w:t>/</w:t>
      </w:r>
      <w:r w:rsidR="00CF43D5" w:rsidRPr="007716B1">
        <w:rPr>
          <w:rFonts w:ascii="Tahoma" w:eastAsia="Calibri" w:hAnsi="Tahoma" w:cs="Tahoma"/>
          <w:sz w:val="19"/>
          <w:szCs w:val="19"/>
          <w:lang w:eastAsia="en-US"/>
        </w:rPr>
        <w:t>2007</w:t>
      </w:r>
      <w:r w:rsidR="00CF43D5">
        <w:rPr>
          <w:rFonts w:ascii="Arial" w:hAnsi="Arial" w:cs="Arial"/>
          <w:color w:val="000000"/>
          <w:sz w:val="20"/>
          <w:szCs w:val="20"/>
        </w:rPr>
        <w:t>).</w:t>
      </w:r>
    </w:p>
    <w:p w14:paraId="1D28C726" w14:textId="2AD48792" w:rsidR="00553942" w:rsidRDefault="00966640" w:rsidP="00254F4A">
      <w:pPr>
        <w:spacing w:before="120" w:after="120" w:line="360" w:lineRule="auto"/>
        <w:rPr>
          <w:rFonts w:ascii="Tahoma" w:eastAsia="Calibri" w:hAnsi="Tahoma" w:cs="Tahoma"/>
          <w:sz w:val="19"/>
          <w:szCs w:val="19"/>
          <w:lang w:eastAsia="en-US"/>
        </w:rPr>
      </w:pPr>
      <w:r>
        <w:rPr>
          <w:rFonts w:ascii="Tahoma" w:eastAsia="Calibri" w:hAnsi="Tahoma" w:cs="Tahoma"/>
          <w:sz w:val="19"/>
          <w:szCs w:val="19"/>
          <w:lang w:eastAsia="en-US"/>
        </w:rPr>
        <w:t xml:space="preserve">A </w:t>
      </w:r>
      <w:r w:rsidR="005C7DF3" w:rsidRPr="007716B1">
        <w:rPr>
          <w:rFonts w:ascii="Tahoma" w:eastAsia="Calibri" w:hAnsi="Tahoma" w:cs="Tahoma"/>
          <w:sz w:val="19"/>
          <w:szCs w:val="19"/>
          <w:lang w:eastAsia="en-US"/>
        </w:rPr>
        <w:t>Lei 14.554/2023</w:t>
      </w:r>
      <w:r>
        <w:rPr>
          <w:rFonts w:ascii="Tahoma" w:eastAsia="Calibri" w:hAnsi="Tahoma" w:cs="Tahoma"/>
          <w:sz w:val="19"/>
          <w:szCs w:val="19"/>
          <w:lang w:eastAsia="en-US"/>
        </w:rPr>
        <w:t xml:space="preserve"> </w:t>
      </w:r>
      <w:r w:rsidR="00023622">
        <w:rPr>
          <w:rFonts w:ascii="Tahoma" w:eastAsia="Calibri" w:hAnsi="Tahoma" w:cs="Tahoma"/>
          <w:sz w:val="19"/>
          <w:szCs w:val="19"/>
          <w:lang w:eastAsia="en-US"/>
        </w:rPr>
        <w:t xml:space="preserve">alterou </w:t>
      </w:r>
      <w:r w:rsidR="00553942">
        <w:rPr>
          <w:rFonts w:ascii="Tahoma" w:eastAsia="Calibri" w:hAnsi="Tahoma" w:cs="Tahoma"/>
          <w:sz w:val="19"/>
          <w:szCs w:val="19"/>
          <w:lang w:eastAsia="en-US"/>
        </w:rPr>
        <w:t>o artigo 12 da Lei do FNDCT</w:t>
      </w:r>
      <w:r w:rsidR="008B151B">
        <w:rPr>
          <w:rFonts w:ascii="Tahoma" w:eastAsia="Calibri" w:hAnsi="Tahoma" w:cs="Tahoma"/>
          <w:sz w:val="19"/>
          <w:szCs w:val="19"/>
          <w:lang w:eastAsia="en-US"/>
        </w:rPr>
        <w:t xml:space="preserve"> </w:t>
      </w:r>
      <w:r w:rsidR="00023622">
        <w:rPr>
          <w:rFonts w:ascii="Tahoma" w:eastAsia="Calibri" w:hAnsi="Tahoma" w:cs="Tahoma"/>
          <w:sz w:val="19"/>
          <w:szCs w:val="19"/>
          <w:lang w:eastAsia="en-US"/>
        </w:rPr>
        <w:t xml:space="preserve">mudando </w:t>
      </w:r>
      <w:r w:rsidR="00553942">
        <w:rPr>
          <w:rFonts w:ascii="Tahoma" w:eastAsia="Calibri" w:hAnsi="Tahoma" w:cs="Tahoma"/>
          <w:sz w:val="19"/>
          <w:szCs w:val="19"/>
          <w:lang w:eastAsia="en-US"/>
        </w:rPr>
        <w:t>a taxa que usamos para pagar juros</w:t>
      </w:r>
      <w:r w:rsidR="00CF43D5">
        <w:rPr>
          <w:rFonts w:ascii="Tahoma" w:eastAsia="Calibri" w:hAnsi="Tahoma" w:cs="Tahoma"/>
          <w:sz w:val="19"/>
          <w:szCs w:val="19"/>
          <w:lang w:eastAsia="en-US"/>
        </w:rPr>
        <w:t xml:space="preserve"> ao Fundo</w:t>
      </w:r>
      <w:r w:rsidR="005C7DF3">
        <w:rPr>
          <w:rFonts w:ascii="Tahoma" w:eastAsia="Calibri" w:hAnsi="Tahoma" w:cs="Tahoma"/>
          <w:sz w:val="19"/>
          <w:szCs w:val="19"/>
          <w:lang w:eastAsia="en-US"/>
        </w:rPr>
        <w:t>,</w:t>
      </w:r>
      <w:r w:rsidR="00CF43D5">
        <w:rPr>
          <w:rFonts w:ascii="Tahoma" w:eastAsia="Calibri" w:hAnsi="Tahoma" w:cs="Tahoma"/>
          <w:sz w:val="19"/>
          <w:szCs w:val="19"/>
          <w:lang w:eastAsia="en-US"/>
        </w:rPr>
        <w:t xml:space="preserve"> de </w:t>
      </w:r>
      <w:r w:rsidR="00CF43D5" w:rsidRPr="00CF43D5">
        <w:rPr>
          <w:rFonts w:ascii="Tahoma" w:eastAsia="Calibri" w:hAnsi="Tahoma" w:cs="Tahoma"/>
          <w:sz w:val="19"/>
          <w:szCs w:val="19"/>
          <w:lang w:eastAsia="en-US"/>
        </w:rPr>
        <w:t>TJLP</w:t>
      </w:r>
      <w:r w:rsidR="00CF43D5">
        <w:rPr>
          <w:rFonts w:ascii="Tahoma" w:eastAsia="Calibri" w:hAnsi="Tahoma" w:cs="Tahoma"/>
          <w:sz w:val="19"/>
          <w:szCs w:val="19"/>
          <w:lang w:eastAsia="en-US"/>
        </w:rPr>
        <w:t xml:space="preserve"> </w:t>
      </w:r>
      <w:r w:rsidR="00CF43D5" w:rsidRPr="00CF43D5">
        <w:rPr>
          <w:rFonts w:ascii="Tahoma" w:eastAsia="Calibri" w:hAnsi="Tahoma" w:cs="Tahoma"/>
          <w:sz w:val="19"/>
          <w:szCs w:val="19"/>
          <w:lang w:eastAsia="en-US"/>
        </w:rPr>
        <w:t>(Taxa de Juros a Longo Prazo)</w:t>
      </w:r>
      <w:r w:rsidR="00CF43D5">
        <w:rPr>
          <w:rFonts w:ascii="Tahoma" w:eastAsia="Calibri" w:hAnsi="Tahoma" w:cs="Tahoma"/>
          <w:sz w:val="19"/>
          <w:szCs w:val="19"/>
          <w:lang w:eastAsia="en-US"/>
        </w:rPr>
        <w:t xml:space="preserve"> para TR</w:t>
      </w:r>
      <w:r w:rsidR="00CF43D5" w:rsidRPr="00CF43D5">
        <w:t xml:space="preserve"> </w:t>
      </w:r>
      <w:r w:rsidR="00CF43D5">
        <w:t>(</w:t>
      </w:r>
      <w:r w:rsidR="00CF43D5" w:rsidRPr="00CF43D5">
        <w:rPr>
          <w:rFonts w:ascii="Tahoma" w:eastAsia="Calibri" w:hAnsi="Tahoma" w:cs="Tahoma"/>
          <w:sz w:val="19"/>
          <w:szCs w:val="19"/>
          <w:lang w:eastAsia="en-US"/>
        </w:rPr>
        <w:t>Taxa Referencial)</w:t>
      </w:r>
      <w:r w:rsidR="003E2C58">
        <w:rPr>
          <w:rFonts w:ascii="Tahoma" w:eastAsia="Calibri" w:hAnsi="Tahoma" w:cs="Tahoma"/>
          <w:sz w:val="19"/>
          <w:szCs w:val="19"/>
          <w:lang w:eastAsia="en-US"/>
        </w:rPr>
        <w:t xml:space="preserve">. Como </w:t>
      </w:r>
      <w:r w:rsidR="005405D6">
        <w:rPr>
          <w:rFonts w:ascii="Tahoma" w:eastAsia="Calibri" w:hAnsi="Tahoma" w:cs="Tahoma"/>
          <w:sz w:val="19"/>
          <w:szCs w:val="19"/>
          <w:lang w:eastAsia="en-US"/>
        </w:rPr>
        <w:t>medida de gestão</w:t>
      </w:r>
      <w:r w:rsidR="00CF43D5" w:rsidRPr="00CF43D5">
        <w:rPr>
          <w:rFonts w:ascii="Tahoma" w:eastAsia="Calibri" w:hAnsi="Tahoma" w:cs="Tahoma"/>
          <w:sz w:val="19"/>
          <w:szCs w:val="19"/>
          <w:lang w:eastAsia="en-US"/>
        </w:rPr>
        <w:t xml:space="preserve">, </w:t>
      </w:r>
      <w:r w:rsidR="005405D6">
        <w:rPr>
          <w:rFonts w:ascii="Tahoma" w:eastAsia="Calibri" w:hAnsi="Tahoma" w:cs="Tahoma"/>
          <w:sz w:val="19"/>
          <w:szCs w:val="19"/>
          <w:lang w:eastAsia="en-US"/>
        </w:rPr>
        <w:t>a Finep passou a aplicar a TR também nos contratos com as empresas apoiadas.</w:t>
      </w:r>
      <w:r w:rsidR="008B151B">
        <w:rPr>
          <w:rFonts w:ascii="Tahoma" w:eastAsia="Calibri" w:hAnsi="Tahoma" w:cs="Tahoma"/>
          <w:sz w:val="19"/>
          <w:szCs w:val="19"/>
          <w:lang w:eastAsia="en-US"/>
        </w:rPr>
        <w:t xml:space="preserve"> Essas alterações permitiram a </w:t>
      </w:r>
      <w:r w:rsidR="00CF43D5">
        <w:rPr>
          <w:rFonts w:ascii="Tahoma" w:eastAsia="Calibri" w:hAnsi="Tahoma" w:cs="Tahoma"/>
          <w:sz w:val="19"/>
          <w:szCs w:val="19"/>
          <w:lang w:eastAsia="en-US"/>
        </w:rPr>
        <w:t>diminuição</w:t>
      </w:r>
      <w:r w:rsidR="008B151B">
        <w:rPr>
          <w:rFonts w:ascii="Tahoma" w:eastAsia="Calibri" w:hAnsi="Tahoma" w:cs="Tahoma"/>
          <w:sz w:val="19"/>
          <w:szCs w:val="19"/>
          <w:lang w:eastAsia="en-US"/>
        </w:rPr>
        <w:t xml:space="preserve"> das</w:t>
      </w:r>
      <w:r w:rsidR="00553942">
        <w:rPr>
          <w:rFonts w:ascii="Tahoma" w:eastAsia="Calibri" w:hAnsi="Tahoma" w:cs="Tahoma"/>
          <w:sz w:val="19"/>
          <w:szCs w:val="19"/>
          <w:lang w:eastAsia="en-US"/>
        </w:rPr>
        <w:t xml:space="preserve"> taxas </w:t>
      </w:r>
      <w:r w:rsidR="008B151B">
        <w:rPr>
          <w:rFonts w:ascii="Tahoma" w:eastAsia="Calibri" w:hAnsi="Tahoma" w:cs="Tahoma"/>
          <w:sz w:val="19"/>
          <w:szCs w:val="19"/>
          <w:lang w:eastAsia="en-US"/>
        </w:rPr>
        <w:t xml:space="preserve">de juros </w:t>
      </w:r>
      <w:r w:rsidR="007D51BB">
        <w:rPr>
          <w:rFonts w:ascii="Tahoma" w:eastAsia="Calibri" w:hAnsi="Tahoma" w:cs="Tahoma"/>
          <w:sz w:val="19"/>
          <w:szCs w:val="19"/>
          <w:lang w:eastAsia="en-US"/>
        </w:rPr>
        <w:t xml:space="preserve">finais </w:t>
      </w:r>
      <w:r w:rsidR="00553942">
        <w:rPr>
          <w:rFonts w:ascii="Tahoma" w:eastAsia="Calibri" w:hAnsi="Tahoma" w:cs="Tahoma"/>
          <w:sz w:val="19"/>
          <w:szCs w:val="19"/>
          <w:lang w:eastAsia="en-US"/>
        </w:rPr>
        <w:t xml:space="preserve">praticadas em nossos empréstimos, </w:t>
      </w:r>
      <w:r w:rsidR="008B151B">
        <w:rPr>
          <w:rFonts w:ascii="Tahoma" w:eastAsia="Calibri" w:hAnsi="Tahoma" w:cs="Tahoma"/>
          <w:sz w:val="19"/>
          <w:szCs w:val="19"/>
          <w:lang w:eastAsia="en-US"/>
        </w:rPr>
        <w:t xml:space="preserve">efetivamente </w:t>
      </w:r>
      <w:r w:rsidR="00553942">
        <w:rPr>
          <w:rFonts w:ascii="Tahoma" w:eastAsia="Calibri" w:hAnsi="Tahoma" w:cs="Tahoma"/>
          <w:sz w:val="19"/>
          <w:szCs w:val="19"/>
          <w:lang w:eastAsia="en-US"/>
        </w:rPr>
        <w:t xml:space="preserve">ampliando o número de empresas que podem acessar </w:t>
      </w:r>
      <w:r w:rsidR="008B151B">
        <w:rPr>
          <w:rFonts w:ascii="Tahoma" w:eastAsia="Calibri" w:hAnsi="Tahoma" w:cs="Tahoma"/>
          <w:sz w:val="19"/>
          <w:szCs w:val="19"/>
          <w:lang w:eastAsia="en-US"/>
        </w:rPr>
        <w:t>o</w:t>
      </w:r>
      <w:r w:rsidR="00553942">
        <w:rPr>
          <w:rFonts w:ascii="Tahoma" w:eastAsia="Calibri" w:hAnsi="Tahoma" w:cs="Tahoma"/>
          <w:sz w:val="19"/>
          <w:szCs w:val="19"/>
          <w:lang w:eastAsia="en-US"/>
        </w:rPr>
        <w:t xml:space="preserve"> crédito destinado à inovação.</w:t>
      </w:r>
      <w:r w:rsidR="00580C14">
        <w:rPr>
          <w:rFonts w:ascii="Tahoma" w:eastAsia="Calibri" w:hAnsi="Tahoma" w:cs="Tahoma"/>
          <w:sz w:val="19"/>
          <w:szCs w:val="19"/>
          <w:lang w:eastAsia="en-US"/>
        </w:rPr>
        <w:t xml:space="preserve"> </w:t>
      </w:r>
      <w:r w:rsidR="00580C14" w:rsidRPr="00580C14">
        <w:rPr>
          <w:rFonts w:ascii="Tahoma" w:eastAsia="Calibri" w:hAnsi="Tahoma" w:cs="Tahoma"/>
          <w:sz w:val="19"/>
          <w:szCs w:val="19"/>
          <w:lang w:eastAsia="en-US"/>
        </w:rPr>
        <w:t>Além de taxas mais atrativas no fomento à inovação, a forma de cálculo fic</w:t>
      </w:r>
      <w:r w:rsidR="00580C14">
        <w:rPr>
          <w:rFonts w:ascii="Tahoma" w:eastAsia="Calibri" w:hAnsi="Tahoma" w:cs="Tahoma"/>
          <w:sz w:val="19"/>
          <w:szCs w:val="19"/>
          <w:lang w:eastAsia="en-US"/>
        </w:rPr>
        <w:t>ou</w:t>
      </w:r>
      <w:r w:rsidR="00580C14" w:rsidRPr="00580C14">
        <w:rPr>
          <w:rFonts w:ascii="Tahoma" w:eastAsia="Calibri" w:hAnsi="Tahoma" w:cs="Tahoma"/>
          <w:sz w:val="19"/>
          <w:szCs w:val="19"/>
          <w:lang w:eastAsia="en-US"/>
        </w:rPr>
        <w:t xml:space="preserve"> mais simples para as empresas</w:t>
      </w:r>
      <w:r w:rsidR="00580C14">
        <w:rPr>
          <w:rFonts w:ascii="Tahoma" w:eastAsia="Calibri" w:hAnsi="Tahoma" w:cs="Tahoma"/>
          <w:sz w:val="19"/>
          <w:szCs w:val="19"/>
          <w:lang w:eastAsia="en-US"/>
        </w:rPr>
        <w:t xml:space="preserve"> porque a </w:t>
      </w:r>
      <w:r w:rsidR="00580C14" w:rsidRPr="00580C14">
        <w:rPr>
          <w:rFonts w:ascii="Tahoma" w:eastAsia="Calibri" w:hAnsi="Tahoma" w:cs="Tahoma"/>
          <w:sz w:val="19"/>
          <w:szCs w:val="19"/>
          <w:lang w:eastAsia="en-US"/>
        </w:rPr>
        <w:t>TR é um indexador mais estável.</w:t>
      </w:r>
    </w:p>
    <w:p w14:paraId="0AD194ED" w14:textId="2D15D4BB" w:rsidR="008B151B" w:rsidRDefault="002F7698">
      <w:pPr>
        <w:spacing w:before="120" w:after="120" w:line="360" w:lineRule="auto"/>
        <w:rPr>
          <w:rFonts w:ascii="Tahoma" w:eastAsia="Calibri" w:hAnsi="Tahoma" w:cs="Tahoma"/>
          <w:sz w:val="19"/>
          <w:szCs w:val="19"/>
          <w:lang w:eastAsia="en-US"/>
        </w:rPr>
      </w:pPr>
      <w:r w:rsidRPr="008B6192">
        <w:rPr>
          <w:noProof/>
          <w:color w:val="2B579A"/>
          <w:highlight w:val="yellow"/>
          <w:shd w:val="clear" w:color="auto" w:fill="E6E6E6"/>
        </w:rPr>
        <mc:AlternateContent>
          <mc:Choice Requires="wps">
            <w:drawing>
              <wp:anchor distT="0" distB="0" distL="114300" distR="114300" simplePos="0" relativeHeight="251816960" behindDoc="0" locked="0" layoutInCell="1" allowOverlap="1" wp14:anchorId="192DA5E9" wp14:editId="758988A1">
                <wp:simplePos x="0" y="0"/>
                <wp:positionH relativeFrom="margin">
                  <wp:posOffset>1600200</wp:posOffset>
                </wp:positionH>
                <wp:positionV relativeFrom="paragraph">
                  <wp:posOffset>0</wp:posOffset>
                </wp:positionV>
                <wp:extent cx="4089400" cy="406400"/>
                <wp:effectExtent l="0" t="0" r="6350" b="0"/>
                <wp:wrapTight wrapText="bothSides">
                  <wp:wrapPolygon edited="0">
                    <wp:start x="0" y="0"/>
                    <wp:lineTo x="0" y="20250"/>
                    <wp:lineTo x="21533" y="20250"/>
                    <wp:lineTo x="21533" y="0"/>
                    <wp:lineTo x="0" y="0"/>
                  </wp:wrapPolygon>
                </wp:wrapTight>
                <wp:docPr id="1428179300" name="Text Box 64"/>
                <wp:cNvGraphicFramePr/>
                <a:graphic xmlns:a="http://schemas.openxmlformats.org/drawingml/2006/main">
                  <a:graphicData uri="http://schemas.microsoft.com/office/word/2010/wordprocessingShape">
                    <wps:wsp>
                      <wps:cNvSpPr txBox="1"/>
                      <wps:spPr>
                        <a:xfrm>
                          <a:off x="0" y="0"/>
                          <a:ext cx="4089400" cy="406400"/>
                        </a:xfrm>
                        <a:prstGeom prst="rect">
                          <a:avLst/>
                        </a:prstGeom>
                        <a:solidFill>
                          <a:srgbClr val="0098BA">
                            <a:alpha val="25098"/>
                          </a:srgbClr>
                        </a:solidFill>
                        <a:ln w="6345">
                          <a:noFill/>
                          <a:prstDash val="dash"/>
                        </a:ln>
                      </wps:spPr>
                      <wps:txbx>
                        <w:txbxContent>
                          <w:p w14:paraId="0E379AA3" w14:textId="4E073D4B" w:rsidR="002F7698" w:rsidRPr="002F7698" w:rsidRDefault="002F7698" w:rsidP="002F7698">
                            <w:pPr>
                              <w:jc w:val="right"/>
                              <w:rPr>
                                <w:rFonts w:ascii="Tahoma" w:hAnsi="Tahoma" w:cs="Tahoma"/>
                                <w:sz w:val="16"/>
                                <w:szCs w:val="16"/>
                              </w:rPr>
                            </w:pPr>
                            <w:r w:rsidRPr="002F7698">
                              <w:rPr>
                                <w:rFonts w:ascii="Tahoma" w:eastAsia="Calibri" w:hAnsi="Tahoma" w:cs="Tahoma"/>
                                <w:sz w:val="16"/>
                                <w:szCs w:val="16"/>
                                <w:lang w:eastAsia="en-US"/>
                              </w:rPr>
                              <w:t xml:space="preserve">As taxas usadas nas diferentes linhas e produtos para apoio a empresas inovadoras podem ser consultadas no Anexo 1 das nossas </w:t>
                            </w:r>
                            <w:hyperlink r:id="rId88" w:history="1">
                              <w:r w:rsidRPr="002F7698">
                                <w:rPr>
                                  <w:rStyle w:val="Hyperlink"/>
                                  <w:rFonts w:ascii="Tahoma" w:eastAsia="Calibri" w:hAnsi="Tahoma" w:cs="Tahoma"/>
                                  <w:sz w:val="16"/>
                                  <w:szCs w:val="16"/>
                                  <w:lang w:eastAsia="en-US"/>
                                </w:rPr>
                                <w:t>Condições operacionais</w:t>
                              </w:r>
                            </w:hyperlink>
                            <w:r w:rsidRPr="002F7698">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192DA5E9" id="_x0000_s1035" type="#_x0000_t202" style="position:absolute;margin-left:126pt;margin-top:0;width:322pt;height:32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" fillcolor="#0098ba" stroked="f" strokeweight=".17625mm">
                <v:fill opacity="16448f"/>
                <v:stroke dashstyle="dash"/>
                <v:textbox>
                  <w:txbxContent>
                    <w:p w14:paraId="0E379AA3" w14:textId="4E073D4B" w:rsidR="002F7698" w:rsidRPr="002F7698" w:rsidRDefault="002F7698" w:rsidP="002F7698">
                      <w:pPr>
                        <w:jc w:val="right"/>
                        <w:rPr>
                          <w:rFonts w:ascii="Tahoma" w:hAnsi="Tahoma" w:cs="Tahoma"/>
                          <w:sz w:val="16"/>
                          <w:szCs w:val="16"/>
                        </w:rPr>
                      </w:pPr>
                      <w:r w:rsidRPr="002F7698">
                        <w:rPr>
                          <w:rFonts w:ascii="Tahoma" w:eastAsia="Calibri" w:hAnsi="Tahoma" w:cs="Tahoma"/>
                          <w:sz w:val="16"/>
                          <w:szCs w:val="16"/>
                          <w:lang w:eastAsia="en-US"/>
                        </w:rPr>
                        <w:t xml:space="preserve">As taxas usadas nas diferentes linhas e produtos para apoio a empresas inovadoras podem ser consultadas no Anexo 1 das nossas </w:t>
                      </w:r>
                      <w:hyperlink r:id="rId89" w:history="1">
                        <w:r w:rsidRPr="002F7698">
                          <w:rPr>
                            <w:rStyle w:val="Hyperlink"/>
                            <w:rFonts w:ascii="Tahoma" w:eastAsia="Calibri" w:hAnsi="Tahoma" w:cs="Tahoma"/>
                            <w:sz w:val="16"/>
                            <w:szCs w:val="16"/>
                            <w:lang w:eastAsia="en-US"/>
                          </w:rPr>
                          <w:t>Condições operacionais</w:t>
                        </w:r>
                      </w:hyperlink>
                      <w:r w:rsidRPr="002F7698">
                        <w:rPr>
                          <w:rFonts w:ascii="Tahoma" w:hAnsi="Tahoma" w:cs="Tahoma"/>
                          <w:sz w:val="16"/>
                          <w:szCs w:val="16"/>
                        </w:rPr>
                        <w:t>.</w:t>
                      </w:r>
                    </w:p>
                  </w:txbxContent>
                </v:textbox>
                <w10:wrap type="tight" anchorx="margin"/>
              </v:shape>
            </w:pict>
          </mc:Fallback>
        </mc:AlternateContent>
      </w:r>
    </w:p>
    <w:p w14:paraId="2AC4D077" w14:textId="5279FE19" w:rsidR="002F7698" w:rsidRDefault="002F7698">
      <w:pPr>
        <w:spacing w:before="120" w:after="120" w:line="360" w:lineRule="auto"/>
        <w:rPr>
          <w:rFonts w:ascii="Tahoma" w:eastAsia="Calibri" w:hAnsi="Tahoma" w:cs="Tahoma"/>
          <w:sz w:val="19"/>
          <w:szCs w:val="19"/>
          <w:lang w:eastAsia="en-US"/>
        </w:rPr>
      </w:pPr>
    </w:p>
    <w:p w14:paraId="71CEF5DC" w14:textId="30EBB730" w:rsidR="003C5945" w:rsidRPr="003C5945" w:rsidRDefault="003C5945" w:rsidP="00254F4A">
      <w:pPr>
        <w:spacing w:before="120" w:after="120" w:line="360" w:lineRule="auto"/>
        <w:rPr>
          <w:rFonts w:ascii="Tahoma" w:eastAsia="Calibri" w:hAnsi="Tahoma" w:cs="Tahoma"/>
          <w:sz w:val="19"/>
          <w:szCs w:val="19"/>
          <w:lang w:eastAsia="en-US"/>
        </w:rPr>
      </w:pPr>
      <w:r>
        <w:rPr>
          <w:rFonts w:ascii="Tahoma" w:eastAsia="Calibri" w:hAnsi="Tahoma" w:cs="Tahoma"/>
          <w:sz w:val="19"/>
          <w:szCs w:val="19"/>
          <w:lang w:eastAsia="en-US"/>
        </w:rPr>
        <w:t>Em 2023</w:t>
      </w:r>
      <w:r w:rsidRPr="003C5945">
        <w:rPr>
          <w:rFonts w:ascii="Tahoma" w:eastAsia="Calibri" w:hAnsi="Tahoma" w:cs="Tahoma"/>
          <w:sz w:val="19"/>
          <w:szCs w:val="19"/>
          <w:lang w:eastAsia="en-US"/>
        </w:rPr>
        <w:t>, pela primeira vez nos últimos oito anos, os recursos do FNDCT foram disponibilizados em sua totalidade para execução</w:t>
      </w:r>
      <w:r w:rsidR="00DE6BE0">
        <w:rPr>
          <w:rFonts w:ascii="Tahoma" w:eastAsia="Calibri" w:hAnsi="Tahoma" w:cs="Tahoma"/>
          <w:sz w:val="19"/>
          <w:szCs w:val="19"/>
          <w:lang w:eastAsia="en-US"/>
        </w:rPr>
        <w:t xml:space="preserve">: </w:t>
      </w:r>
      <w:r w:rsidRPr="003C5945">
        <w:rPr>
          <w:rFonts w:ascii="Tahoma" w:eastAsia="Calibri" w:hAnsi="Tahoma" w:cs="Tahoma"/>
          <w:sz w:val="19"/>
          <w:szCs w:val="19"/>
          <w:lang w:eastAsia="en-US"/>
        </w:rPr>
        <w:t>R$ 9.958</w:t>
      </w:r>
      <w:r>
        <w:rPr>
          <w:rFonts w:ascii="Tahoma" w:eastAsia="Calibri" w:hAnsi="Tahoma" w:cs="Tahoma"/>
          <w:sz w:val="19"/>
          <w:szCs w:val="19"/>
          <w:lang w:eastAsia="en-US"/>
        </w:rPr>
        <w:t>.160.051</w:t>
      </w:r>
      <w:r w:rsidRPr="003C5945">
        <w:rPr>
          <w:rFonts w:ascii="Tahoma" w:eastAsia="Calibri" w:hAnsi="Tahoma" w:cs="Tahoma"/>
          <w:sz w:val="19"/>
          <w:szCs w:val="19"/>
          <w:lang w:eastAsia="en-US"/>
        </w:rPr>
        <w:t>, divididos igualmente entre recursos não reembolsáveis</w:t>
      </w:r>
      <w:r w:rsidR="00DE6BE0" w:rsidRPr="00DE6BE0">
        <w:rPr>
          <w:rFonts w:ascii="Tahoma" w:eastAsia="Calibri" w:hAnsi="Tahoma" w:cs="Tahoma"/>
          <w:sz w:val="19"/>
          <w:szCs w:val="19"/>
          <w:lang w:eastAsia="en-US"/>
        </w:rPr>
        <w:t xml:space="preserve"> </w:t>
      </w:r>
      <w:r w:rsidR="00DE6BE0">
        <w:rPr>
          <w:rFonts w:ascii="Tahoma" w:eastAsia="Calibri" w:hAnsi="Tahoma" w:cs="Tahoma"/>
          <w:sz w:val="19"/>
          <w:szCs w:val="19"/>
          <w:lang w:eastAsia="en-US"/>
        </w:rPr>
        <w:t>(para ICTs, subvenção econômica a empresas</w:t>
      </w:r>
      <w:r w:rsidR="00580C14">
        <w:rPr>
          <w:rFonts w:ascii="Tahoma" w:eastAsia="Calibri" w:hAnsi="Tahoma" w:cs="Tahoma"/>
          <w:sz w:val="19"/>
          <w:szCs w:val="19"/>
          <w:lang w:eastAsia="en-US"/>
        </w:rPr>
        <w:t>, equalização de juros</w:t>
      </w:r>
      <w:r w:rsidR="00DE6BE0">
        <w:rPr>
          <w:rFonts w:ascii="Tahoma" w:eastAsia="Calibri" w:hAnsi="Tahoma" w:cs="Tahoma"/>
          <w:sz w:val="19"/>
          <w:szCs w:val="19"/>
          <w:lang w:eastAsia="en-US"/>
        </w:rPr>
        <w:t xml:space="preserve"> e investimento em FIPs) e </w:t>
      </w:r>
      <w:r w:rsidR="00DE6BE0" w:rsidRPr="003C5945">
        <w:rPr>
          <w:rFonts w:ascii="Tahoma" w:eastAsia="Calibri" w:hAnsi="Tahoma" w:cs="Tahoma"/>
          <w:sz w:val="19"/>
          <w:szCs w:val="19"/>
          <w:lang w:eastAsia="en-US"/>
        </w:rPr>
        <w:t>reembolsáveis</w:t>
      </w:r>
      <w:r w:rsidR="00DE6BE0">
        <w:rPr>
          <w:rFonts w:ascii="Tahoma" w:eastAsia="Calibri" w:hAnsi="Tahoma" w:cs="Tahoma"/>
          <w:sz w:val="19"/>
          <w:szCs w:val="19"/>
          <w:lang w:eastAsia="en-US"/>
        </w:rPr>
        <w:t xml:space="preserve"> (para crédito a </w:t>
      </w:r>
      <w:r w:rsidR="00DE6BE0" w:rsidRPr="003C5945">
        <w:rPr>
          <w:rFonts w:ascii="Tahoma" w:eastAsia="Calibri" w:hAnsi="Tahoma" w:cs="Tahoma"/>
          <w:sz w:val="19"/>
          <w:szCs w:val="19"/>
          <w:lang w:eastAsia="en-US"/>
        </w:rPr>
        <w:t>e</w:t>
      </w:r>
      <w:r w:rsidR="00DE6BE0">
        <w:rPr>
          <w:rFonts w:ascii="Tahoma" w:eastAsia="Calibri" w:hAnsi="Tahoma" w:cs="Tahoma"/>
          <w:sz w:val="19"/>
          <w:szCs w:val="19"/>
          <w:lang w:eastAsia="en-US"/>
        </w:rPr>
        <w:t>mpresas)</w:t>
      </w:r>
      <w:r w:rsidRPr="003C5945">
        <w:rPr>
          <w:rFonts w:ascii="Tahoma" w:eastAsia="Calibri" w:hAnsi="Tahoma" w:cs="Tahoma"/>
          <w:sz w:val="19"/>
          <w:szCs w:val="19"/>
          <w:lang w:eastAsia="en-US"/>
        </w:rPr>
        <w:t>.</w:t>
      </w:r>
    </w:p>
    <w:p w14:paraId="115294BD" w14:textId="5B7DF793" w:rsidR="002F7698" w:rsidRDefault="002F7698" w:rsidP="003C5945">
      <w:pPr>
        <w:spacing w:before="120" w:after="120" w:line="360" w:lineRule="auto"/>
        <w:rPr>
          <w:rFonts w:ascii="Tahoma" w:eastAsia="Calibri" w:hAnsi="Tahoma" w:cs="Tahoma"/>
          <w:sz w:val="19"/>
          <w:szCs w:val="19"/>
          <w:lang w:eastAsia="en-US"/>
        </w:rPr>
      </w:pPr>
    </w:p>
    <w:p w14:paraId="09EEF4BF" w14:textId="795A861C" w:rsidR="00787C3E" w:rsidRDefault="0036596D" w:rsidP="003C5945">
      <w:pPr>
        <w:spacing w:before="120" w:after="120" w:line="360" w:lineRule="auto"/>
        <w:rPr>
          <w:rFonts w:ascii="Tahoma" w:eastAsia="Calibri" w:hAnsi="Tahoma" w:cs="Tahoma"/>
          <w:sz w:val="19"/>
          <w:szCs w:val="19"/>
          <w:lang w:eastAsia="en-US"/>
        </w:rPr>
      </w:pPr>
      <w:r w:rsidRPr="008B6192">
        <w:rPr>
          <w:noProof/>
          <w:color w:val="2B579A"/>
          <w:highlight w:val="yellow"/>
          <w:shd w:val="clear" w:color="auto" w:fill="E6E6E6"/>
        </w:rPr>
        <mc:AlternateContent>
          <mc:Choice Requires="wps">
            <w:drawing>
              <wp:anchor distT="0" distB="0" distL="114300" distR="114300" simplePos="0" relativeHeight="251897856" behindDoc="0" locked="0" layoutInCell="1" allowOverlap="1" wp14:anchorId="2F44F43E" wp14:editId="1E2DB4BC">
                <wp:simplePos x="0" y="0"/>
                <wp:positionH relativeFrom="margin">
                  <wp:posOffset>381856</wp:posOffset>
                </wp:positionH>
                <wp:positionV relativeFrom="paragraph">
                  <wp:posOffset>-386</wp:posOffset>
                </wp:positionV>
                <wp:extent cx="5264150" cy="927100"/>
                <wp:effectExtent l="0" t="0" r="0" b="6350"/>
                <wp:wrapTight wrapText="bothSides">
                  <wp:wrapPolygon edited="0">
                    <wp:start x="0" y="0"/>
                    <wp:lineTo x="0" y="21304"/>
                    <wp:lineTo x="21496" y="21304"/>
                    <wp:lineTo x="21496" y="0"/>
                    <wp:lineTo x="0" y="0"/>
                  </wp:wrapPolygon>
                </wp:wrapTight>
                <wp:docPr id="1903860421" name="Text Box 64"/>
                <wp:cNvGraphicFramePr/>
                <a:graphic xmlns:a="http://schemas.openxmlformats.org/drawingml/2006/main">
                  <a:graphicData uri="http://schemas.microsoft.com/office/word/2010/wordprocessingShape">
                    <wps:wsp>
                      <wps:cNvSpPr txBox="1"/>
                      <wps:spPr>
                        <a:xfrm>
                          <a:off x="0" y="0"/>
                          <a:ext cx="5264150" cy="927100"/>
                        </a:xfrm>
                        <a:prstGeom prst="rect">
                          <a:avLst/>
                        </a:prstGeom>
                        <a:solidFill>
                          <a:srgbClr val="0098BA">
                            <a:alpha val="25098"/>
                          </a:srgbClr>
                        </a:solidFill>
                        <a:ln w="6345">
                          <a:noFill/>
                          <a:prstDash val="dash"/>
                        </a:ln>
                      </wps:spPr>
                      <wps:txbx>
                        <w:txbxContent>
                          <w:p w14:paraId="7B0715DC" w14:textId="77777777" w:rsidR="00787C3E" w:rsidRDefault="00787C3E" w:rsidP="00787C3E">
                            <w:pPr>
                              <w:jc w:val="right"/>
                              <w:rPr>
                                <w:rFonts w:ascii="Tahoma" w:eastAsia="Calibri" w:hAnsi="Tahoma" w:cs="Tahoma"/>
                                <w:sz w:val="16"/>
                                <w:szCs w:val="16"/>
                                <w:lang w:eastAsia="en-US"/>
                              </w:rPr>
                            </w:pPr>
                            <w:r w:rsidRPr="00787C3E">
                              <w:rPr>
                                <w:rFonts w:ascii="Tahoma" w:eastAsia="Calibri" w:hAnsi="Tahoma" w:cs="Tahoma"/>
                                <w:sz w:val="16"/>
                                <w:szCs w:val="16"/>
                                <w:lang w:eastAsia="en-US"/>
                              </w:rPr>
                              <w:t xml:space="preserve">A equalização é </w:t>
                            </w:r>
                            <w:r>
                              <w:rPr>
                                <w:rFonts w:ascii="Tahoma" w:eastAsia="Calibri" w:hAnsi="Tahoma" w:cs="Tahoma"/>
                                <w:sz w:val="16"/>
                                <w:szCs w:val="16"/>
                                <w:lang w:eastAsia="en-US"/>
                              </w:rPr>
                              <w:t>um recurso disponível no orçamento do FNDCT que permite cobrir a</w:t>
                            </w:r>
                            <w:r w:rsidRPr="00787C3E">
                              <w:rPr>
                                <w:rFonts w:ascii="Tahoma" w:eastAsia="Calibri" w:hAnsi="Tahoma" w:cs="Tahoma"/>
                                <w:sz w:val="16"/>
                                <w:szCs w:val="16"/>
                                <w:lang w:eastAsia="en-US"/>
                              </w:rPr>
                              <w:t xml:space="preserve"> diferença entre os custos de captação</w:t>
                            </w:r>
                            <w:r>
                              <w:rPr>
                                <w:rFonts w:ascii="Tahoma" w:eastAsia="Calibri" w:hAnsi="Tahoma" w:cs="Tahoma"/>
                                <w:sz w:val="16"/>
                                <w:szCs w:val="16"/>
                                <w:lang w:eastAsia="en-US"/>
                              </w:rPr>
                              <w:t>,</w:t>
                            </w:r>
                            <w:r w:rsidRPr="00787C3E">
                              <w:rPr>
                                <w:rFonts w:ascii="Tahoma" w:eastAsia="Calibri" w:hAnsi="Tahoma" w:cs="Tahoma"/>
                                <w:sz w:val="16"/>
                                <w:szCs w:val="16"/>
                                <w:lang w:eastAsia="en-US"/>
                              </w:rPr>
                              <w:t xml:space="preserve"> operação e risco de crédito, incorridos pela FINEP, e os </w:t>
                            </w:r>
                            <w:r>
                              <w:rPr>
                                <w:rFonts w:ascii="Tahoma" w:eastAsia="Calibri" w:hAnsi="Tahoma" w:cs="Tahoma"/>
                                <w:sz w:val="16"/>
                                <w:szCs w:val="16"/>
                                <w:lang w:eastAsia="en-US"/>
                              </w:rPr>
                              <w:t xml:space="preserve">juros cobrados às empresas apoiadas. </w:t>
                            </w:r>
                          </w:p>
                          <w:p w14:paraId="59DEA39D" w14:textId="77777777" w:rsidR="00787C3E" w:rsidRDefault="00787C3E" w:rsidP="00787C3E">
                            <w:pPr>
                              <w:jc w:val="right"/>
                              <w:rPr>
                                <w:rFonts w:ascii="Tahoma" w:hAnsi="Tahoma" w:cs="Tahoma"/>
                                <w:sz w:val="16"/>
                                <w:szCs w:val="16"/>
                              </w:rPr>
                            </w:pPr>
                            <w:r>
                              <w:rPr>
                                <w:rFonts w:ascii="Tahoma" w:eastAsia="Calibri" w:hAnsi="Tahoma" w:cs="Tahoma"/>
                                <w:sz w:val="16"/>
                                <w:szCs w:val="16"/>
                                <w:lang w:eastAsia="en-US"/>
                              </w:rPr>
                              <w:t xml:space="preserve">É </w:t>
                            </w:r>
                            <w:r w:rsidRPr="00787C3E">
                              <w:rPr>
                                <w:rFonts w:ascii="Tahoma" w:eastAsia="Calibri" w:hAnsi="Tahoma" w:cs="Tahoma"/>
                                <w:sz w:val="16"/>
                                <w:szCs w:val="16"/>
                                <w:lang w:eastAsia="en-US"/>
                              </w:rPr>
                              <w:t>utilizad</w:t>
                            </w:r>
                            <w:r>
                              <w:rPr>
                                <w:rFonts w:ascii="Tahoma" w:eastAsia="Calibri" w:hAnsi="Tahoma" w:cs="Tahoma"/>
                                <w:sz w:val="16"/>
                                <w:szCs w:val="16"/>
                                <w:lang w:eastAsia="en-US"/>
                              </w:rPr>
                              <w:t>a</w:t>
                            </w:r>
                            <w:r w:rsidRPr="00787C3E">
                              <w:rPr>
                                <w:rFonts w:ascii="Tahoma" w:eastAsia="Calibri" w:hAnsi="Tahoma" w:cs="Tahoma"/>
                                <w:sz w:val="16"/>
                                <w:szCs w:val="16"/>
                                <w:lang w:eastAsia="en-US"/>
                              </w:rPr>
                              <w:t xml:space="preserve"> em benefício das empresas inovadoras, </w:t>
                            </w:r>
                            <w:r>
                              <w:rPr>
                                <w:rFonts w:ascii="Tahoma" w:eastAsia="Calibri" w:hAnsi="Tahoma" w:cs="Tahoma"/>
                                <w:sz w:val="16"/>
                                <w:szCs w:val="16"/>
                                <w:lang w:eastAsia="en-US"/>
                              </w:rPr>
                              <w:t xml:space="preserve">pois </w:t>
                            </w:r>
                            <w:r w:rsidRPr="00787C3E">
                              <w:rPr>
                                <w:rFonts w:ascii="Tahoma" w:eastAsia="Calibri" w:hAnsi="Tahoma" w:cs="Tahoma"/>
                                <w:sz w:val="16"/>
                                <w:szCs w:val="16"/>
                                <w:lang w:eastAsia="en-US"/>
                              </w:rPr>
                              <w:t>permite o acesso a financiamentos com taxas de juros mais baixas, similares às do mercado internacional</w:t>
                            </w:r>
                            <w:r w:rsidRPr="002F7698">
                              <w:rPr>
                                <w:rFonts w:ascii="Tahoma" w:hAnsi="Tahoma" w:cs="Tahoma"/>
                                <w:sz w:val="16"/>
                                <w:szCs w:val="16"/>
                              </w:rPr>
                              <w:t>.</w:t>
                            </w:r>
                          </w:p>
                          <w:p w14:paraId="4D37A044" w14:textId="77777777" w:rsidR="00787C3E" w:rsidRPr="002F7698" w:rsidRDefault="00787C3E" w:rsidP="00787C3E">
                            <w:pPr>
                              <w:jc w:val="right"/>
                              <w:rPr>
                                <w:rFonts w:ascii="Tahoma" w:hAnsi="Tahoma" w:cs="Tahoma"/>
                                <w:sz w:val="16"/>
                                <w:szCs w:val="16"/>
                              </w:rPr>
                            </w:pPr>
                            <w:r>
                              <w:rPr>
                                <w:rFonts w:ascii="Tahoma" w:hAnsi="Tahoma" w:cs="Tahoma"/>
                                <w:sz w:val="16"/>
                                <w:szCs w:val="16"/>
                              </w:rPr>
                              <w:t>A m</w:t>
                            </w:r>
                            <w:r w:rsidRPr="00787C3E">
                              <w:rPr>
                                <w:rFonts w:ascii="Tahoma" w:hAnsi="Tahoma" w:cs="Tahoma"/>
                                <w:sz w:val="16"/>
                                <w:szCs w:val="16"/>
                              </w:rPr>
                              <w:t>udança da taxa referencial de TJLP para TR torn</w:t>
                            </w:r>
                            <w:r>
                              <w:rPr>
                                <w:rFonts w:ascii="Tahoma" w:hAnsi="Tahoma" w:cs="Tahoma"/>
                                <w:sz w:val="16"/>
                                <w:szCs w:val="16"/>
                              </w:rPr>
                              <w:t>ou</w:t>
                            </w:r>
                            <w:r w:rsidRPr="00787C3E">
                              <w:rPr>
                                <w:rFonts w:ascii="Tahoma" w:hAnsi="Tahoma" w:cs="Tahoma"/>
                                <w:sz w:val="16"/>
                                <w:szCs w:val="16"/>
                              </w:rPr>
                              <w:t xml:space="preserve"> os empréstimos da Finep, com recursos do FNDCT, mais atrativos para empresas, sem </w:t>
                            </w:r>
                            <w:r w:rsidR="00173072">
                              <w:rPr>
                                <w:rFonts w:ascii="Tahoma" w:hAnsi="Tahoma" w:cs="Tahoma"/>
                                <w:sz w:val="16"/>
                                <w:szCs w:val="16"/>
                              </w:rPr>
                              <w:t>que fosse necessário o uso</w:t>
                            </w:r>
                            <w:r w:rsidRPr="00787C3E">
                              <w:rPr>
                                <w:rFonts w:ascii="Tahoma" w:hAnsi="Tahoma" w:cs="Tahoma"/>
                                <w:sz w:val="16"/>
                                <w:szCs w:val="16"/>
                              </w:rPr>
                              <w:t xml:space="preserve"> da equalização</w:t>
                            </w:r>
                            <w:r>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2F44F43E" id="_x0000_s1036" type="#_x0000_t202" style="position:absolute;margin-left:30.05pt;margin-top:-.05pt;width:414.5pt;height:73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" fillcolor="#0098ba" stroked="f" strokeweight=".17625mm">
                <v:fill opacity="16448f"/>
                <v:stroke dashstyle="dash"/>
                <v:textbox>
                  <w:txbxContent>
                    <w:p w14:paraId="7B0715DC" w14:textId="77777777" w:rsidR="00787C3E" w:rsidRDefault="00787C3E" w:rsidP="00787C3E">
                      <w:pPr>
                        <w:jc w:val="right"/>
                        <w:rPr>
                          <w:rFonts w:ascii="Tahoma" w:eastAsia="Calibri" w:hAnsi="Tahoma" w:cs="Tahoma"/>
                          <w:sz w:val="16"/>
                          <w:szCs w:val="16"/>
                          <w:lang w:eastAsia="en-US"/>
                        </w:rPr>
                      </w:pPr>
                      <w:r w:rsidRPr="00787C3E">
                        <w:rPr>
                          <w:rFonts w:ascii="Tahoma" w:eastAsia="Calibri" w:hAnsi="Tahoma" w:cs="Tahoma"/>
                          <w:sz w:val="16"/>
                          <w:szCs w:val="16"/>
                          <w:lang w:eastAsia="en-US"/>
                        </w:rPr>
                        <w:t xml:space="preserve">A equalização é </w:t>
                      </w:r>
                      <w:r>
                        <w:rPr>
                          <w:rFonts w:ascii="Tahoma" w:eastAsia="Calibri" w:hAnsi="Tahoma" w:cs="Tahoma"/>
                          <w:sz w:val="16"/>
                          <w:szCs w:val="16"/>
                          <w:lang w:eastAsia="en-US"/>
                        </w:rPr>
                        <w:t>um recurso disponível no orçamento do FNDCT que permite cobrir a</w:t>
                      </w:r>
                      <w:r w:rsidRPr="00787C3E">
                        <w:rPr>
                          <w:rFonts w:ascii="Tahoma" w:eastAsia="Calibri" w:hAnsi="Tahoma" w:cs="Tahoma"/>
                          <w:sz w:val="16"/>
                          <w:szCs w:val="16"/>
                          <w:lang w:eastAsia="en-US"/>
                        </w:rPr>
                        <w:t xml:space="preserve"> diferença entre os custos de captação</w:t>
                      </w:r>
                      <w:r>
                        <w:rPr>
                          <w:rFonts w:ascii="Tahoma" w:eastAsia="Calibri" w:hAnsi="Tahoma" w:cs="Tahoma"/>
                          <w:sz w:val="16"/>
                          <w:szCs w:val="16"/>
                          <w:lang w:eastAsia="en-US"/>
                        </w:rPr>
                        <w:t>,</w:t>
                      </w:r>
                      <w:r w:rsidRPr="00787C3E">
                        <w:rPr>
                          <w:rFonts w:ascii="Tahoma" w:eastAsia="Calibri" w:hAnsi="Tahoma" w:cs="Tahoma"/>
                          <w:sz w:val="16"/>
                          <w:szCs w:val="16"/>
                          <w:lang w:eastAsia="en-US"/>
                        </w:rPr>
                        <w:t xml:space="preserve"> operação e risco de crédito, incorridos pela FINEP, e os </w:t>
                      </w:r>
                      <w:r>
                        <w:rPr>
                          <w:rFonts w:ascii="Tahoma" w:eastAsia="Calibri" w:hAnsi="Tahoma" w:cs="Tahoma"/>
                          <w:sz w:val="16"/>
                          <w:szCs w:val="16"/>
                          <w:lang w:eastAsia="en-US"/>
                        </w:rPr>
                        <w:t xml:space="preserve">juros cobrados às empresas apoiadas. </w:t>
                      </w:r>
                    </w:p>
                    <w:p w14:paraId="59DEA39D" w14:textId="77777777" w:rsidR="00787C3E" w:rsidRDefault="00787C3E" w:rsidP="00787C3E">
                      <w:pPr>
                        <w:jc w:val="right"/>
                        <w:rPr>
                          <w:rFonts w:ascii="Tahoma" w:hAnsi="Tahoma" w:cs="Tahoma"/>
                          <w:sz w:val="16"/>
                          <w:szCs w:val="16"/>
                        </w:rPr>
                      </w:pPr>
                      <w:r>
                        <w:rPr>
                          <w:rFonts w:ascii="Tahoma" w:eastAsia="Calibri" w:hAnsi="Tahoma" w:cs="Tahoma"/>
                          <w:sz w:val="16"/>
                          <w:szCs w:val="16"/>
                          <w:lang w:eastAsia="en-US"/>
                        </w:rPr>
                        <w:t xml:space="preserve">É </w:t>
                      </w:r>
                      <w:r w:rsidRPr="00787C3E">
                        <w:rPr>
                          <w:rFonts w:ascii="Tahoma" w:eastAsia="Calibri" w:hAnsi="Tahoma" w:cs="Tahoma"/>
                          <w:sz w:val="16"/>
                          <w:szCs w:val="16"/>
                          <w:lang w:eastAsia="en-US"/>
                        </w:rPr>
                        <w:t>utilizad</w:t>
                      </w:r>
                      <w:r>
                        <w:rPr>
                          <w:rFonts w:ascii="Tahoma" w:eastAsia="Calibri" w:hAnsi="Tahoma" w:cs="Tahoma"/>
                          <w:sz w:val="16"/>
                          <w:szCs w:val="16"/>
                          <w:lang w:eastAsia="en-US"/>
                        </w:rPr>
                        <w:t>a</w:t>
                      </w:r>
                      <w:r w:rsidRPr="00787C3E">
                        <w:rPr>
                          <w:rFonts w:ascii="Tahoma" w:eastAsia="Calibri" w:hAnsi="Tahoma" w:cs="Tahoma"/>
                          <w:sz w:val="16"/>
                          <w:szCs w:val="16"/>
                          <w:lang w:eastAsia="en-US"/>
                        </w:rPr>
                        <w:t xml:space="preserve"> em benefício das empresas inovadoras, </w:t>
                      </w:r>
                      <w:r>
                        <w:rPr>
                          <w:rFonts w:ascii="Tahoma" w:eastAsia="Calibri" w:hAnsi="Tahoma" w:cs="Tahoma"/>
                          <w:sz w:val="16"/>
                          <w:szCs w:val="16"/>
                          <w:lang w:eastAsia="en-US"/>
                        </w:rPr>
                        <w:t xml:space="preserve">pois </w:t>
                      </w:r>
                      <w:r w:rsidRPr="00787C3E">
                        <w:rPr>
                          <w:rFonts w:ascii="Tahoma" w:eastAsia="Calibri" w:hAnsi="Tahoma" w:cs="Tahoma"/>
                          <w:sz w:val="16"/>
                          <w:szCs w:val="16"/>
                          <w:lang w:eastAsia="en-US"/>
                        </w:rPr>
                        <w:t>permite o acesso a financiamentos com taxas de juros mais baixas, similares às do mercado internacional</w:t>
                      </w:r>
                      <w:r w:rsidRPr="002F7698">
                        <w:rPr>
                          <w:rFonts w:ascii="Tahoma" w:hAnsi="Tahoma" w:cs="Tahoma"/>
                          <w:sz w:val="16"/>
                          <w:szCs w:val="16"/>
                        </w:rPr>
                        <w:t>.</w:t>
                      </w:r>
                    </w:p>
                    <w:p w14:paraId="4D37A044" w14:textId="77777777" w:rsidR="00787C3E" w:rsidRPr="002F7698" w:rsidRDefault="00787C3E" w:rsidP="00787C3E">
                      <w:pPr>
                        <w:jc w:val="right"/>
                        <w:rPr>
                          <w:rFonts w:ascii="Tahoma" w:hAnsi="Tahoma" w:cs="Tahoma"/>
                          <w:sz w:val="16"/>
                          <w:szCs w:val="16"/>
                        </w:rPr>
                      </w:pPr>
                      <w:r>
                        <w:rPr>
                          <w:rFonts w:ascii="Tahoma" w:hAnsi="Tahoma" w:cs="Tahoma"/>
                          <w:sz w:val="16"/>
                          <w:szCs w:val="16"/>
                        </w:rPr>
                        <w:t>A m</w:t>
                      </w:r>
                      <w:r w:rsidRPr="00787C3E">
                        <w:rPr>
                          <w:rFonts w:ascii="Tahoma" w:hAnsi="Tahoma" w:cs="Tahoma"/>
                          <w:sz w:val="16"/>
                          <w:szCs w:val="16"/>
                        </w:rPr>
                        <w:t>udança da taxa referencial de TJLP para TR torn</w:t>
                      </w:r>
                      <w:r>
                        <w:rPr>
                          <w:rFonts w:ascii="Tahoma" w:hAnsi="Tahoma" w:cs="Tahoma"/>
                          <w:sz w:val="16"/>
                          <w:szCs w:val="16"/>
                        </w:rPr>
                        <w:t>ou</w:t>
                      </w:r>
                      <w:r w:rsidRPr="00787C3E">
                        <w:rPr>
                          <w:rFonts w:ascii="Tahoma" w:hAnsi="Tahoma" w:cs="Tahoma"/>
                          <w:sz w:val="16"/>
                          <w:szCs w:val="16"/>
                        </w:rPr>
                        <w:t xml:space="preserve"> os empréstimos da Finep, com recursos do FNDCT, mais atrativos para empresas, sem </w:t>
                      </w:r>
                      <w:r w:rsidR="00173072">
                        <w:rPr>
                          <w:rFonts w:ascii="Tahoma" w:hAnsi="Tahoma" w:cs="Tahoma"/>
                          <w:sz w:val="16"/>
                          <w:szCs w:val="16"/>
                        </w:rPr>
                        <w:t>que fosse necessário o uso</w:t>
                      </w:r>
                      <w:r w:rsidRPr="00787C3E">
                        <w:rPr>
                          <w:rFonts w:ascii="Tahoma" w:hAnsi="Tahoma" w:cs="Tahoma"/>
                          <w:sz w:val="16"/>
                          <w:szCs w:val="16"/>
                        </w:rPr>
                        <w:t xml:space="preserve"> da equalização</w:t>
                      </w:r>
                      <w:r>
                        <w:rPr>
                          <w:rFonts w:ascii="Tahoma" w:hAnsi="Tahoma" w:cs="Tahoma"/>
                          <w:sz w:val="16"/>
                          <w:szCs w:val="16"/>
                        </w:rPr>
                        <w:t>.</w:t>
                      </w:r>
                    </w:p>
                  </w:txbxContent>
                </v:textbox>
                <w10:wrap type="tight" anchorx="margin"/>
              </v:shape>
            </w:pict>
          </mc:Fallback>
        </mc:AlternateContent>
      </w:r>
    </w:p>
    <w:p w14:paraId="5C44034B" w14:textId="2ACA5FA8" w:rsidR="00787C3E" w:rsidRDefault="00787C3E" w:rsidP="003C5945">
      <w:pPr>
        <w:spacing w:before="120" w:after="120" w:line="360" w:lineRule="auto"/>
        <w:rPr>
          <w:rFonts w:ascii="Tahoma" w:eastAsia="Calibri" w:hAnsi="Tahoma" w:cs="Tahoma"/>
          <w:sz w:val="19"/>
          <w:szCs w:val="19"/>
          <w:lang w:eastAsia="en-US"/>
        </w:rPr>
      </w:pPr>
    </w:p>
    <w:p w14:paraId="2142221A" w14:textId="28C5B2B4" w:rsidR="00787C3E" w:rsidRDefault="00787C3E">
      <w:pPr>
        <w:spacing w:before="120" w:after="120" w:line="360" w:lineRule="auto"/>
        <w:rPr>
          <w:rFonts w:ascii="Tahoma" w:eastAsia="Calibri" w:hAnsi="Tahoma" w:cs="Tahoma"/>
          <w:sz w:val="19"/>
          <w:szCs w:val="19"/>
          <w:lang w:eastAsia="en-US"/>
        </w:rPr>
      </w:pPr>
    </w:p>
    <w:p w14:paraId="078C8140" w14:textId="77777777" w:rsidR="0036596D" w:rsidRDefault="0036596D" w:rsidP="00254F4A">
      <w:pPr>
        <w:spacing w:before="120" w:after="120" w:line="360" w:lineRule="auto"/>
        <w:jc w:val="both"/>
        <w:rPr>
          <w:rFonts w:ascii="Tahoma" w:eastAsia="Calibri" w:hAnsi="Tahoma" w:cs="Tahoma"/>
          <w:sz w:val="19"/>
          <w:szCs w:val="19"/>
          <w:lang w:eastAsia="en-US"/>
        </w:rPr>
      </w:pPr>
    </w:p>
    <w:p w14:paraId="2FFA9E11" w14:textId="239B932B" w:rsidR="00D82635" w:rsidRDefault="0005058B" w:rsidP="00254F4A">
      <w:pPr>
        <w:spacing w:before="120" w:after="120" w:line="360" w:lineRule="auto"/>
        <w:rPr>
          <w:rFonts w:ascii="Tahoma" w:eastAsia="Calibri" w:hAnsi="Tahoma" w:cs="Tahoma"/>
          <w:sz w:val="19"/>
          <w:szCs w:val="19"/>
          <w:lang w:eastAsia="en-US"/>
        </w:rPr>
      </w:pPr>
      <w:r>
        <w:rPr>
          <w:rFonts w:ascii="Tahoma" w:eastAsia="Calibri" w:hAnsi="Tahoma" w:cs="Tahoma"/>
          <w:sz w:val="19"/>
          <w:szCs w:val="19"/>
          <w:lang w:eastAsia="en-US"/>
        </w:rPr>
        <w:t xml:space="preserve">Para gerir e operar da melhor forma possível esses recursos crescentes, </w:t>
      </w:r>
      <w:r w:rsidR="008D5171">
        <w:rPr>
          <w:rFonts w:ascii="Tahoma" w:eastAsia="Calibri" w:hAnsi="Tahoma" w:cs="Tahoma"/>
          <w:sz w:val="19"/>
          <w:szCs w:val="19"/>
          <w:lang w:eastAsia="en-US"/>
        </w:rPr>
        <w:t xml:space="preserve">contamos com a capacidade e experiência de nossos empregados e colaboradores e </w:t>
      </w:r>
      <w:r>
        <w:rPr>
          <w:rFonts w:ascii="Tahoma" w:eastAsia="Calibri" w:hAnsi="Tahoma" w:cs="Tahoma"/>
          <w:sz w:val="19"/>
          <w:szCs w:val="19"/>
          <w:lang w:eastAsia="en-US"/>
        </w:rPr>
        <w:t>nos preparamos revendo processos e sistemas</w:t>
      </w:r>
      <w:r w:rsidR="008D5171">
        <w:rPr>
          <w:rFonts w:ascii="Tahoma" w:eastAsia="Calibri" w:hAnsi="Tahoma" w:cs="Tahoma"/>
          <w:sz w:val="19"/>
          <w:szCs w:val="19"/>
          <w:lang w:eastAsia="en-US"/>
        </w:rPr>
        <w:t xml:space="preserve">. Os resultados desse esforço operacional poderão ser visualizados nas seções </w:t>
      </w:r>
      <w:r w:rsidR="007D51BB">
        <w:rPr>
          <w:rFonts w:ascii="Tahoma" w:eastAsia="Calibri" w:hAnsi="Tahoma" w:cs="Tahoma"/>
          <w:sz w:val="19"/>
          <w:szCs w:val="19"/>
          <w:lang w:eastAsia="en-US"/>
        </w:rPr>
        <w:t xml:space="preserve">desse relatório </w:t>
      </w:r>
      <w:r w:rsidR="008D5171">
        <w:rPr>
          <w:rFonts w:ascii="Tahoma" w:eastAsia="Calibri" w:hAnsi="Tahoma" w:cs="Tahoma"/>
          <w:sz w:val="19"/>
          <w:szCs w:val="19"/>
          <w:lang w:eastAsia="en-US"/>
        </w:rPr>
        <w:t>que apresentam o</w:t>
      </w:r>
      <w:r w:rsidR="00173072">
        <w:rPr>
          <w:rFonts w:ascii="Tahoma" w:eastAsia="Calibri" w:hAnsi="Tahoma" w:cs="Tahoma"/>
          <w:sz w:val="19"/>
          <w:szCs w:val="19"/>
          <w:lang w:eastAsia="en-US"/>
        </w:rPr>
        <w:t xml:space="preserve"> acompanhamento </w:t>
      </w:r>
      <w:r w:rsidR="008D5171">
        <w:rPr>
          <w:rFonts w:ascii="Tahoma" w:eastAsia="Calibri" w:hAnsi="Tahoma" w:cs="Tahoma"/>
          <w:sz w:val="19"/>
          <w:szCs w:val="19"/>
          <w:lang w:eastAsia="en-US"/>
        </w:rPr>
        <w:t>dos</w:t>
      </w:r>
      <w:r w:rsidR="00173072">
        <w:rPr>
          <w:rFonts w:ascii="Tahoma" w:eastAsia="Calibri" w:hAnsi="Tahoma" w:cs="Tahoma"/>
          <w:sz w:val="19"/>
          <w:szCs w:val="19"/>
          <w:lang w:eastAsia="en-US"/>
        </w:rPr>
        <w:t xml:space="preserve"> nossos</w:t>
      </w:r>
      <w:r w:rsidR="008D5171">
        <w:rPr>
          <w:rFonts w:ascii="Tahoma" w:eastAsia="Calibri" w:hAnsi="Tahoma" w:cs="Tahoma"/>
          <w:sz w:val="19"/>
          <w:szCs w:val="19"/>
          <w:lang w:eastAsia="en-US"/>
        </w:rPr>
        <w:t xml:space="preserve"> indicadores estratégicos</w:t>
      </w:r>
      <w:r w:rsidR="007D51BB">
        <w:rPr>
          <w:rFonts w:ascii="Tahoma" w:eastAsia="Calibri" w:hAnsi="Tahoma" w:cs="Tahoma"/>
          <w:sz w:val="19"/>
          <w:szCs w:val="19"/>
          <w:lang w:eastAsia="en-US"/>
        </w:rPr>
        <w:t>,</w:t>
      </w:r>
      <w:r w:rsidR="008D5171">
        <w:rPr>
          <w:rFonts w:ascii="Tahoma" w:eastAsia="Calibri" w:hAnsi="Tahoma" w:cs="Tahoma"/>
          <w:sz w:val="19"/>
          <w:szCs w:val="19"/>
          <w:lang w:eastAsia="en-US"/>
        </w:rPr>
        <w:t xml:space="preserve"> o desempenho operacional nos três eixos de atuação de nosso modelo de negócios</w:t>
      </w:r>
      <w:r w:rsidR="007D51BB">
        <w:rPr>
          <w:rFonts w:ascii="Tahoma" w:eastAsia="Calibri" w:hAnsi="Tahoma" w:cs="Tahoma"/>
          <w:sz w:val="19"/>
          <w:szCs w:val="19"/>
          <w:lang w:eastAsia="en-US"/>
        </w:rPr>
        <w:t xml:space="preserve"> e as iniciativas de gestão</w:t>
      </w:r>
      <w:r w:rsidR="008D5171">
        <w:rPr>
          <w:rFonts w:ascii="Tahoma" w:eastAsia="Calibri" w:hAnsi="Tahoma" w:cs="Tahoma"/>
          <w:sz w:val="19"/>
          <w:szCs w:val="19"/>
          <w:lang w:eastAsia="en-US"/>
        </w:rPr>
        <w:t>.</w:t>
      </w:r>
    </w:p>
    <w:p w14:paraId="357EC83E" w14:textId="77777777" w:rsidR="00D44613" w:rsidRPr="00D44613" w:rsidRDefault="00D44613">
      <w:pPr>
        <w:spacing w:before="120" w:after="120" w:line="360" w:lineRule="auto"/>
        <w:rPr>
          <w:rFonts w:ascii="Tahoma" w:eastAsiaTheme="minorHAnsi" w:hAnsi="Tahoma" w:cs="Tahoma"/>
          <w:sz w:val="19"/>
          <w:szCs w:val="19"/>
          <w:lang w:eastAsia="en-US"/>
        </w:rPr>
      </w:pPr>
    </w:p>
    <w:p w14:paraId="225DBE08" w14:textId="72DA2307" w:rsidR="009A23F8" w:rsidRPr="00130C5C" w:rsidRDefault="009A23F8">
      <w:pPr>
        <w:spacing w:before="120" w:after="120" w:line="360" w:lineRule="auto"/>
        <w:rPr>
          <w:rFonts w:ascii="Tahoma" w:eastAsiaTheme="minorHAnsi" w:hAnsi="Tahoma" w:cs="Tahoma"/>
          <w:color w:val="0098BA"/>
          <w:sz w:val="19"/>
          <w:szCs w:val="19"/>
          <w:lang w:eastAsia="en-US"/>
        </w:rPr>
      </w:pPr>
      <w:r w:rsidRPr="00130C5C">
        <w:rPr>
          <w:rFonts w:ascii="Tahoma" w:eastAsiaTheme="minorHAnsi" w:hAnsi="Tahoma" w:cs="Tahoma"/>
          <w:color w:val="0098BA"/>
          <w:sz w:val="19"/>
          <w:szCs w:val="19"/>
          <w:lang w:eastAsia="en-US"/>
        </w:rPr>
        <w:t>Desenvolvimento sustentável e Agenda 2030</w:t>
      </w:r>
    </w:p>
    <w:p w14:paraId="4299A5D3" w14:textId="77A0B7FC" w:rsidR="00A321BA" w:rsidRPr="00130C5C" w:rsidRDefault="00584DA9" w:rsidP="00254F4A">
      <w:pPr>
        <w:spacing w:before="120" w:after="120" w:line="360" w:lineRule="auto"/>
        <w:rPr>
          <w:rFonts w:ascii="Tahoma" w:hAnsi="Tahoma" w:cs="Tahoma"/>
          <w:sz w:val="19"/>
          <w:szCs w:val="19"/>
        </w:rPr>
      </w:pPr>
      <w:r w:rsidRPr="00130C5C">
        <w:rPr>
          <w:rFonts w:ascii="Tahoma" w:eastAsiaTheme="minorHAnsi" w:hAnsi="Tahoma" w:cs="Tahoma"/>
          <w:sz w:val="19"/>
          <w:szCs w:val="19"/>
          <w:lang w:eastAsia="en-US"/>
        </w:rPr>
        <w:t>De</w:t>
      </w:r>
      <w:r w:rsidR="00A321BA" w:rsidRPr="00130C5C">
        <w:rPr>
          <w:rFonts w:ascii="Tahoma" w:eastAsiaTheme="minorHAnsi" w:hAnsi="Tahoma" w:cs="Tahoma"/>
          <w:sz w:val="19"/>
          <w:szCs w:val="19"/>
          <w:lang w:eastAsia="en-US"/>
        </w:rPr>
        <w:t xml:space="preserve"> forma estratégica e articulada com o MCTI e </w:t>
      </w:r>
      <w:r w:rsidR="00243F20" w:rsidRPr="00130C5C">
        <w:rPr>
          <w:rFonts w:ascii="Tahoma" w:eastAsiaTheme="minorHAnsi" w:hAnsi="Tahoma" w:cs="Tahoma"/>
          <w:sz w:val="19"/>
          <w:szCs w:val="19"/>
          <w:lang w:eastAsia="en-US"/>
        </w:rPr>
        <w:t>outras instituições públicas</w:t>
      </w:r>
      <w:r w:rsidR="00A321BA" w:rsidRPr="00130C5C">
        <w:rPr>
          <w:rFonts w:ascii="Tahoma" w:eastAsiaTheme="minorHAnsi" w:hAnsi="Tahoma" w:cs="Tahoma"/>
          <w:sz w:val="19"/>
          <w:szCs w:val="19"/>
          <w:lang w:eastAsia="en-US"/>
        </w:rPr>
        <w:t xml:space="preserve"> de fomento, </w:t>
      </w:r>
      <w:r w:rsidR="00902156" w:rsidRPr="00130C5C">
        <w:rPr>
          <w:rFonts w:ascii="Tahoma" w:eastAsiaTheme="minorHAnsi" w:hAnsi="Tahoma" w:cs="Tahoma"/>
          <w:sz w:val="19"/>
          <w:szCs w:val="19"/>
          <w:lang w:eastAsia="en-US"/>
        </w:rPr>
        <w:t xml:space="preserve">também </w:t>
      </w:r>
      <w:r w:rsidR="00A321BA" w:rsidRPr="00130C5C">
        <w:rPr>
          <w:rFonts w:ascii="Tahoma" w:eastAsiaTheme="minorHAnsi" w:hAnsi="Tahoma" w:cs="Tahoma"/>
          <w:sz w:val="19"/>
          <w:szCs w:val="19"/>
          <w:lang w:eastAsia="en-US"/>
        </w:rPr>
        <w:t>integra</w:t>
      </w:r>
      <w:r w:rsidR="00243F20" w:rsidRPr="00130C5C">
        <w:rPr>
          <w:rFonts w:ascii="Tahoma" w:eastAsiaTheme="minorHAnsi" w:hAnsi="Tahoma" w:cs="Tahoma"/>
          <w:sz w:val="19"/>
          <w:szCs w:val="19"/>
          <w:lang w:eastAsia="en-US"/>
        </w:rPr>
        <w:t>mos</w:t>
      </w:r>
      <w:r w:rsidR="00A321BA" w:rsidRPr="00130C5C">
        <w:rPr>
          <w:rFonts w:ascii="Tahoma" w:eastAsiaTheme="minorHAnsi" w:hAnsi="Tahoma" w:cs="Tahoma"/>
          <w:sz w:val="19"/>
          <w:szCs w:val="19"/>
          <w:lang w:eastAsia="en-US"/>
        </w:rPr>
        <w:t xml:space="preserve"> o </w:t>
      </w:r>
      <w:hyperlink r:id="rId90" w:history="1">
        <w:r w:rsidR="00A321BA" w:rsidRPr="00130C5C">
          <w:rPr>
            <w:rStyle w:val="Hyperlink"/>
            <w:rFonts w:ascii="Tahoma" w:eastAsiaTheme="minorHAnsi" w:hAnsi="Tahoma" w:cs="Tahoma"/>
            <w:sz w:val="19"/>
            <w:szCs w:val="19"/>
            <w:lang w:eastAsia="en-US"/>
          </w:rPr>
          <w:t>Sistema Nacional de Fomento</w:t>
        </w:r>
      </w:hyperlink>
      <w:r w:rsidR="00A321BA" w:rsidRPr="00130C5C">
        <w:rPr>
          <w:rFonts w:ascii="Tahoma" w:eastAsiaTheme="minorHAnsi" w:hAnsi="Tahoma" w:cs="Tahoma"/>
          <w:sz w:val="19"/>
          <w:szCs w:val="19"/>
          <w:lang w:eastAsia="en-US"/>
        </w:rPr>
        <w:t xml:space="preserve"> (SNF), </w:t>
      </w:r>
      <w:r w:rsidR="00573A30" w:rsidRPr="00130C5C">
        <w:rPr>
          <w:rFonts w:ascii="Tahoma" w:eastAsiaTheme="minorHAnsi" w:hAnsi="Tahoma" w:cs="Tahoma"/>
          <w:sz w:val="19"/>
          <w:szCs w:val="19"/>
          <w:lang w:eastAsia="en-US"/>
        </w:rPr>
        <w:t xml:space="preserve">composto por </w:t>
      </w:r>
      <w:r w:rsidR="00573A30" w:rsidRPr="00130C5C">
        <w:rPr>
          <w:rFonts w:ascii="Tahoma" w:hAnsi="Tahoma" w:cs="Tahoma"/>
          <w:sz w:val="19"/>
          <w:szCs w:val="19"/>
        </w:rPr>
        <w:t>instituições financeiras</w:t>
      </w:r>
      <w:r w:rsidR="00243F20" w:rsidRPr="00130C5C">
        <w:rPr>
          <w:rFonts w:ascii="Tahoma" w:hAnsi="Tahoma" w:cs="Tahoma"/>
          <w:sz w:val="19"/>
          <w:szCs w:val="19"/>
        </w:rPr>
        <w:t xml:space="preserve"> </w:t>
      </w:r>
      <w:r w:rsidR="004D0A07" w:rsidRPr="00130C5C">
        <w:rPr>
          <w:rFonts w:ascii="Tahoma" w:hAnsi="Tahoma" w:cs="Tahoma"/>
          <w:sz w:val="19"/>
          <w:szCs w:val="19"/>
        </w:rPr>
        <w:t>que fazem parte</w:t>
      </w:r>
      <w:r w:rsidR="00243F20" w:rsidRPr="00130C5C">
        <w:rPr>
          <w:rFonts w:ascii="Tahoma" w:hAnsi="Tahoma" w:cs="Tahoma"/>
          <w:sz w:val="19"/>
          <w:szCs w:val="19"/>
        </w:rPr>
        <w:t xml:space="preserve"> da Associação Brasileira de </w:t>
      </w:r>
      <w:r w:rsidR="00C94B1A" w:rsidRPr="00130C5C">
        <w:rPr>
          <w:rFonts w:ascii="Tahoma" w:hAnsi="Tahoma" w:cs="Tahoma"/>
          <w:sz w:val="19"/>
          <w:szCs w:val="19"/>
        </w:rPr>
        <w:t xml:space="preserve">Desenvolvimento (ABDE) </w:t>
      </w:r>
      <w:r w:rsidR="00243F20" w:rsidRPr="00130C5C">
        <w:rPr>
          <w:rFonts w:ascii="Tahoma" w:hAnsi="Tahoma" w:cs="Tahoma"/>
          <w:sz w:val="19"/>
          <w:szCs w:val="19"/>
        </w:rPr>
        <w:t>e</w:t>
      </w:r>
      <w:r w:rsidR="00902156" w:rsidRPr="00130C5C">
        <w:rPr>
          <w:rFonts w:ascii="Tahoma" w:hAnsi="Tahoma" w:cs="Tahoma"/>
          <w:sz w:val="19"/>
          <w:szCs w:val="19"/>
        </w:rPr>
        <w:t>, co</w:t>
      </w:r>
      <w:r w:rsidR="00286AD1" w:rsidRPr="00130C5C">
        <w:rPr>
          <w:rFonts w:ascii="Tahoma" w:hAnsi="Tahoma" w:cs="Tahoma"/>
          <w:sz w:val="19"/>
          <w:szCs w:val="19"/>
        </w:rPr>
        <w:t>m</w:t>
      </w:r>
      <w:r w:rsidR="00902156" w:rsidRPr="00130C5C">
        <w:rPr>
          <w:rFonts w:ascii="Tahoma" w:hAnsi="Tahoma" w:cs="Tahoma"/>
          <w:sz w:val="19"/>
          <w:szCs w:val="19"/>
        </w:rPr>
        <w:t xml:space="preserve">o nós, </w:t>
      </w:r>
      <w:r w:rsidR="00243F20" w:rsidRPr="00130C5C">
        <w:rPr>
          <w:rFonts w:ascii="Tahoma" w:hAnsi="Tahoma" w:cs="Tahoma"/>
          <w:sz w:val="19"/>
          <w:szCs w:val="19"/>
        </w:rPr>
        <w:t xml:space="preserve">apoiam setores estratégicos </w:t>
      </w:r>
      <w:r w:rsidR="00286AD1" w:rsidRPr="00130C5C">
        <w:rPr>
          <w:rFonts w:ascii="Tahoma" w:hAnsi="Tahoma" w:cs="Tahoma"/>
          <w:sz w:val="19"/>
          <w:szCs w:val="19"/>
        </w:rPr>
        <w:t xml:space="preserve">para a economia nacional </w:t>
      </w:r>
      <w:r w:rsidR="00243F20" w:rsidRPr="00130C5C">
        <w:rPr>
          <w:rFonts w:ascii="Tahoma" w:hAnsi="Tahoma" w:cs="Tahoma"/>
          <w:sz w:val="19"/>
          <w:szCs w:val="19"/>
        </w:rPr>
        <w:t>com o objetivo de promover o</w:t>
      </w:r>
      <w:r w:rsidR="00573A30" w:rsidRPr="00130C5C">
        <w:rPr>
          <w:rFonts w:ascii="Tahoma" w:hAnsi="Tahoma" w:cs="Tahoma"/>
          <w:sz w:val="19"/>
          <w:szCs w:val="19"/>
        </w:rPr>
        <w:t xml:space="preserve"> desenvolvimento</w:t>
      </w:r>
      <w:r w:rsidR="00243F20" w:rsidRPr="00130C5C">
        <w:rPr>
          <w:rFonts w:ascii="Tahoma" w:hAnsi="Tahoma" w:cs="Tahoma"/>
          <w:sz w:val="19"/>
          <w:szCs w:val="19"/>
        </w:rPr>
        <w:t xml:space="preserve"> econômico e social sustentável do Brasil.</w:t>
      </w:r>
    </w:p>
    <w:p w14:paraId="6091362D" w14:textId="5F1EC9F6" w:rsidR="00B720AE" w:rsidRPr="00130C5C" w:rsidRDefault="00D20F11" w:rsidP="00254F4A">
      <w:pPr>
        <w:spacing w:before="120" w:after="120" w:line="360" w:lineRule="auto"/>
        <w:rPr>
          <w:rFonts w:ascii="Tahoma" w:hAnsi="Tahoma" w:cs="Tahoma"/>
          <w:sz w:val="19"/>
          <w:szCs w:val="19"/>
        </w:rPr>
      </w:pPr>
      <w:r w:rsidRPr="00130C5C">
        <w:rPr>
          <w:rFonts w:ascii="Tahoma" w:hAnsi="Tahoma" w:cs="Tahoma"/>
          <w:sz w:val="19"/>
          <w:szCs w:val="19"/>
        </w:rPr>
        <w:t>Nesse espaço de atuação, é importante ressaltar que a</w:t>
      </w:r>
      <w:r w:rsidR="00C94B1A" w:rsidRPr="00130C5C">
        <w:rPr>
          <w:rFonts w:ascii="Tahoma" w:hAnsi="Tahoma" w:cs="Tahoma"/>
          <w:sz w:val="19"/>
          <w:szCs w:val="19"/>
        </w:rPr>
        <w:t xml:space="preserve"> partir de junho de 2023, o presidente da Finep assumiu um mandato de dois anos como presidente da ABDE</w:t>
      </w:r>
      <w:r w:rsidRPr="00130C5C">
        <w:rPr>
          <w:rFonts w:ascii="Tahoma" w:hAnsi="Tahoma" w:cs="Tahoma"/>
          <w:sz w:val="19"/>
          <w:szCs w:val="19"/>
        </w:rPr>
        <w:t xml:space="preserve">. E </w:t>
      </w:r>
      <w:r w:rsidR="00902156" w:rsidRPr="00130C5C">
        <w:rPr>
          <w:rFonts w:ascii="Tahoma" w:hAnsi="Tahoma" w:cs="Tahoma"/>
          <w:sz w:val="19"/>
          <w:szCs w:val="19"/>
        </w:rPr>
        <w:t>que</w:t>
      </w:r>
      <w:r w:rsidR="00B720AE" w:rsidRPr="00130C5C">
        <w:rPr>
          <w:rFonts w:ascii="Tahoma" w:hAnsi="Tahoma" w:cs="Tahoma"/>
          <w:sz w:val="19"/>
          <w:szCs w:val="19"/>
        </w:rPr>
        <w:t xml:space="preserve"> </w:t>
      </w:r>
      <w:r w:rsidR="004D0A07" w:rsidRPr="00130C5C">
        <w:rPr>
          <w:rFonts w:ascii="Tahoma" w:hAnsi="Tahoma" w:cs="Tahoma"/>
          <w:sz w:val="19"/>
          <w:szCs w:val="19"/>
        </w:rPr>
        <w:t>iniciamos nossa</w:t>
      </w:r>
      <w:r w:rsidR="00C94B1A" w:rsidRPr="00130C5C">
        <w:rPr>
          <w:rFonts w:ascii="Tahoma" w:hAnsi="Tahoma" w:cs="Tahoma"/>
          <w:sz w:val="19"/>
          <w:szCs w:val="19"/>
        </w:rPr>
        <w:t xml:space="preserve"> participa</w:t>
      </w:r>
      <w:r w:rsidR="004D0A07" w:rsidRPr="00130C5C">
        <w:rPr>
          <w:rFonts w:ascii="Tahoma" w:hAnsi="Tahoma" w:cs="Tahoma"/>
          <w:sz w:val="19"/>
          <w:szCs w:val="19"/>
        </w:rPr>
        <w:t>ção n</w:t>
      </w:r>
      <w:r w:rsidR="007232F9">
        <w:rPr>
          <w:rFonts w:ascii="Tahoma" w:hAnsi="Tahoma" w:cs="Tahoma"/>
          <w:sz w:val="19"/>
          <w:szCs w:val="19"/>
        </w:rPr>
        <w:t>ão apenas na</w:t>
      </w:r>
      <w:r w:rsidR="00C706CB">
        <w:rPr>
          <w:rFonts w:ascii="Tahoma" w:hAnsi="Tahoma" w:cs="Tahoma"/>
          <w:sz w:val="19"/>
          <w:szCs w:val="19"/>
        </w:rPr>
        <w:t xml:space="preserve"> condução do</w:t>
      </w:r>
      <w:r w:rsidR="00C94B1A" w:rsidRPr="00130C5C">
        <w:rPr>
          <w:rFonts w:ascii="Tahoma" w:hAnsi="Tahoma" w:cs="Tahoma"/>
          <w:sz w:val="19"/>
          <w:szCs w:val="19"/>
        </w:rPr>
        <w:t xml:space="preserve"> projeto ‘Integrando os Objetivos do Desenvolvimento Sustentável (ODS)</w:t>
      </w:r>
      <w:r w:rsidR="007232F9">
        <w:rPr>
          <w:rFonts w:ascii="Tahoma" w:hAnsi="Tahoma" w:cs="Tahoma"/>
          <w:sz w:val="19"/>
          <w:szCs w:val="19"/>
        </w:rPr>
        <w:t>,</w:t>
      </w:r>
      <w:r w:rsidR="00C94B1A" w:rsidRPr="00130C5C">
        <w:rPr>
          <w:rFonts w:ascii="Tahoma" w:hAnsi="Tahoma" w:cs="Tahoma"/>
          <w:sz w:val="19"/>
          <w:szCs w:val="19"/>
        </w:rPr>
        <w:t xml:space="preserve"> </w:t>
      </w:r>
      <w:r w:rsidR="002D49BC">
        <w:rPr>
          <w:rFonts w:ascii="Tahoma" w:hAnsi="Tahoma" w:cs="Tahoma"/>
          <w:sz w:val="19"/>
          <w:szCs w:val="19"/>
        </w:rPr>
        <w:t>através da aplicação de</w:t>
      </w:r>
      <w:r w:rsidR="00C94B1A" w:rsidRPr="00130C5C">
        <w:rPr>
          <w:rFonts w:ascii="Tahoma" w:hAnsi="Tahoma" w:cs="Tahoma"/>
          <w:sz w:val="19"/>
          <w:szCs w:val="19"/>
        </w:rPr>
        <w:t xml:space="preserve"> metodologia para mensurar a efetividade das </w:t>
      </w:r>
      <w:r w:rsidR="007F31DA" w:rsidRPr="00130C5C">
        <w:rPr>
          <w:rFonts w:ascii="Tahoma" w:hAnsi="Tahoma" w:cs="Tahoma"/>
          <w:sz w:val="19"/>
          <w:szCs w:val="19"/>
        </w:rPr>
        <w:t>Instituições Financeiras de Desenvolvimento (</w:t>
      </w:r>
      <w:r w:rsidR="00C94B1A" w:rsidRPr="00130C5C">
        <w:rPr>
          <w:rFonts w:ascii="Tahoma" w:hAnsi="Tahoma" w:cs="Tahoma"/>
          <w:sz w:val="19"/>
          <w:szCs w:val="19"/>
        </w:rPr>
        <w:t>IFDs</w:t>
      </w:r>
      <w:r w:rsidR="007F31DA" w:rsidRPr="00130C5C">
        <w:rPr>
          <w:rFonts w:ascii="Tahoma" w:hAnsi="Tahoma" w:cs="Tahoma"/>
          <w:sz w:val="19"/>
          <w:szCs w:val="19"/>
        </w:rPr>
        <w:t>)</w:t>
      </w:r>
      <w:r w:rsidR="00C94B1A" w:rsidRPr="00130C5C">
        <w:rPr>
          <w:rFonts w:ascii="Tahoma" w:hAnsi="Tahoma" w:cs="Tahoma"/>
          <w:sz w:val="19"/>
          <w:szCs w:val="19"/>
        </w:rPr>
        <w:t xml:space="preserve"> brasileiras</w:t>
      </w:r>
      <w:r w:rsidR="007F31DA" w:rsidRPr="00130C5C">
        <w:rPr>
          <w:rFonts w:ascii="Tahoma" w:hAnsi="Tahoma" w:cs="Tahoma"/>
          <w:sz w:val="19"/>
          <w:szCs w:val="19"/>
        </w:rPr>
        <w:t>’</w:t>
      </w:r>
      <w:r w:rsidR="007232F9">
        <w:rPr>
          <w:rFonts w:ascii="Tahoma" w:hAnsi="Tahoma" w:cs="Tahoma"/>
          <w:sz w:val="19"/>
          <w:szCs w:val="19"/>
        </w:rPr>
        <w:t>,</w:t>
      </w:r>
      <w:r w:rsidR="003D5781">
        <w:rPr>
          <w:rFonts w:ascii="Tahoma" w:hAnsi="Tahoma" w:cs="Tahoma"/>
          <w:sz w:val="19"/>
          <w:szCs w:val="19"/>
        </w:rPr>
        <w:t xml:space="preserve"> </w:t>
      </w:r>
      <w:r w:rsidR="008426A3">
        <w:rPr>
          <w:rFonts w:ascii="Tahoma" w:hAnsi="Tahoma" w:cs="Tahoma"/>
          <w:sz w:val="19"/>
          <w:szCs w:val="19"/>
        </w:rPr>
        <w:t xml:space="preserve">fruto </w:t>
      </w:r>
      <w:r w:rsidR="00A703E1">
        <w:rPr>
          <w:rFonts w:ascii="Tahoma" w:hAnsi="Tahoma" w:cs="Tahoma"/>
          <w:sz w:val="19"/>
          <w:szCs w:val="19"/>
        </w:rPr>
        <w:t xml:space="preserve">da cooperação com o Programa das Nações Unidas para o Desenvolvimento – PNUD, </w:t>
      </w:r>
      <w:r w:rsidR="003D5781">
        <w:rPr>
          <w:rFonts w:ascii="Tahoma" w:hAnsi="Tahoma" w:cs="Tahoma"/>
          <w:sz w:val="19"/>
          <w:szCs w:val="19"/>
        </w:rPr>
        <w:t xml:space="preserve">fortalecendo sua </w:t>
      </w:r>
      <w:r w:rsidR="00717670">
        <w:rPr>
          <w:rFonts w:ascii="Tahoma" w:hAnsi="Tahoma" w:cs="Tahoma"/>
          <w:sz w:val="19"/>
          <w:szCs w:val="19"/>
        </w:rPr>
        <w:t>contribuição no financiamento de longo prazo</w:t>
      </w:r>
      <w:r w:rsidR="006A4961">
        <w:rPr>
          <w:rFonts w:ascii="Tahoma" w:hAnsi="Tahoma" w:cs="Tahoma"/>
          <w:sz w:val="19"/>
          <w:szCs w:val="19"/>
        </w:rPr>
        <w:t xml:space="preserve">, </w:t>
      </w:r>
      <w:r w:rsidR="007232F9">
        <w:rPr>
          <w:rFonts w:ascii="Tahoma" w:hAnsi="Tahoma" w:cs="Tahoma"/>
          <w:sz w:val="19"/>
          <w:szCs w:val="19"/>
        </w:rPr>
        <w:t>mas também tornando-se parte integrante dele</w:t>
      </w:r>
      <w:r w:rsidR="00BF706B">
        <w:rPr>
          <w:rFonts w:ascii="Tahoma" w:hAnsi="Tahoma" w:cs="Tahoma"/>
          <w:sz w:val="19"/>
          <w:szCs w:val="19"/>
        </w:rPr>
        <w:t xml:space="preserve">, na medida que </w:t>
      </w:r>
      <w:r w:rsidR="006A4961">
        <w:rPr>
          <w:rFonts w:ascii="Tahoma" w:hAnsi="Tahoma" w:cs="Tahoma"/>
          <w:sz w:val="19"/>
          <w:szCs w:val="19"/>
        </w:rPr>
        <w:t>c</w:t>
      </w:r>
      <w:r w:rsidR="00442FFE" w:rsidRPr="00130C5C">
        <w:rPr>
          <w:rFonts w:ascii="Tahoma" w:hAnsi="Tahoma" w:cs="Tahoma"/>
          <w:sz w:val="19"/>
          <w:szCs w:val="19"/>
        </w:rPr>
        <w:t>omo parte deste processo foi realizado um estudo dos produtos da Finep que possuem relação direta com Objetivos do Desenvolvimento Sustentável. Com base nesse estudo os ODS de maior relevância</w:t>
      </w:r>
      <w:r w:rsidR="003423BE" w:rsidRPr="00130C5C">
        <w:rPr>
          <w:rFonts w:ascii="Tahoma" w:hAnsi="Tahoma" w:cs="Tahoma"/>
          <w:sz w:val="19"/>
          <w:szCs w:val="19"/>
        </w:rPr>
        <w:t xml:space="preserve"> na carteira da Finep</w:t>
      </w:r>
      <w:r w:rsidR="00565E9B" w:rsidRPr="00130C5C">
        <w:rPr>
          <w:rFonts w:ascii="Tahoma" w:hAnsi="Tahoma" w:cs="Tahoma"/>
          <w:sz w:val="19"/>
          <w:szCs w:val="19"/>
        </w:rPr>
        <w:t xml:space="preserve">, entre </w:t>
      </w:r>
      <w:r w:rsidR="003423BE" w:rsidRPr="00130C5C">
        <w:rPr>
          <w:rFonts w:ascii="Tahoma" w:hAnsi="Tahoma" w:cs="Tahoma"/>
          <w:sz w:val="19"/>
          <w:szCs w:val="19"/>
        </w:rPr>
        <w:t>2018</w:t>
      </w:r>
      <w:r w:rsidR="00565E9B" w:rsidRPr="00130C5C">
        <w:rPr>
          <w:rFonts w:ascii="Tahoma" w:hAnsi="Tahoma" w:cs="Tahoma"/>
          <w:sz w:val="19"/>
          <w:szCs w:val="19"/>
        </w:rPr>
        <w:t xml:space="preserve"> e 2</w:t>
      </w:r>
      <w:r w:rsidR="003423BE" w:rsidRPr="00130C5C">
        <w:rPr>
          <w:rFonts w:ascii="Tahoma" w:hAnsi="Tahoma" w:cs="Tahoma"/>
          <w:sz w:val="19"/>
          <w:szCs w:val="19"/>
        </w:rPr>
        <w:t>022</w:t>
      </w:r>
      <w:r w:rsidR="00173072">
        <w:rPr>
          <w:rFonts w:ascii="Tahoma" w:hAnsi="Tahoma" w:cs="Tahoma"/>
          <w:sz w:val="19"/>
          <w:szCs w:val="19"/>
        </w:rPr>
        <w:t>,</w:t>
      </w:r>
      <w:r w:rsidR="00565E9B" w:rsidRPr="00130C5C">
        <w:rPr>
          <w:rFonts w:ascii="Tahoma" w:hAnsi="Tahoma" w:cs="Tahoma"/>
          <w:sz w:val="19"/>
          <w:szCs w:val="19"/>
        </w:rPr>
        <w:t xml:space="preserve"> foram</w:t>
      </w:r>
      <w:r w:rsidR="00442FFE" w:rsidRPr="00130C5C">
        <w:rPr>
          <w:rFonts w:ascii="Tahoma" w:hAnsi="Tahoma" w:cs="Tahoma"/>
          <w:sz w:val="19"/>
          <w:szCs w:val="19"/>
        </w:rPr>
        <w:t xml:space="preserve"> o</w:t>
      </w:r>
      <w:r w:rsidR="00565E9B" w:rsidRPr="00130C5C">
        <w:rPr>
          <w:rFonts w:ascii="Tahoma" w:hAnsi="Tahoma" w:cs="Tahoma"/>
          <w:sz w:val="19"/>
          <w:szCs w:val="19"/>
        </w:rPr>
        <w:t>s</w:t>
      </w:r>
      <w:r w:rsidR="00442FFE" w:rsidRPr="00130C5C">
        <w:rPr>
          <w:rFonts w:ascii="Tahoma" w:hAnsi="Tahoma" w:cs="Tahoma"/>
          <w:sz w:val="19"/>
          <w:szCs w:val="19"/>
        </w:rPr>
        <w:t xml:space="preserve"> ODS 9 (indústria, inovação e infra</w:t>
      </w:r>
      <w:r w:rsidR="00EC2240" w:rsidRPr="00130C5C">
        <w:rPr>
          <w:rFonts w:ascii="Tahoma" w:hAnsi="Tahoma" w:cs="Tahoma"/>
          <w:sz w:val="19"/>
          <w:szCs w:val="19"/>
        </w:rPr>
        <w:t>e</w:t>
      </w:r>
      <w:r w:rsidR="00442FFE" w:rsidRPr="00130C5C">
        <w:rPr>
          <w:rFonts w:ascii="Tahoma" w:hAnsi="Tahoma" w:cs="Tahoma"/>
          <w:sz w:val="19"/>
          <w:szCs w:val="19"/>
        </w:rPr>
        <w:t xml:space="preserve">strutura), 11 (cidades e comunidades sustentáveis) e 3 (saúde e </w:t>
      </w:r>
      <w:r w:rsidR="00281E55" w:rsidRPr="00130C5C">
        <w:rPr>
          <w:rFonts w:ascii="Tahoma" w:hAnsi="Tahoma" w:cs="Tahoma"/>
          <w:sz w:val="19"/>
          <w:szCs w:val="19"/>
        </w:rPr>
        <w:t>bem-estar</w:t>
      </w:r>
      <w:r w:rsidR="00442FFE" w:rsidRPr="00130C5C">
        <w:rPr>
          <w:rFonts w:ascii="Tahoma" w:hAnsi="Tahoma" w:cs="Tahoma"/>
          <w:sz w:val="19"/>
          <w:szCs w:val="19"/>
        </w:rPr>
        <w:t>).</w:t>
      </w:r>
      <w:r w:rsidR="00D21A9B" w:rsidRPr="00130C5C">
        <w:rPr>
          <w:rFonts w:ascii="Tahoma" w:hAnsi="Tahoma" w:cs="Tahoma"/>
          <w:sz w:val="19"/>
          <w:szCs w:val="19"/>
        </w:rPr>
        <w:t xml:space="preserve"> O relatório </w:t>
      </w:r>
      <w:r w:rsidR="00B720AE" w:rsidRPr="00130C5C">
        <w:rPr>
          <w:rFonts w:ascii="Tahoma" w:hAnsi="Tahoma" w:cs="Tahoma"/>
          <w:sz w:val="19"/>
          <w:szCs w:val="19"/>
        </w:rPr>
        <w:t xml:space="preserve">desta etapa </w:t>
      </w:r>
      <w:r w:rsidR="00130C5C">
        <w:rPr>
          <w:rFonts w:ascii="Tahoma" w:hAnsi="Tahoma" w:cs="Tahoma"/>
          <w:sz w:val="19"/>
          <w:szCs w:val="19"/>
        </w:rPr>
        <w:t xml:space="preserve">inicial </w:t>
      </w:r>
      <w:r w:rsidR="00B720AE" w:rsidRPr="00130C5C">
        <w:rPr>
          <w:rFonts w:ascii="Tahoma" w:hAnsi="Tahoma" w:cs="Tahoma"/>
          <w:sz w:val="19"/>
          <w:szCs w:val="19"/>
        </w:rPr>
        <w:t xml:space="preserve">de levantamento de dados das IFDs e de desenvolvimento da metodologia pode ser encontrado em </w:t>
      </w:r>
      <w:hyperlink r:id="rId91" w:history="1">
        <w:r w:rsidR="00B720AE" w:rsidRPr="00130C5C">
          <w:rPr>
            <w:rStyle w:val="Hyperlink"/>
            <w:rFonts w:ascii="Tahoma" w:hAnsi="Tahoma" w:cs="Tahoma"/>
            <w:sz w:val="19"/>
            <w:szCs w:val="19"/>
          </w:rPr>
          <w:t>https://abde.org.br/wp-content/uploads/2023/09/Metodologia_ABDE_PNUD_de_Alinhamento_do_Sistema-Nacional.pdf</w:t>
        </w:r>
      </w:hyperlink>
      <w:r w:rsidR="00B720AE" w:rsidRPr="00130C5C">
        <w:rPr>
          <w:rFonts w:ascii="Tahoma" w:hAnsi="Tahoma" w:cs="Tahoma"/>
          <w:sz w:val="19"/>
          <w:szCs w:val="19"/>
        </w:rPr>
        <w:t>.</w:t>
      </w:r>
    </w:p>
    <w:p w14:paraId="7515C6CC" w14:textId="4BB1DFD7" w:rsidR="003423BE" w:rsidRPr="00130C5C" w:rsidRDefault="003423BE" w:rsidP="00254F4A">
      <w:pPr>
        <w:spacing w:before="120" w:after="120" w:line="360" w:lineRule="auto"/>
        <w:rPr>
          <w:rFonts w:ascii="Tahoma" w:hAnsi="Tahoma" w:cs="Tahoma"/>
          <w:sz w:val="19"/>
          <w:szCs w:val="19"/>
        </w:rPr>
      </w:pPr>
      <w:r w:rsidRPr="00130C5C">
        <w:rPr>
          <w:rFonts w:ascii="Tahoma" w:hAnsi="Tahoma" w:cs="Tahoma"/>
          <w:sz w:val="19"/>
          <w:szCs w:val="19"/>
        </w:rPr>
        <w:t>Com relação aos projetos que desenvolvemos no âmbito da Cooperação Técnica com o BID, destaca</w:t>
      </w:r>
      <w:r w:rsidR="00EC2240" w:rsidRPr="00130C5C">
        <w:rPr>
          <w:rFonts w:ascii="Tahoma" w:hAnsi="Tahoma" w:cs="Tahoma"/>
          <w:sz w:val="19"/>
          <w:szCs w:val="19"/>
        </w:rPr>
        <w:t>mos</w:t>
      </w:r>
      <w:r w:rsidRPr="00130C5C">
        <w:rPr>
          <w:rFonts w:ascii="Tahoma" w:hAnsi="Tahoma" w:cs="Tahoma"/>
          <w:sz w:val="19"/>
          <w:szCs w:val="19"/>
        </w:rPr>
        <w:t xml:space="preserve"> o projeto de MRV (mensuração, relato e verificação</w:t>
      </w:r>
      <w:r w:rsidR="00EC2240" w:rsidRPr="00130C5C">
        <w:rPr>
          <w:rFonts w:ascii="Tahoma" w:hAnsi="Tahoma" w:cs="Tahoma"/>
          <w:sz w:val="19"/>
          <w:szCs w:val="19"/>
        </w:rPr>
        <w:t>)</w:t>
      </w:r>
      <w:r w:rsidRPr="00130C5C">
        <w:rPr>
          <w:rFonts w:ascii="Tahoma" w:hAnsi="Tahoma" w:cs="Tahoma"/>
          <w:sz w:val="19"/>
          <w:szCs w:val="19"/>
        </w:rPr>
        <w:t xml:space="preserve"> de gases de efeito estufa. Por meio de metodologia e ferramenta elaborada pela consultoria WayCarbon, </w:t>
      </w:r>
      <w:r w:rsidR="000E6ECF">
        <w:rPr>
          <w:rFonts w:ascii="Tahoma" w:hAnsi="Tahoma" w:cs="Tahoma"/>
          <w:sz w:val="19"/>
          <w:szCs w:val="19"/>
        </w:rPr>
        <w:t xml:space="preserve">em agosto de 2023 </w:t>
      </w:r>
      <w:r w:rsidRPr="00130C5C">
        <w:rPr>
          <w:rFonts w:ascii="Tahoma" w:hAnsi="Tahoma" w:cs="Tahoma"/>
          <w:sz w:val="19"/>
          <w:szCs w:val="19"/>
        </w:rPr>
        <w:t>estim</w:t>
      </w:r>
      <w:r w:rsidR="00EC2240" w:rsidRPr="00130C5C">
        <w:rPr>
          <w:rFonts w:ascii="Tahoma" w:hAnsi="Tahoma" w:cs="Tahoma"/>
          <w:sz w:val="19"/>
          <w:szCs w:val="19"/>
        </w:rPr>
        <w:t>amos</w:t>
      </w:r>
      <w:r w:rsidRPr="00130C5C">
        <w:rPr>
          <w:rFonts w:ascii="Tahoma" w:hAnsi="Tahoma" w:cs="Tahoma"/>
          <w:sz w:val="19"/>
          <w:szCs w:val="19"/>
        </w:rPr>
        <w:t xml:space="preserve"> o potencial de redução de emissões de gases de efeito estufa em </w:t>
      </w:r>
      <w:r w:rsidR="00EC2240" w:rsidRPr="00130C5C">
        <w:rPr>
          <w:rFonts w:ascii="Tahoma" w:hAnsi="Tahoma" w:cs="Tahoma"/>
          <w:sz w:val="19"/>
          <w:szCs w:val="19"/>
        </w:rPr>
        <w:t xml:space="preserve">projetos no setor de biogás, que contaram com o apoio de recursos </w:t>
      </w:r>
      <w:r w:rsidRPr="00130C5C">
        <w:rPr>
          <w:rFonts w:ascii="Tahoma" w:hAnsi="Tahoma" w:cs="Tahoma"/>
          <w:sz w:val="19"/>
          <w:szCs w:val="19"/>
        </w:rPr>
        <w:t>de subvenção econômica. O potencial estimado de redução de emissões dos projetos avaliados foi de mais de 2 mil toneladas de CO</w:t>
      </w:r>
      <w:r w:rsidRPr="00130C5C">
        <w:rPr>
          <w:rFonts w:ascii="Tahoma" w:hAnsi="Tahoma" w:cs="Tahoma"/>
          <w:sz w:val="19"/>
          <w:szCs w:val="19"/>
          <w:vertAlign w:val="superscript"/>
        </w:rPr>
        <w:t>2</w:t>
      </w:r>
      <w:r w:rsidRPr="00130C5C">
        <w:rPr>
          <w:rFonts w:ascii="Tahoma" w:hAnsi="Tahoma" w:cs="Tahoma"/>
          <w:sz w:val="19"/>
          <w:szCs w:val="19"/>
        </w:rPr>
        <w:t>e</w:t>
      </w:r>
      <w:r w:rsidR="00EC2240" w:rsidRPr="00130C5C">
        <w:rPr>
          <w:rFonts w:ascii="Tahoma" w:hAnsi="Tahoma" w:cs="Tahoma"/>
          <w:sz w:val="19"/>
          <w:szCs w:val="19"/>
        </w:rPr>
        <w:t>quivalente</w:t>
      </w:r>
      <w:r w:rsidRPr="00130C5C">
        <w:rPr>
          <w:rFonts w:ascii="Tahoma" w:hAnsi="Tahoma" w:cs="Tahoma"/>
          <w:sz w:val="19"/>
          <w:szCs w:val="19"/>
        </w:rPr>
        <w:t xml:space="preserve">/ano. Embora tenha sido aplicada de forma piloto, a metodologia/ferramenta de MRV tem potencial </w:t>
      </w:r>
      <w:r w:rsidR="00130C5C">
        <w:rPr>
          <w:rFonts w:ascii="Tahoma" w:hAnsi="Tahoma" w:cs="Tahoma"/>
          <w:sz w:val="19"/>
          <w:szCs w:val="19"/>
        </w:rPr>
        <w:t>para</w:t>
      </w:r>
      <w:r w:rsidRPr="00130C5C">
        <w:rPr>
          <w:rFonts w:ascii="Tahoma" w:hAnsi="Tahoma" w:cs="Tahoma"/>
          <w:sz w:val="19"/>
          <w:szCs w:val="19"/>
        </w:rPr>
        <w:t xml:space="preserve"> ser </w:t>
      </w:r>
      <w:r w:rsidR="00130C5C">
        <w:rPr>
          <w:rFonts w:ascii="Tahoma" w:hAnsi="Tahoma" w:cs="Tahoma"/>
          <w:sz w:val="19"/>
          <w:szCs w:val="19"/>
        </w:rPr>
        <w:t>utilizada</w:t>
      </w:r>
      <w:r w:rsidRPr="00130C5C">
        <w:rPr>
          <w:rFonts w:ascii="Tahoma" w:hAnsi="Tahoma" w:cs="Tahoma"/>
          <w:sz w:val="19"/>
          <w:szCs w:val="19"/>
        </w:rPr>
        <w:t xml:space="preserve"> </w:t>
      </w:r>
      <w:r w:rsidR="00130C5C">
        <w:rPr>
          <w:rFonts w:ascii="Tahoma" w:hAnsi="Tahoma" w:cs="Tahoma"/>
          <w:sz w:val="19"/>
          <w:szCs w:val="19"/>
        </w:rPr>
        <w:t>em</w:t>
      </w:r>
      <w:r w:rsidRPr="00130C5C">
        <w:rPr>
          <w:rFonts w:ascii="Tahoma" w:hAnsi="Tahoma" w:cs="Tahoma"/>
          <w:sz w:val="19"/>
          <w:szCs w:val="19"/>
        </w:rPr>
        <w:t xml:space="preserve"> diversos produtos da Finep e </w:t>
      </w:r>
      <w:r w:rsidR="00130C5C">
        <w:rPr>
          <w:rFonts w:ascii="Tahoma" w:hAnsi="Tahoma" w:cs="Tahoma"/>
          <w:sz w:val="19"/>
          <w:szCs w:val="19"/>
        </w:rPr>
        <w:t>tornar</w:t>
      </w:r>
      <w:r w:rsidRPr="00130C5C">
        <w:rPr>
          <w:rFonts w:ascii="Tahoma" w:hAnsi="Tahoma" w:cs="Tahoma"/>
          <w:sz w:val="19"/>
          <w:szCs w:val="19"/>
        </w:rPr>
        <w:t xml:space="preserve">-se </w:t>
      </w:r>
      <w:r w:rsidRPr="00130C5C">
        <w:rPr>
          <w:rFonts w:ascii="Tahoma" w:hAnsi="Tahoma" w:cs="Tahoma"/>
          <w:sz w:val="19"/>
          <w:szCs w:val="19"/>
        </w:rPr>
        <w:lastRenderedPageBreak/>
        <w:t>um critério relevante de análise, seleção, acompanhamento e avaliação de resultados e impactos d</w:t>
      </w:r>
      <w:r w:rsidR="00173072">
        <w:rPr>
          <w:rFonts w:ascii="Tahoma" w:hAnsi="Tahoma" w:cs="Tahoma"/>
          <w:sz w:val="19"/>
          <w:szCs w:val="19"/>
        </w:rPr>
        <w:t xml:space="preserve">os </w:t>
      </w:r>
      <w:r w:rsidRPr="00130C5C">
        <w:rPr>
          <w:rFonts w:ascii="Tahoma" w:hAnsi="Tahoma" w:cs="Tahoma"/>
          <w:sz w:val="19"/>
          <w:szCs w:val="19"/>
        </w:rPr>
        <w:t xml:space="preserve">projetos </w:t>
      </w:r>
      <w:r w:rsidR="00173072">
        <w:rPr>
          <w:rFonts w:ascii="Tahoma" w:hAnsi="Tahoma" w:cs="Tahoma"/>
          <w:sz w:val="19"/>
          <w:szCs w:val="19"/>
        </w:rPr>
        <w:t>que apoiamos</w:t>
      </w:r>
      <w:r w:rsidRPr="00130C5C">
        <w:rPr>
          <w:rFonts w:ascii="Tahoma" w:hAnsi="Tahoma" w:cs="Tahoma"/>
          <w:sz w:val="19"/>
          <w:szCs w:val="19"/>
        </w:rPr>
        <w:t>.</w:t>
      </w:r>
    </w:p>
    <w:p w14:paraId="6C5F076E" w14:textId="14779B60" w:rsidR="005F5AE2" w:rsidRDefault="007034A9" w:rsidP="00254F4A">
      <w:pPr>
        <w:spacing w:before="120" w:after="120" w:line="360" w:lineRule="auto"/>
        <w:rPr>
          <w:rFonts w:ascii="Tahoma" w:hAnsi="Tahoma" w:cs="Tahoma"/>
          <w:sz w:val="19"/>
          <w:szCs w:val="19"/>
        </w:rPr>
      </w:pPr>
      <w:r w:rsidRPr="00130C5C">
        <w:rPr>
          <w:rFonts w:ascii="Tahoma" w:hAnsi="Tahoma" w:cs="Tahoma"/>
          <w:sz w:val="19"/>
          <w:szCs w:val="19"/>
        </w:rPr>
        <w:t>Além dessas in</w:t>
      </w:r>
      <w:r w:rsidR="00380E4C" w:rsidRPr="00130C5C">
        <w:rPr>
          <w:rFonts w:ascii="Tahoma" w:hAnsi="Tahoma" w:cs="Tahoma"/>
          <w:sz w:val="19"/>
          <w:szCs w:val="19"/>
        </w:rPr>
        <w:t>iciativas</w:t>
      </w:r>
      <w:r w:rsidR="001E26AD" w:rsidRPr="00130C5C">
        <w:rPr>
          <w:rFonts w:ascii="Tahoma" w:hAnsi="Tahoma" w:cs="Tahoma"/>
          <w:sz w:val="19"/>
          <w:szCs w:val="19"/>
        </w:rPr>
        <w:t>,</w:t>
      </w:r>
      <w:r w:rsidR="004E5EFE" w:rsidRPr="00130C5C">
        <w:rPr>
          <w:rFonts w:ascii="Tahoma" w:hAnsi="Tahoma" w:cs="Tahoma"/>
          <w:sz w:val="19"/>
          <w:szCs w:val="19"/>
        </w:rPr>
        <w:t xml:space="preserve"> em 2023</w:t>
      </w:r>
      <w:r w:rsidR="00AA230D" w:rsidRPr="00130C5C">
        <w:rPr>
          <w:rFonts w:ascii="Tahoma" w:hAnsi="Tahoma" w:cs="Tahoma"/>
          <w:sz w:val="19"/>
          <w:szCs w:val="19"/>
        </w:rPr>
        <w:t>,</w:t>
      </w:r>
      <w:r w:rsidR="004E5EFE" w:rsidRPr="00130C5C">
        <w:rPr>
          <w:rFonts w:ascii="Tahoma" w:hAnsi="Tahoma" w:cs="Tahoma"/>
          <w:sz w:val="19"/>
          <w:szCs w:val="19"/>
        </w:rPr>
        <w:t xml:space="preserve"> </w:t>
      </w:r>
      <w:r w:rsidR="00130C5C">
        <w:rPr>
          <w:rFonts w:ascii="Tahoma" w:hAnsi="Tahoma" w:cs="Tahoma"/>
          <w:sz w:val="19"/>
          <w:szCs w:val="19"/>
        </w:rPr>
        <w:t>nos filiamos</w:t>
      </w:r>
      <w:r w:rsidR="004E5EFE" w:rsidRPr="00130C5C">
        <w:rPr>
          <w:rFonts w:ascii="Tahoma" w:hAnsi="Tahoma" w:cs="Tahoma"/>
          <w:sz w:val="19"/>
          <w:szCs w:val="19"/>
        </w:rPr>
        <w:t xml:space="preserve"> ao Pacto Global, </w:t>
      </w:r>
      <w:r w:rsidR="00E20F8A">
        <w:rPr>
          <w:rFonts w:ascii="Tahoma" w:hAnsi="Tahoma" w:cs="Tahoma"/>
          <w:sz w:val="19"/>
          <w:szCs w:val="19"/>
        </w:rPr>
        <w:t>i</w:t>
      </w:r>
      <w:r w:rsidR="00E20F8A" w:rsidRPr="00E20F8A">
        <w:rPr>
          <w:rFonts w:ascii="Tahoma" w:hAnsi="Tahoma" w:cs="Tahoma"/>
          <w:sz w:val="19"/>
          <w:szCs w:val="19"/>
        </w:rPr>
        <w:t>niciativa da ONU de engajamento de empresas para atingir as metas dos Objetivos de</w:t>
      </w:r>
      <w:r w:rsidR="00E20F8A">
        <w:rPr>
          <w:rFonts w:ascii="Tahoma" w:hAnsi="Tahoma" w:cs="Tahoma"/>
          <w:sz w:val="19"/>
          <w:szCs w:val="19"/>
        </w:rPr>
        <w:t xml:space="preserve"> </w:t>
      </w:r>
      <w:r w:rsidR="00E20F8A" w:rsidRPr="00E20F8A">
        <w:rPr>
          <w:rFonts w:ascii="Tahoma" w:hAnsi="Tahoma" w:cs="Tahoma"/>
          <w:sz w:val="19"/>
          <w:szCs w:val="19"/>
        </w:rPr>
        <w:t>Desenvolvimento Sustentável – ODS</w:t>
      </w:r>
      <w:r w:rsidR="00E20F8A">
        <w:rPr>
          <w:rFonts w:ascii="Tahoma" w:hAnsi="Tahoma" w:cs="Tahoma"/>
          <w:sz w:val="19"/>
          <w:szCs w:val="19"/>
        </w:rPr>
        <w:t xml:space="preserve">, </w:t>
      </w:r>
      <w:r w:rsidR="004E5EFE" w:rsidRPr="00130C5C">
        <w:rPr>
          <w:rFonts w:ascii="Tahoma" w:hAnsi="Tahoma" w:cs="Tahoma"/>
          <w:sz w:val="19"/>
          <w:szCs w:val="19"/>
        </w:rPr>
        <w:t>com adesão às plataformas</w:t>
      </w:r>
      <w:r w:rsidR="001E26AD" w:rsidRPr="00130C5C">
        <w:rPr>
          <w:rFonts w:ascii="Tahoma" w:hAnsi="Tahoma" w:cs="Tahoma"/>
          <w:sz w:val="19"/>
          <w:szCs w:val="19"/>
        </w:rPr>
        <w:t>:</w:t>
      </w:r>
      <w:r w:rsidR="004E5EFE" w:rsidRPr="00130C5C">
        <w:rPr>
          <w:rFonts w:ascii="Tahoma" w:hAnsi="Tahoma" w:cs="Tahoma"/>
          <w:sz w:val="19"/>
          <w:szCs w:val="19"/>
        </w:rPr>
        <w:t xml:space="preserve"> Direitos Humanos; Clima; Agro sustentável</w:t>
      </w:r>
      <w:r w:rsidR="001E26AD" w:rsidRPr="00130C5C">
        <w:rPr>
          <w:rFonts w:ascii="Tahoma" w:hAnsi="Tahoma" w:cs="Tahoma"/>
          <w:sz w:val="19"/>
          <w:szCs w:val="19"/>
        </w:rPr>
        <w:t>; e Comunicar e engajar</w:t>
      </w:r>
      <w:r w:rsidR="003423BE" w:rsidRPr="00130C5C">
        <w:rPr>
          <w:rFonts w:ascii="Tahoma" w:hAnsi="Tahoma" w:cs="Tahoma"/>
          <w:sz w:val="19"/>
          <w:szCs w:val="19"/>
        </w:rPr>
        <w:t xml:space="preserve">. </w:t>
      </w:r>
      <w:r w:rsidR="005F5AE2">
        <w:rPr>
          <w:rFonts w:ascii="Tahoma" w:hAnsi="Tahoma" w:cs="Tahoma"/>
          <w:sz w:val="19"/>
          <w:szCs w:val="19"/>
        </w:rPr>
        <w:t>Essa filiação teve como motivação a necessidade de e</w:t>
      </w:r>
      <w:r w:rsidR="005F5AE2" w:rsidRPr="005F5AE2">
        <w:rPr>
          <w:rFonts w:ascii="Tahoma" w:hAnsi="Tahoma" w:cs="Tahoma"/>
          <w:sz w:val="19"/>
          <w:szCs w:val="19"/>
        </w:rPr>
        <w:t>levar o compromisso da Finep com os ODSs e a Agenda 2030, que está intimamente relacionada à missão institucional de promover o</w:t>
      </w:r>
      <w:r w:rsidR="005F5AE2">
        <w:rPr>
          <w:rFonts w:ascii="Tahoma" w:hAnsi="Tahoma" w:cs="Tahoma"/>
          <w:sz w:val="19"/>
          <w:szCs w:val="19"/>
        </w:rPr>
        <w:t xml:space="preserve"> </w:t>
      </w:r>
      <w:r w:rsidR="005F5AE2" w:rsidRPr="005F5AE2">
        <w:rPr>
          <w:rFonts w:ascii="Tahoma" w:hAnsi="Tahoma" w:cs="Tahoma"/>
          <w:sz w:val="19"/>
          <w:szCs w:val="19"/>
        </w:rPr>
        <w:t>desenvolvimento econômico e social do Brasil por meio do fomento público à Ciência, Tecnologia e Inovação em empresas, universidades, institutos</w:t>
      </w:r>
      <w:r w:rsidR="005F5AE2">
        <w:rPr>
          <w:rFonts w:ascii="Tahoma" w:hAnsi="Tahoma" w:cs="Tahoma"/>
          <w:sz w:val="19"/>
          <w:szCs w:val="19"/>
        </w:rPr>
        <w:t xml:space="preserve"> </w:t>
      </w:r>
      <w:r w:rsidR="005F5AE2" w:rsidRPr="005F5AE2">
        <w:rPr>
          <w:rFonts w:ascii="Tahoma" w:hAnsi="Tahoma" w:cs="Tahoma"/>
          <w:sz w:val="19"/>
          <w:szCs w:val="19"/>
        </w:rPr>
        <w:t>tecnológicos e outras instituições públicas ou privadas.</w:t>
      </w:r>
    </w:p>
    <w:p w14:paraId="0BE4F227" w14:textId="77777777" w:rsidR="00D44613" w:rsidRPr="00D44613" w:rsidRDefault="00D44613" w:rsidP="009A23F8">
      <w:pPr>
        <w:spacing w:before="120" w:after="120" w:line="360" w:lineRule="auto"/>
        <w:rPr>
          <w:rFonts w:ascii="Tahoma" w:eastAsiaTheme="minorHAnsi" w:hAnsi="Tahoma" w:cs="Tahoma"/>
          <w:sz w:val="19"/>
          <w:szCs w:val="19"/>
          <w:lang w:eastAsia="en-US"/>
        </w:rPr>
      </w:pPr>
      <w:bookmarkStart w:id="37" w:name="_Hlk156569604"/>
    </w:p>
    <w:p w14:paraId="029F7918" w14:textId="5BD4C05F" w:rsidR="0057636F" w:rsidRPr="00B31FDD" w:rsidRDefault="007D2EBD" w:rsidP="00254F4A">
      <w:pPr>
        <w:spacing w:before="120" w:after="120" w:line="360" w:lineRule="auto"/>
        <w:rPr>
          <w:rFonts w:ascii="Tahoma" w:eastAsiaTheme="minorHAnsi" w:hAnsi="Tahoma" w:cs="Tahoma"/>
          <w:color w:val="0098BA"/>
          <w:sz w:val="19"/>
          <w:szCs w:val="19"/>
          <w:lang w:eastAsia="en-US"/>
        </w:rPr>
      </w:pPr>
      <w:r w:rsidRPr="00B31FDD">
        <w:rPr>
          <w:rFonts w:ascii="Tahoma" w:eastAsiaTheme="minorHAnsi" w:hAnsi="Tahoma" w:cs="Tahoma"/>
          <w:color w:val="0098BA"/>
          <w:sz w:val="19"/>
          <w:szCs w:val="19"/>
          <w:lang w:eastAsia="en-US"/>
        </w:rPr>
        <w:t>Política industrial</w:t>
      </w:r>
    </w:p>
    <w:p w14:paraId="3AF53F2C" w14:textId="02D63882" w:rsidR="0057636F" w:rsidRDefault="0057636F" w:rsidP="00254F4A">
      <w:pPr>
        <w:pStyle w:val="Corpodetexto0"/>
        <w:tabs>
          <w:tab w:val="left" w:pos="8931"/>
        </w:tabs>
        <w:spacing w:after="160" w:line="360" w:lineRule="auto"/>
        <w:ind w:right="-1"/>
        <w:rPr>
          <w:sz w:val="19"/>
          <w:szCs w:val="19"/>
        </w:rPr>
      </w:pPr>
      <w:r w:rsidRPr="001C77D0">
        <w:rPr>
          <w:rFonts w:eastAsiaTheme="minorHAnsi"/>
          <w:sz w:val="19"/>
          <w:szCs w:val="19"/>
          <w:lang w:eastAsia="en-US"/>
        </w:rPr>
        <w:t xml:space="preserve">Em 2023, </w:t>
      </w:r>
      <w:r w:rsidR="00B567CB" w:rsidRPr="001C77D0">
        <w:rPr>
          <w:rFonts w:eastAsiaTheme="minorHAnsi"/>
          <w:sz w:val="19"/>
          <w:szCs w:val="19"/>
          <w:lang w:eastAsia="en-US"/>
        </w:rPr>
        <w:t xml:space="preserve">com a reativação do Conselho Nacional de Desenvolvimento Industrial (CNDI), </w:t>
      </w:r>
      <w:r w:rsidRPr="001C77D0">
        <w:rPr>
          <w:rFonts w:eastAsiaTheme="minorHAnsi"/>
          <w:sz w:val="19"/>
          <w:szCs w:val="19"/>
          <w:lang w:eastAsia="en-US"/>
        </w:rPr>
        <w:t xml:space="preserve">o </w:t>
      </w:r>
      <w:r w:rsidR="007D2EBD" w:rsidRPr="001C77D0">
        <w:rPr>
          <w:rFonts w:eastAsiaTheme="minorHAnsi"/>
          <w:sz w:val="19"/>
          <w:szCs w:val="19"/>
          <w:lang w:eastAsia="en-US"/>
        </w:rPr>
        <w:t>g</w:t>
      </w:r>
      <w:r w:rsidRPr="001C77D0">
        <w:rPr>
          <w:rFonts w:eastAsiaTheme="minorHAnsi"/>
          <w:sz w:val="19"/>
          <w:szCs w:val="19"/>
          <w:lang w:eastAsia="en-US"/>
        </w:rPr>
        <w:t xml:space="preserve">overno </w:t>
      </w:r>
      <w:r w:rsidR="007D2EBD" w:rsidRPr="001C77D0">
        <w:rPr>
          <w:rFonts w:eastAsiaTheme="minorHAnsi"/>
          <w:sz w:val="19"/>
          <w:szCs w:val="19"/>
          <w:lang w:eastAsia="en-US"/>
        </w:rPr>
        <w:t>f</w:t>
      </w:r>
      <w:r w:rsidRPr="001C77D0">
        <w:rPr>
          <w:rFonts w:eastAsiaTheme="minorHAnsi"/>
          <w:sz w:val="19"/>
          <w:szCs w:val="19"/>
          <w:lang w:eastAsia="en-US"/>
        </w:rPr>
        <w:t xml:space="preserve">ederal </w:t>
      </w:r>
      <w:r w:rsidR="007D2EBD" w:rsidRPr="001C77D0">
        <w:rPr>
          <w:rFonts w:eastAsiaTheme="minorHAnsi"/>
          <w:sz w:val="19"/>
          <w:szCs w:val="19"/>
          <w:lang w:eastAsia="en-US"/>
        </w:rPr>
        <w:t>propôs</w:t>
      </w:r>
      <w:r w:rsidRPr="001C77D0">
        <w:rPr>
          <w:rFonts w:eastAsiaTheme="minorHAnsi"/>
          <w:sz w:val="19"/>
          <w:szCs w:val="19"/>
          <w:lang w:eastAsia="en-US"/>
        </w:rPr>
        <w:t xml:space="preserve"> </w:t>
      </w:r>
      <w:r w:rsidR="00401125" w:rsidRPr="001C77D0">
        <w:rPr>
          <w:rFonts w:eastAsiaTheme="minorHAnsi"/>
          <w:sz w:val="19"/>
          <w:szCs w:val="19"/>
          <w:lang w:eastAsia="en-US"/>
        </w:rPr>
        <w:t>uma nova política industrial, que conta</w:t>
      </w:r>
      <w:r w:rsidR="00415973">
        <w:rPr>
          <w:rFonts w:eastAsiaTheme="minorHAnsi"/>
          <w:sz w:val="19"/>
          <w:szCs w:val="19"/>
          <w:lang w:eastAsia="en-US"/>
        </w:rPr>
        <w:t>,</w:t>
      </w:r>
      <w:r w:rsidR="00401125" w:rsidRPr="001C77D0">
        <w:rPr>
          <w:rFonts w:eastAsiaTheme="minorHAnsi"/>
          <w:sz w:val="19"/>
          <w:szCs w:val="19"/>
          <w:lang w:eastAsia="en-US"/>
        </w:rPr>
        <w:t xml:space="preserve"> dentre seus princípios</w:t>
      </w:r>
      <w:r w:rsidR="00415973">
        <w:rPr>
          <w:rFonts w:eastAsiaTheme="minorHAnsi"/>
          <w:sz w:val="19"/>
          <w:szCs w:val="19"/>
          <w:lang w:eastAsia="en-US"/>
        </w:rPr>
        <w:t>,</w:t>
      </w:r>
      <w:r w:rsidR="00401125" w:rsidRPr="001C77D0">
        <w:rPr>
          <w:rFonts w:eastAsiaTheme="minorHAnsi"/>
          <w:sz w:val="19"/>
          <w:szCs w:val="19"/>
          <w:lang w:eastAsia="en-US"/>
        </w:rPr>
        <w:t xml:space="preserve"> </w:t>
      </w:r>
      <w:r w:rsidR="005D31A2">
        <w:rPr>
          <w:rFonts w:eastAsiaTheme="minorHAnsi"/>
          <w:sz w:val="19"/>
          <w:szCs w:val="19"/>
          <w:lang w:eastAsia="en-US"/>
        </w:rPr>
        <w:t xml:space="preserve">com </w:t>
      </w:r>
      <w:r w:rsidR="00401125" w:rsidRPr="001C77D0">
        <w:rPr>
          <w:rFonts w:eastAsiaTheme="minorHAnsi"/>
          <w:sz w:val="19"/>
          <w:szCs w:val="19"/>
          <w:lang w:eastAsia="en-US"/>
        </w:rPr>
        <w:t xml:space="preserve">várias questões vinculadas ao desenvolvimento com sustentabilidade. Esta política está organizada por </w:t>
      </w:r>
      <w:r w:rsidRPr="001C77D0">
        <w:rPr>
          <w:rFonts w:eastAsiaTheme="minorHAnsi"/>
          <w:sz w:val="19"/>
          <w:szCs w:val="19"/>
          <w:lang w:eastAsia="en-US"/>
        </w:rPr>
        <w:t>um</w:t>
      </w:r>
      <w:r w:rsidR="007D2EBD" w:rsidRPr="001C77D0">
        <w:rPr>
          <w:rFonts w:eastAsiaTheme="minorHAnsi"/>
          <w:sz w:val="19"/>
          <w:szCs w:val="19"/>
          <w:lang w:eastAsia="en-US"/>
        </w:rPr>
        <w:t xml:space="preserve"> conjunto de </w:t>
      </w:r>
      <w:r w:rsidR="00401125" w:rsidRPr="001C77D0">
        <w:rPr>
          <w:rFonts w:eastAsiaTheme="minorHAnsi"/>
          <w:sz w:val="19"/>
          <w:szCs w:val="19"/>
          <w:lang w:eastAsia="en-US"/>
        </w:rPr>
        <w:t>seis missões, que representam desafios da sociedade</w:t>
      </w:r>
      <w:r w:rsidR="007D2EBD" w:rsidRPr="001C77D0">
        <w:rPr>
          <w:rFonts w:eastAsiaTheme="minorHAnsi"/>
          <w:sz w:val="19"/>
          <w:szCs w:val="19"/>
          <w:lang w:eastAsia="en-US"/>
        </w:rPr>
        <w:t xml:space="preserve"> </w:t>
      </w:r>
      <w:r w:rsidR="00401125" w:rsidRPr="001C77D0">
        <w:rPr>
          <w:rFonts w:eastAsiaTheme="minorHAnsi"/>
          <w:sz w:val="19"/>
          <w:szCs w:val="19"/>
          <w:lang w:eastAsia="en-US"/>
        </w:rPr>
        <w:t>para o</w:t>
      </w:r>
      <w:r w:rsidR="007D2EBD" w:rsidRPr="001C77D0">
        <w:rPr>
          <w:rFonts w:eastAsiaTheme="minorHAnsi"/>
          <w:sz w:val="19"/>
          <w:szCs w:val="19"/>
          <w:lang w:eastAsia="en-US"/>
        </w:rPr>
        <w:t xml:space="preserve"> </w:t>
      </w:r>
      <w:r w:rsidRPr="001C77D0">
        <w:rPr>
          <w:rFonts w:eastAsiaTheme="minorHAnsi"/>
          <w:sz w:val="19"/>
          <w:szCs w:val="19"/>
          <w:lang w:eastAsia="en-US"/>
        </w:rPr>
        <w:t>fortalecimento da indústria brasileira</w:t>
      </w:r>
      <w:r w:rsidR="00401125" w:rsidRPr="001C77D0">
        <w:rPr>
          <w:rFonts w:eastAsiaTheme="minorHAnsi"/>
          <w:sz w:val="19"/>
          <w:szCs w:val="19"/>
          <w:lang w:eastAsia="en-US"/>
        </w:rPr>
        <w:t xml:space="preserve">. </w:t>
      </w:r>
      <w:r w:rsidR="001C77D0" w:rsidRPr="001C77D0">
        <w:rPr>
          <w:rFonts w:eastAsiaTheme="minorHAnsi"/>
          <w:sz w:val="19"/>
          <w:szCs w:val="19"/>
          <w:lang w:eastAsia="en-US"/>
        </w:rPr>
        <w:t xml:space="preserve">O documento </w:t>
      </w:r>
      <w:hyperlink r:id="rId92" w:history="1">
        <w:r w:rsidR="00786560" w:rsidRPr="001C77D0">
          <w:rPr>
            <w:rStyle w:val="Hyperlink"/>
            <w:sz w:val="19"/>
            <w:szCs w:val="19"/>
          </w:rPr>
          <w:t>R</w:t>
        </w:r>
        <w:r w:rsidR="00532351" w:rsidRPr="001C77D0">
          <w:rPr>
            <w:rStyle w:val="Hyperlink"/>
            <w:sz w:val="19"/>
            <w:szCs w:val="19"/>
          </w:rPr>
          <w:t>esolução</w:t>
        </w:r>
        <w:r w:rsidR="00786560" w:rsidRPr="001C77D0">
          <w:rPr>
            <w:rStyle w:val="Hyperlink"/>
            <w:sz w:val="19"/>
            <w:szCs w:val="19"/>
          </w:rPr>
          <w:t xml:space="preserve"> CNDI/MDIC </w:t>
        </w:r>
        <w:r w:rsidR="00532351" w:rsidRPr="001C77D0">
          <w:rPr>
            <w:rStyle w:val="Hyperlink"/>
            <w:sz w:val="19"/>
            <w:szCs w:val="19"/>
          </w:rPr>
          <w:t>n</w:t>
        </w:r>
        <w:r w:rsidR="00786560" w:rsidRPr="001C77D0">
          <w:rPr>
            <w:rStyle w:val="Hyperlink"/>
            <w:sz w:val="19"/>
            <w:szCs w:val="19"/>
          </w:rPr>
          <w:t xml:space="preserve">º 1, </w:t>
        </w:r>
        <w:r w:rsidR="00532351" w:rsidRPr="001C77D0">
          <w:rPr>
            <w:rStyle w:val="Hyperlink"/>
            <w:sz w:val="19"/>
            <w:szCs w:val="19"/>
          </w:rPr>
          <w:t>de 6 de julho de 2023</w:t>
        </w:r>
      </w:hyperlink>
      <w:r w:rsidR="001C77D0">
        <w:rPr>
          <w:sz w:val="19"/>
          <w:szCs w:val="19"/>
        </w:rPr>
        <w:t>, a</w:t>
      </w:r>
      <w:r w:rsidR="001C77D0" w:rsidRPr="001C77D0">
        <w:rPr>
          <w:sz w:val="19"/>
          <w:szCs w:val="19"/>
        </w:rPr>
        <w:t xml:space="preserve">presenta as missões selecionadas e seus objetivos específicos, que </w:t>
      </w:r>
      <w:r w:rsidR="00AD394C">
        <w:rPr>
          <w:sz w:val="19"/>
          <w:szCs w:val="19"/>
        </w:rPr>
        <w:t>foram</w:t>
      </w:r>
      <w:r w:rsidR="001C77D0" w:rsidRPr="001C77D0">
        <w:rPr>
          <w:sz w:val="19"/>
          <w:szCs w:val="19"/>
        </w:rPr>
        <w:t xml:space="preserve"> traduzidas em metas aspiracionais da nova política industrial </w:t>
      </w:r>
      <w:r w:rsidR="00AD394C">
        <w:rPr>
          <w:sz w:val="19"/>
          <w:szCs w:val="19"/>
        </w:rPr>
        <w:t xml:space="preserve">no documento </w:t>
      </w:r>
      <w:hyperlink r:id="rId93" w:history="1">
        <w:r w:rsidR="00EB433A" w:rsidRPr="00EB433A">
          <w:rPr>
            <w:rStyle w:val="Hyperlink"/>
            <w:sz w:val="19"/>
            <w:szCs w:val="19"/>
          </w:rPr>
          <w:t>Plano de Ação para a Neoindustrialização 2024-2026</w:t>
        </w:r>
      </w:hyperlink>
      <w:r w:rsidR="00EB433A">
        <w:rPr>
          <w:sz w:val="19"/>
          <w:szCs w:val="19"/>
        </w:rPr>
        <w:t xml:space="preserve">, aprovado pela </w:t>
      </w:r>
      <w:r w:rsidR="00EB433A" w:rsidRPr="00EB433A">
        <w:rPr>
          <w:sz w:val="19"/>
          <w:szCs w:val="19"/>
        </w:rPr>
        <w:t>R</w:t>
      </w:r>
      <w:r w:rsidR="00EB433A">
        <w:rPr>
          <w:sz w:val="19"/>
          <w:szCs w:val="19"/>
        </w:rPr>
        <w:t>esolução</w:t>
      </w:r>
      <w:r w:rsidR="00EB433A" w:rsidRPr="00EB433A">
        <w:rPr>
          <w:sz w:val="19"/>
          <w:szCs w:val="19"/>
        </w:rPr>
        <w:t xml:space="preserve"> CNDI/MDIC </w:t>
      </w:r>
      <w:r w:rsidR="00EB433A">
        <w:rPr>
          <w:sz w:val="19"/>
          <w:szCs w:val="19"/>
        </w:rPr>
        <w:t>n</w:t>
      </w:r>
      <w:r w:rsidR="00EB433A" w:rsidRPr="00EB433A">
        <w:rPr>
          <w:sz w:val="19"/>
          <w:szCs w:val="19"/>
        </w:rPr>
        <w:t xml:space="preserve">º 4, </w:t>
      </w:r>
      <w:r w:rsidR="00EB433A">
        <w:rPr>
          <w:sz w:val="19"/>
          <w:szCs w:val="19"/>
        </w:rPr>
        <w:t>de</w:t>
      </w:r>
      <w:r w:rsidR="00EB433A" w:rsidRPr="00EB433A">
        <w:rPr>
          <w:sz w:val="19"/>
          <w:szCs w:val="19"/>
        </w:rPr>
        <w:t xml:space="preserve"> 22 </w:t>
      </w:r>
      <w:r w:rsidR="00EB433A">
        <w:rPr>
          <w:sz w:val="19"/>
          <w:szCs w:val="19"/>
        </w:rPr>
        <w:t>de</w:t>
      </w:r>
      <w:r w:rsidR="00EB433A" w:rsidRPr="00EB433A">
        <w:rPr>
          <w:sz w:val="19"/>
          <w:szCs w:val="19"/>
        </w:rPr>
        <w:t xml:space="preserve"> </w:t>
      </w:r>
      <w:r w:rsidR="00EB433A">
        <w:rPr>
          <w:sz w:val="19"/>
          <w:szCs w:val="19"/>
        </w:rPr>
        <w:t>janeiro de</w:t>
      </w:r>
      <w:r w:rsidR="00EB433A" w:rsidRPr="00EB433A">
        <w:rPr>
          <w:sz w:val="19"/>
          <w:szCs w:val="19"/>
        </w:rPr>
        <w:t xml:space="preserve"> 2024</w:t>
      </w:r>
      <w:r w:rsidR="001C77D0" w:rsidRPr="001C77D0">
        <w:rPr>
          <w:sz w:val="19"/>
          <w:szCs w:val="19"/>
        </w:rPr>
        <w:t>.</w:t>
      </w:r>
    </w:p>
    <w:p w14:paraId="5C45F95C" w14:textId="0BCD517C" w:rsidR="003307B5" w:rsidRDefault="001C77D0" w:rsidP="00254F4A">
      <w:pPr>
        <w:pStyle w:val="Corpodetexto0"/>
        <w:tabs>
          <w:tab w:val="left" w:pos="8931"/>
        </w:tabs>
        <w:spacing w:after="160" w:line="360" w:lineRule="auto"/>
        <w:ind w:right="-1"/>
        <w:rPr>
          <w:sz w:val="19"/>
          <w:szCs w:val="19"/>
        </w:rPr>
      </w:pPr>
      <w:r>
        <w:rPr>
          <w:sz w:val="19"/>
          <w:szCs w:val="19"/>
        </w:rPr>
        <w:t xml:space="preserve">Essa política </w:t>
      </w:r>
      <w:r w:rsidR="003307B5">
        <w:rPr>
          <w:sz w:val="19"/>
          <w:szCs w:val="19"/>
        </w:rPr>
        <w:t xml:space="preserve">conectou-se </w:t>
      </w:r>
      <w:r>
        <w:rPr>
          <w:sz w:val="19"/>
          <w:szCs w:val="19"/>
        </w:rPr>
        <w:t xml:space="preserve">ao </w:t>
      </w:r>
      <w:hyperlink r:id="rId94" w:history="1">
        <w:r w:rsidRPr="003307B5">
          <w:rPr>
            <w:rStyle w:val="Hyperlink"/>
            <w:sz w:val="19"/>
            <w:szCs w:val="19"/>
          </w:rPr>
          <w:t xml:space="preserve">Plano Anual de Investimento do </w:t>
        </w:r>
        <w:r w:rsidR="00EB433A">
          <w:rPr>
            <w:rStyle w:val="Hyperlink"/>
            <w:sz w:val="19"/>
            <w:szCs w:val="19"/>
          </w:rPr>
          <w:t>FNDCT</w:t>
        </w:r>
        <w:r w:rsidRPr="003307B5">
          <w:rPr>
            <w:rStyle w:val="Hyperlink"/>
            <w:sz w:val="19"/>
            <w:szCs w:val="19"/>
          </w:rPr>
          <w:t xml:space="preserve"> 2023</w:t>
        </w:r>
      </w:hyperlink>
      <w:r>
        <w:rPr>
          <w:sz w:val="19"/>
          <w:szCs w:val="19"/>
        </w:rPr>
        <w:t xml:space="preserve">, </w:t>
      </w:r>
      <w:r w:rsidR="00173072">
        <w:rPr>
          <w:sz w:val="19"/>
          <w:szCs w:val="19"/>
        </w:rPr>
        <w:t>cuja</w:t>
      </w:r>
      <w:r>
        <w:rPr>
          <w:sz w:val="19"/>
          <w:szCs w:val="19"/>
        </w:rPr>
        <w:t xml:space="preserve"> estratégia </w:t>
      </w:r>
      <w:r w:rsidR="00173072">
        <w:rPr>
          <w:sz w:val="19"/>
          <w:szCs w:val="19"/>
        </w:rPr>
        <w:t xml:space="preserve">já havia sido </w:t>
      </w:r>
      <w:r>
        <w:rPr>
          <w:sz w:val="19"/>
          <w:szCs w:val="19"/>
        </w:rPr>
        <w:t xml:space="preserve">traduzida </w:t>
      </w:r>
      <w:r w:rsidR="005D31A2">
        <w:rPr>
          <w:sz w:val="19"/>
          <w:szCs w:val="19"/>
        </w:rPr>
        <w:t>em</w:t>
      </w:r>
      <w:r>
        <w:rPr>
          <w:sz w:val="19"/>
          <w:szCs w:val="19"/>
        </w:rPr>
        <w:t xml:space="preserve"> dez Programas Orientados </w:t>
      </w:r>
      <w:r w:rsidR="003307B5">
        <w:rPr>
          <w:sz w:val="19"/>
          <w:szCs w:val="19"/>
        </w:rPr>
        <w:t>por Missões, dos quais, o segundo (</w:t>
      </w:r>
      <w:r w:rsidR="003307B5" w:rsidRPr="003307B5">
        <w:rPr>
          <w:sz w:val="19"/>
          <w:szCs w:val="19"/>
        </w:rPr>
        <w:t>Programa de Inovação para a Industrialização em Bases Sustentáveis – Mais Inovação Brasil</w:t>
      </w:r>
      <w:r w:rsidR="003307B5">
        <w:rPr>
          <w:sz w:val="19"/>
          <w:szCs w:val="19"/>
        </w:rPr>
        <w:t>) tem forte relação com a nova política industrial.</w:t>
      </w:r>
    </w:p>
    <w:p w14:paraId="4F573E7B" w14:textId="7493F9D6" w:rsidR="004C7B20" w:rsidRPr="003307B5" w:rsidRDefault="004C7B20" w:rsidP="00B31FDD">
      <w:pPr>
        <w:pStyle w:val="Corpodetexto0"/>
        <w:tabs>
          <w:tab w:val="left" w:pos="8931"/>
        </w:tabs>
        <w:spacing w:after="160" w:line="360" w:lineRule="auto"/>
        <w:ind w:right="-1"/>
        <w:jc w:val="center"/>
        <w:rPr>
          <w:sz w:val="19"/>
          <w:szCs w:val="19"/>
        </w:rPr>
      </w:pPr>
      <w:r>
        <w:rPr>
          <w:rFonts w:asciiTheme="majorHAnsi" w:hAnsiTheme="majorHAnsi" w:cstheme="majorHAnsi"/>
          <w:noProof/>
          <w:sz w:val="22"/>
          <w:szCs w:val="22"/>
        </w:rPr>
        <w:drawing>
          <wp:inline distT="0" distB="0" distL="0" distR="0" wp14:anchorId="6BE48538" wp14:editId="4526EBCF">
            <wp:extent cx="5532046" cy="2347149"/>
            <wp:effectExtent l="0" t="0" r="0" b="0"/>
            <wp:docPr id="82221529" name="Imagem 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21529" name="Imagem 2" descr="Interface gráfica do usuário, Aplicativo&#10;&#10;Descrição gerada automaticament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559251" cy="2358691"/>
                    </a:xfrm>
                    <a:prstGeom prst="rect">
                      <a:avLst/>
                    </a:prstGeom>
                    <a:noFill/>
                  </pic:spPr>
                </pic:pic>
              </a:graphicData>
            </a:graphic>
          </wp:inline>
        </w:drawing>
      </w:r>
    </w:p>
    <w:p w14:paraId="59911975" w14:textId="736335F2" w:rsidR="00450354" w:rsidRPr="008761F5" w:rsidRDefault="003307B5" w:rsidP="00254F4A">
      <w:pPr>
        <w:pStyle w:val="Corpodetexto0"/>
        <w:tabs>
          <w:tab w:val="left" w:pos="8931"/>
        </w:tabs>
        <w:spacing w:after="160" w:line="360" w:lineRule="auto"/>
        <w:ind w:right="-1"/>
        <w:rPr>
          <w:sz w:val="19"/>
          <w:szCs w:val="19"/>
        </w:rPr>
      </w:pPr>
      <w:r w:rsidRPr="008761F5">
        <w:rPr>
          <w:sz w:val="19"/>
          <w:szCs w:val="19"/>
        </w:rPr>
        <w:t>Nesse panorama, nos coube um papel ativo na formulação,</w:t>
      </w:r>
      <w:r w:rsidR="001C77D0" w:rsidRPr="008761F5">
        <w:rPr>
          <w:sz w:val="19"/>
          <w:szCs w:val="19"/>
        </w:rPr>
        <w:t xml:space="preserve"> desenvolvimento </w:t>
      </w:r>
      <w:r w:rsidRPr="008761F5">
        <w:rPr>
          <w:sz w:val="19"/>
          <w:szCs w:val="19"/>
        </w:rPr>
        <w:t xml:space="preserve">e implementação </w:t>
      </w:r>
      <w:r w:rsidR="001C77D0" w:rsidRPr="008761F5">
        <w:rPr>
          <w:sz w:val="19"/>
          <w:szCs w:val="19"/>
        </w:rPr>
        <w:t xml:space="preserve">das ações que </w:t>
      </w:r>
      <w:r w:rsidR="006B74D8" w:rsidRPr="008761F5">
        <w:rPr>
          <w:sz w:val="19"/>
          <w:szCs w:val="19"/>
        </w:rPr>
        <w:t xml:space="preserve">estão </w:t>
      </w:r>
      <w:r w:rsidRPr="008761F5">
        <w:rPr>
          <w:sz w:val="19"/>
          <w:szCs w:val="19"/>
        </w:rPr>
        <w:t>materializa</w:t>
      </w:r>
      <w:r w:rsidR="006B74D8" w:rsidRPr="008761F5">
        <w:rPr>
          <w:sz w:val="19"/>
          <w:szCs w:val="19"/>
        </w:rPr>
        <w:t>ndo</w:t>
      </w:r>
      <w:r w:rsidRPr="008761F5">
        <w:rPr>
          <w:sz w:val="19"/>
          <w:szCs w:val="19"/>
        </w:rPr>
        <w:t xml:space="preserve"> essa política industrial </w:t>
      </w:r>
      <w:r w:rsidR="006B74D8" w:rsidRPr="008761F5">
        <w:rPr>
          <w:sz w:val="19"/>
          <w:szCs w:val="19"/>
        </w:rPr>
        <w:t xml:space="preserve">no Programa Mais Inovação Brasil, operado </w:t>
      </w:r>
      <w:r w:rsidR="00450354" w:rsidRPr="008761F5">
        <w:rPr>
          <w:sz w:val="19"/>
          <w:szCs w:val="19"/>
        </w:rPr>
        <w:t>em parceria com o</w:t>
      </w:r>
      <w:r w:rsidR="006B74D8" w:rsidRPr="008761F5">
        <w:rPr>
          <w:sz w:val="19"/>
          <w:szCs w:val="19"/>
        </w:rPr>
        <w:t xml:space="preserve"> </w:t>
      </w:r>
      <w:r w:rsidR="00EB433A" w:rsidRPr="008761F5">
        <w:rPr>
          <w:sz w:val="19"/>
          <w:szCs w:val="19"/>
        </w:rPr>
        <w:t>Banco Nacional de Desenvolvimento Econômico e Social (BNDES)</w:t>
      </w:r>
      <w:r w:rsidR="006B74D8" w:rsidRPr="008761F5">
        <w:rPr>
          <w:sz w:val="19"/>
          <w:szCs w:val="19"/>
        </w:rPr>
        <w:t xml:space="preserve">. </w:t>
      </w:r>
      <w:r w:rsidR="00450354" w:rsidRPr="008761F5">
        <w:rPr>
          <w:sz w:val="19"/>
          <w:szCs w:val="19"/>
        </w:rPr>
        <w:t xml:space="preserve">Trata-se da vertente de inovação da nova política industrial, que vai alinhar vários instrumentos de apoio à inovação: crédito, subvenção </w:t>
      </w:r>
      <w:r w:rsidR="00450354" w:rsidRPr="008761F5">
        <w:rPr>
          <w:sz w:val="19"/>
          <w:szCs w:val="19"/>
        </w:rPr>
        <w:lastRenderedPageBreak/>
        <w:t>econômica para empresas, apoio a ICTs, Fundos de Investimentos e Participações, compras públicas e novos modelos de garantia.</w:t>
      </w:r>
    </w:p>
    <w:p w14:paraId="42F1A2ED" w14:textId="5FEFF08C" w:rsidR="006B74D8" w:rsidRDefault="00450354" w:rsidP="00254F4A">
      <w:pPr>
        <w:pStyle w:val="Corpodetexto0"/>
        <w:tabs>
          <w:tab w:val="left" w:pos="8931"/>
        </w:tabs>
        <w:spacing w:after="160" w:line="360" w:lineRule="auto"/>
        <w:ind w:right="-1"/>
        <w:rPr>
          <w:sz w:val="19"/>
          <w:szCs w:val="19"/>
        </w:rPr>
      </w:pPr>
      <w:r w:rsidRPr="008761F5">
        <w:rPr>
          <w:sz w:val="19"/>
          <w:szCs w:val="19"/>
        </w:rPr>
        <w:t xml:space="preserve">O Programa Mais Inovação </w:t>
      </w:r>
      <w:r w:rsidR="003E128C" w:rsidRPr="008761F5">
        <w:rPr>
          <w:sz w:val="19"/>
          <w:szCs w:val="19"/>
        </w:rPr>
        <w:t xml:space="preserve">Brasil </w:t>
      </w:r>
      <w:r w:rsidRPr="008761F5">
        <w:rPr>
          <w:sz w:val="19"/>
          <w:szCs w:val="19"/>
        </w:rPr>
        <w:t xml:space="preserve">deverá </w:t>
      </w:r>
      <w:r w:rsidR="006B74D8" w:rsidRPr="008761F5">
        <w:rPr>
          <w:sz w:val="19"/>
          <w:szCs w:val="19"/>
        </w:rPr>
        <w:t>disponibilizar</w:t>
      </w:r>
      <w:r w:rsidRPr="008761F5">
        <w:rPr>
          <w:sz w:val="19"/>
          <w:szCs w:val="19"/>
        </w:rPr>
        <w:t xml:space="preserve"> R$ 66 bilhões </w:t>
      </w:r>
      <w:r w:rsidR="00C57CB6" w:rsidRPr="008761F5">
        <w:rPr>
          <w:sz w:val="19"/>
          <w:szCs w:val="19"/>
        </w:rPr>
        <w:t>até 2026</w:t>
      </w:r>
      <w:r w:rsidR="006B74D8" w:rsidRPr="008761F5">
        <w:rPr>
          <w:sz w:val="19"/>
          <w:szCs w:val="19"/>
        </w:rPr>
        <w:t xml:space="preserve">, dos quais seremos responsáveis </w:t>
      </w:r>
      <w:r w:rsidRPr="008761F5">
        <w:rPr>
          <w:sz w:val="19"/>
          <w:szCs w:val="19"/>
        </w:rPr>
        <w:t>por</w:t>
      </w:r>
      <w:r w:rsidR="006B74D8" w:rsidRPr="008761F5">
        <w:rPr>
          <w:sz w:val="19"/>
          <w:szCs w:val="19"/>
        </w:rPr>
        <w:t xml:space="preserve"> R$ 41 bilhões.</w:t>
      </w:r>
      <w:r w:rsidR="00C57CB6" w:rsidRPr="008761F5">
        <w:rPr>
          <w:sz w:val="19"/>
          <w:szCs w:val="19"/>
        </w:rPr>
        <w:t xml:space="preserve"> </w:t>
      </w:r>
      <w:r w:rsidRPr="008761F5">
        <w:rPr>
          <w:sz w:val="19"/>
          <w:szCs w:val="19"/>
        </w:rPr>
        <w:t>Em 2023, o</w:t>
      </w:r>
      <w:r w:rsidR="00C57CB6" w:rsidRPr="008761F5">
        <w:rPr>
          <w:sz w:val="19"/>
          <w:szCs w:val="19"/>
        </w:rPr>
        <w:t xml:space="preserve"> </w:t>
      </w:r>
      <w:hyperlink r:id="rId96" w:history="1">
        <w:r w:rsidR="00C57CB6" w:rsidRPr="008761F5">
          <w:rPr>
            <w:rStyle w:val="Hyperlink"/>
            <w:sz w:val="19"/>
            <w:szCs w:val="19"/>
          </w:rPr>
          <w:t>Finep Mais Inovação</w:t>
        </w:r>
      </w:hyperlink>
      <w:r w:rsidR="00C57CB6" w:rsidRPr="008761F5">
        <w:rPr>
          <w:sz w:val="19"/>
          <w:szCs w:val="19"/>
        </w:rPr>
        <w:t xml:space="preserve">, </w:t>
      </w:r>
      <w:r w:rsidRPr="008761F5">
        <w:rPr>
          <w:sz w:val="19"/>
          <w:szCs w:val="19"/>
        </w:rPr>
        <w:t xml:space="preserve">que iniciou sua operação </w:t>
      </w:r>
      <w:r w:rsidR="00C57CB6" w:rsidRPr="008761F5">
        <w:rPr>
          <w:sz w:val="19"/>
          <w:szCs w:val="19"/>
        </w:rPr>
        <w:t>em outubro</w:t>
      </w:r>
      <w:r w:rsidRPr="008761F5">
        <w:rPr>
          <w:sz w:val="19"/>
          <w:szCs w:val="19"/>
        </w:rPr>
        <w:t>,</w:t>
      </w:r>
      <w:r w:rsidR="00C57CB6" w:rsidRPr="008761F5">
        <w:rPr>
          <w:sz w:val="19"/>
          <w:szCs w:val="19"/>
        </w:rPr>
        <w:t xml:space="preserve"> contratou projetos inovadores </w:t>
      </w:r>
      <w:r w:rsidR="000D5121" w:rsidRPr="008761F5">
        <w:rPr>
          <w:sz w:val="19"/>
          <w:szCs w:val="19"/>
        </w:rPr>
        <w:t xml:space="preserve">para apoio por meio de crédito direto </w:t>
      </w:r>
      <w:r w:rsidR="00C57CB6" w:rsidRPr="008761F5">
        <w:rPr>
          <w:sz w:val="19"/>
          <w:szCs w:val="19"/>
        </w:rPr>
        <w:t>no valor de cerca de R$ 654 milhões.</w:t>
      </w:r>
    </w:p>
    <w:p w14:paraId="749C4C3A" w14:textId="2ED48A08" w:rsidR="00AB113A" w:rsidRDefault="00D44A09" w:rsidP="004C7B20">
      <w:pPr>
        <w:pStyle w:val="Corpodetexto0"/>
        <w:tabs>
          <w:tab w:val="left" w:pos="8931"/>
        </w:tabs>
        <w:spacing w:after="160" w:line="360" w:lineRule="auto"/>
        <w:ind w:right="-1"/>
        <w:rPr>
          <w:sz w:val="19"/>
          <w:szCs w:val="19"/>
        </w:rPr>
      </w:pPr>
      <w:r>
        <w:rPr>
          <w:sz w:val="19"/>
          <w:szCs w:val="19"/>
        </w:rPr>
        <w:t xml:space="preserve">Além do </w:t>
      </w:r>
      <w:r w:rsidR="00AB113A" w:rsidRPr="00AB113A">
        <w:rPr>
          <w:sz w:val="19"/>
          <w:szCs w:val="19"/>
        </w:rPr>
        <w:t xml:space="preserve">apoio </w:t>
      </w:r>
      <w:r w:rsidR="008F1A33">
        <w:rPr>
          <w:sz w:val="19"/>
          <w:szCs w:val="19"/>
        </w:rPr>
        <w:t>às</w:t>
      </w:r>
      <w:r w:rsidR="00AB113A" w:rsidRPr="00AB113A">
        <w:rPr>
          <w:sz w:val="19"/>
          <w:szCs w:val="19"/>
        </w:rPr>
        <w:t xml:space="preserve"> empresas </w:t>
      </w:r>
      <w:r w:rsidR="008F1A33">
        <w:rPr>
          <w:sz w:val="19"/>
          <w:szCs w:val="19"/>
        </w:rPr>
        <w:t>por meio do crédito</w:t>
      </w:r>
      <w:r>
        <w:rPr>
          <w:sz w:val="19"/>
          <w:szCs w:val="19"/>
        </w:rPr>
        <w:t xml:space="preserve">, o Programa contará também com </w:t>
      </w:r>
      <w:r w:rsidR="00180C9D">
        <w:rPr>
          <w:sz w:val="19"/>
          <w:szCs w:val="19"/>
        </w:rPr>
        <w:t>recursos de</w:t>
      </w:r>
      <w:r w:rsidR="008F1A33">
        <w:rPr>
          <w:sz w:val="19"/>
          <w:szCs w:val="19"/>
        </w:rPr>
        <w:t xml:space="preserve"> subvenção econômica </w:t>
      </w:r>
      <w:r w:rsidR="00180C9D">
        <w:rPr>
          <w:sz w:val="19"/>
          <w:szCs w:val="19"/>
        </w:rPr>
        <w:t xml:space="preserve">para empresas </w:t>
      </w:r>
      <w:r w:rsidR="00AB113A" w:rsidRPr="00AB113A">
        <w:rPr>
          <w:sz w:val="19"/>
          <w:szCs w:val="19"/>
        </w:rPr>
        <w:t xml:space="preserve">e </w:t>
      </w:r>
      <w:r w:rsidR="00180C9D">
        <w:rPr>
          <w:sz w:val="19"/>
          <w:szCs w:val="19"/>
        </w:rPr>
        <w:t>de</w:t>
      </w:r>
      <w:r w:rsidR="008F1A33">
        <w:rPr>
          <w:sz w:val="19"/>
          <w:szCs w:val="19"/>
        </w:rPr>
        <w:t xml:space="preserve"> financiamento não reembolsável </w:t>
      </w:r>
      <w:r w:rsidR="00AB113A" w:rsidRPr="00AB113A">
        <w:rPr>
          <w:sz w:val="19"/>
          <w:szCs w:val="19"/>
        </w:rPr>
        <w:t xml:space="preserve">para ICTs, disponibilizados através de chamadas públicas. </w:t>
      </w:r>
      <w:r w:rsidR="00AB113A" w:rsidRPr="00254F4A">
        <w:rPr>
          <w:sz w:val="19"/>
        </w:rPr>
        <w:t>No caso da subvenção, essas chamadas serão operadas em fluxo contínuo, ficando abertas para submissão de propostas até que o orçamento disponibilizado esteja comprometido em sua integralidade.</w:t>
      </w:r>
    </w:p>
    <w:p w14:paraId="54BC3235" w14:textId="4E70329A" w:rsidR="00AB113A" w:rsidRDefault="00AB113A" w:rsidP="00AB113A">
      <w:pPr>
        <w:spacing w:before="120" w:after="120" w:line="360" w:lineRule="auto"/>
        <w:rPr>
          <w:rFonts w:ascii="Tahoma" w:hAnsi="Tahoma" w:cs="Tahoma"/>
          <w:sz w:val="19"/>
          <w:szCs w:val="19"/>
        </w:rPr>
      </w:pPr>
      <w:r>
        <w:rPr>
          <w:rFonts w:ascii="Tahoma" w:hAnsi="Tahoma" w:cs="Tahoma"/>
          <w:sz w:val="19"/>
          <w:szCs w:val="19"/>
        </w:rPr>
        <w:t xml:space="preserve">Em novembro de 2023, foram lançados três editais para apoio à infraestrutura de ICTs, com recursos do FNDCT: </w:t>
      </w:r>
      <w:r w:rsidRPr="00FB0F21">
        <w:rPr>
          <w:rFonts w:ascii="Tahoma" w:hAnsi="Tahoma" w:cs="Tahoma"/>
          <w:sz w:val="19"/>
          <w:szCs w:val="19"/>
        </w:rPr>
        <w:t xml:space="preserve">Pró-infra Expansão 2023, Pró-infra Recuperação e Pró-infra </w:t>
      </w:r>
      <w:r w:rsidR="009F07D9">
        <w:rPr>
          <w:rFonts w:ascii="Tahoma" w:hAnsi="Tahoma" w:cs="Tahoma"/>
          <w:sz w:val="19"/>
          <w:szCs w:val="19"/>
        </w:rPr>
        <w:t>t</w:t>
      </w:r>
      <w:r w:rsidRPr="00FB0F21">
        <w:rPr>
          <w:rFonts w:ascii="Tahoma" w:hAnsi="Tahoma" w:cs="Tahoma"/>
          <w:sz w:val="19"/>
          <w:szCs w:val="19"/>
        </w:rPr>
        <w:t>emático, totaliza</w:t>
      </w:r>
      <w:r>
        <w:rPr>
          <w:rFonts w:ascii="Tahoma" w:hAnsi="Tahoma" w:cs="Tahoma"/>
          <w:sz w:val="19"/>
          <w:szCs w:val="19"/>
        </w:rPr>
        <w:t xml:space="preserve">ndo </w:t>
      </w:r>
      <w:r w:rsidRPr="00FB0F21">
        <w:rPr>
          <w:rFonts w:ascii="Tahoma" w:hAnsi="Tahoma" w:cs="Tahoma"/>
          <w:sz w:val="19"/>
          <w:szCs w:val="19"/>
        </w:rPr>
        <w:t>R$ 1,2 bilhão em recursos não-reembolsáveis</w:t>
      </w:r>
      <w:r>
        <w:rPr>
          <w:rFonts w:ascii="Tahoma" w:hAnsi="Tahoma" w:cs="Tahoma"/>
          <w:sz w:val="19"/>
          <w:szCs w:val="19"/>
        </w:rPr>
        <w:t>. Todos com impacto potencial na capacidade nacional de pesquisa. No entanto, o último o</w:t>
      </w:r>
      <w:r w:rsidRPr="00FB0F21">
        <w:rPr>
          <w:rFonts w:ascii="Tahoma" w:hAnsi="Tahoma" w:cs="Tahoma"/>
          <w:sz w:val="19"/>
          <w:szCs w:val="19"/>
        </w:rPr>
        <w:t>bjetiva fortalecer Centros de Pesquisa Cientí</w:t>
      </w:r>
      <w:r>
        <w:rPr>
          <w:rFonts w:ascii="Tahoma" w:hAnsi="Tahoma" w:cs="Tahoma"/>
          <w:sz w:val="19"/>
          <w:szCs w:val="19"/>
        </w:rPr>
        <w:t>fi</w:t>
      </w:r>
      <w:r w:rsidRPr="00FB0F21">
        <w:rPr>
          <w:rFonts w:ascii="Tahoma" w:hAnsi="Tahoma" w:cs="Tahoma"/>
          <w:sz w:val="19"/>
          <w:szCs w:val="19"/>
        </w:rPr>
        <w:t>ca e Tecnológica,</w:t>
      </w:r>
      <w:r>
        <w:rPr>
          <w:rFonts w:ascii="Tahoma" w:hAnsi="Tahoma" w:cs="Tahoma"/>
          <w:sz w:val="19"/>
          <w:szCs w:val="19"/>
        </w:rPr>
        <w:t xml:space="preserve"> </w:t>
      </w:r>
      <w:r w:rsidRPr="00FB0F21">
        <w:rPr>
          <w:rFonts w:ascii="Tahoma" w:hAnsi="Tahoma" w:cs="Tahoma"/>
          <w:sz w:val="19"/>
          <w:szCs w:val="19"/>
        </w:rPr>
        <w:t>em cinco áreas temáticas</w:t>
      </w:r>
      <w:r>
        <w:rPr>
          <w:rFonts w:ascii="Tahoma" w:hAnsi="Tahoma" w:cs="Tahoma"/>
          <w:sz w:val="19"/>
          <w:szCs w:val="19"/>
        </w:rPr>
        <w:t xml:space="preserve"> conectadas às missões da nova política industrial</w:t>
      </w:r>
      <w:r w:rsidRPr="00FB0F21">
        <w:rPr>
          <w:rFonts w:ascii="Tahoma" w:hAnsi="Tahoma" w:cs="Tahoma"/>
          <w:sz w:val="19"/>
          <w:szCs w:val="19"/>
        </w:rPr>
        <w:t>: transição energética, transição ecológica, transformação digital, saúde e defesa</w:t>
      </w:r>
      <w:r>
        <w:rPr>
          <w:rFonts w:ascii="Tahoma" w:hAnsi="Tahoma" w:cs="Tahoma"/>
          <w:sz w:val="19"/>
          <w:szCs w:val="19"/>
        </w:rPr>
        <w:t>.</w:t>
      </w:r>
    </w:p>
    <w:p w14:paraId="50F76CF4" w14:textId="27B8876E" w:rsidR="00D127FD" w:rsidRPr="008761F5" w:rsidRDefault="00D127FD" w:rsidP="00254F4A">
      <w:pPr>
        <w:pStyle w:val="Corpodetexto0"/>
        <w:tabs>
          <w:tab w:val="left" w:pos="8931"/>
        </w:tabs>
        <w:spacing w:after="160" w:line="360" w:lineRule="auto"/>
        <w:ind w:right="-1"/>
        <w:rPr>
          <w:sz w:val="19"/>
          <w:szCs w:val="19"/>
        </w:rPr>
      </w:pPr>
      <w:r w:rsidRPr="008761F5">
        <w:rPr>
          <w:sz w:val="19"/>
          <w:szCs w:val="19"/>
        </w:rPr>
        <w:t>Em dezembro de 2</w:t>
      </w:r>
      <w:bookmarkEnd w:id="37"/>
      <w:r w:rsidRPr="008761F5">
        <w:rPr>
          <w:sz w:val="19"/>
          <w:szCs w:val="19"/>
        </w:rPr>
        <w:t xml:space="preserve">023, </w:t>
      </w:r>
      <w:r w:rsidR="00B31FDD" w:rsidRPr="008761F5">
        <w:rPr>
          <w:sz w:val="19"/>
          <w:szCs w:val="19"/>
        </w:rPr>
        <w:t>coordenamo</w:t>
      </w:r>
      <w:r w:rsidRPr="008761F5">
        <w:rPr>
          <w:sz w:val="19"/>
          <w:szCs w:val="19"/>
        </w:rPr>
        <w:t xml:space="preserve">s uma série de seminários temáticos para a discussão </w:t>
      </w:r>
      <w:r w:rsidR="005D31A2">
        <w:rPr>
          <w:sz w:val="19"/>
          <w:szCs w:val="19"/>
        </w:rPr>
        <w:t>sobre a</w:t>
      </w:r>
      <w:r w:rsidRPr="008761F5">
        <w:rPr>
          <w:sz w:val="19"/>
          <w:szCs w:val="19"/>
        </w:rPr>
        <w:t xml:space="preserve"> neoindustrialização em novas bases e apoio à inovação nas empresas. Foram 1</w:t>
      </w:r>
      <w:r w:rsidR="00DC657D" w:rsidRPr="008761F5">
        <w:rPr>
          <w:sz w:val="19"/>
          <w:szCs w:val="19"/>
        </w:rPr>
        <w:t>2</w:t>
      </w:r>
      <w:r w:rsidRPr="008761F5">
        <w:rPr>
          <w:sz w:val="19"/>
          <w:szCs w:val="19"/>
        </w:rPr>
        <w:t xml:space="preserve"> seminários organizados em modelo híbrido que objetivaram </w:t>
      </w:r>
      <w:r w:rsidR="0077558B" w:rsidRPr="008761F5">
        <w:rPr>
          <w:sz w:val="19"/>
          <w:szCs w:val="19"/>
        </w:rPr>
        <w:t>gerar subsídios e contribuir para</w:t>
      </w:r>
      <w:r w:rsidRPr="008761F5">
        <w:rPr>
          <w:sz w:val="19"/>
          <w:szCs w:val="19"/>
        </w:rPr>
        <w:t xml:space="preserve"> as discussões da 5ª Conferência Nacional de CT&amp;I</w:t>
      </w:r>
      <w:r w:rsidR="0077558B" w:rsidRPr="008761F5">
        <w:rPr>
          <w:sz w:val="19"/>
          <w:szCs w:val="19"/>
        </w:rPr>
        <w:t xml:space="preserve"> </w:t>
      </w:r>
      <w:r w:rsidR="00B31FDD" w:rsidRPr="008761F5">
        <w:rPr>
          <w:sz w:val="19"/>
          <w:szCs w:val="19"/>
        </w:rPr>
        <w:t xml:space="preserve">(CNCTI) </w:t>
      </w:r>
      <w:r w:rsidR="0077558B" w:rsidRPr="008761F5">
        <w:rPr>
          <w:sz w:val="19"/>
          <w:szCs w:val="19"/>
        </w:rPr>
        <w:t>e para o avanço da nova política industrial</w:t>
      </w:r>
      <w:r w:rsidRPr="008761F5">
        <w:rPr>
          <w:sz w:val="19"/>
          <w:szCs w:val="19"/>
        </w:rPr>
        <w:t>.</w:t>
      </w:r>
      <w:r w:rsidR="0077558B" w:rsidRPr="008761F5">
        <w:rPr>
          <w:sz w:val="19"/>
          <w:szCs w:val="19"/>
        </w:rPr>
        <w:t xml:space="preserve"> Para a realização desses debates, contamos com a colaboração e participação de várias instituições, entre elas a Confederação Nacional da Indústria, o Conselho Nacional de Desenvolvimento Industrial, o Banco Nacional de Desenvolvimento Econômico e Social, a </w:t>
      </w:r>
      <w:r w:rsidR="00F06686" w:rsidRPr="008761F5">
        <w:rPr>
          <w:sz w:val="19"/>
          <w:szCs w:val="19"/>
        </w:rPr>
        <w:t>Associação Brasileira das Instituições de Pesquisa Tecnológica e Inovação, a Associação Nacional de Pesquisa e Desenvolvimento das Empresas Inovadoras, o Serviço Brasileiro de Apoio às Micro e Pequenas Empresas e o Ministério da Ciência, Tecnologia e Inovação.</w:t>
      </w:r>
    </w:p>
    <w:p w14:paraId="4B947918" w14:textId="6F2B8DC6" w:rsidR="0050262D" w:rsidRPr="008761F5" w:rsidRDefault="00F06686" w:rsidP="00254F4A">
      <w:pPr>
        <w:pStyle w:val="Corpodetexto0"/>
        <w:tabs>
          <w:tab w:val="left" w:pos="8931"/>
        </w:tabs>
        <w:spacing w:after="160" w:line="360" w:lineRule="auto"/>
        <w:ind w:right="-1"/>
        <w:rPr>
          <w:sz w:val="19"/>
          <w:szCs w:val="19"/>
        </w:rPr>
      </w:pPr>
      <w:r w:rsidRPr="008761F5">
        <w:rPr>
          <w:sz w:val="19"/>
          <w:szCs w:val="19"/>
        </w:rPr>
        <w:t xml:space="preserve">Os vídeos dos seminários podem ser acessados em </w:t>
      </w:r>
      <w:hyperlink r:id="rId97" w:history="1">
        <w:r w:rsidRPr="008761F5">
          <w:rPr>
            <w:rStyle w:val="Hyperlink"/>
            <w:sz w:val="19"/>
            <w:szCs w:val="19"/>
          </w:rPr>
          <w:t>http://www.finep.gov.br/a-finep-externo/5-cncti</w:t>
        </w:r>
      </w:hyperlink>
      <w:r w:rsidR="00B31FDD" w:rsidRPr="008761F5">
        <w:rPr>
          <w:sz w:val="19"/>
          <w:szCs w:val="19"/>
        </w:rPr>
        <w:t xml:space="preserve"> e o </w:t>
      </w:r>
      <w:hyperlink r:id="rId98" w:history="1">
        <w:r w:rsidR="00B31FDD" w:rsidRPr="008761F5">
          <w:rPr>
            <w:rStyle w:val="Hyperlink"/>
            <w:sz w:val="19"/>
            <w:szCs w:val="19"/>
          </w:rPr>
          <w:t xml:space="preserve">Relatório </w:t>
        </w:r>
        <w:r w:rsidR="00CB6119" w:rsidRPr="008761F5">
          <w:rPr>
            <w:rStyle w:val="Hyperlink"/>
            <w:sz w:val="19"/>
            <w:szCs w:val="19"/>
          </w:rPr>
          <w:t>Sumário</w:t>
        </w:r>
      </w:hyperlink>
      <w:r w:rsidR="00B31FDD" w:rsidRPr="008761F5">
        <w:rPr>
          <w:sz w:val="19"/>
          <w:szCs w:val="19"/>
        </w:rPr>
        <w:t xml:space="preserve"> dos debates temáticos realizados foi entregue ao Secretário-Geral da 5ª CNCTI.</w:t>
      </w:r>
    </w:p>
    <w:p w14:paraId="17EF9017" w14:textId="74EADC83" w:rsidR="00B31FDD" w:rsidRDefault="00173072" w:rsidP="00D127FD">
      <w:pPr>
        <w:pStyle w:val="Corpodetexto0"/>
        <w:tabs>
          <w:tab w:val="left" w:pos="8931"/>
        </w:tabs>
        <w:spacing w:after="160" w:line="360" w:lineRule="auto"/>
        <w:ind w:right="-1"/>
        <w:rPr>
          <w:sz w:val="19"/>
          <w:szCs w:val="19"/>
        </w:rPr>
      </w:pPr>
      <w:r w:rsidRPr="008761F5">
        <w:rPr>
          <w:rFonts w:asciiTheme="majorHAnsi" w:hAnsiTheme="majorHAnsi" w:cstheme="majorHAnsi"/>
          <w:noProof/>
          <w:sz w:val="19"/>
          <w:szCs w:val="19"/>
        </w:rPr>
        <mc:AlternateContent>
          <mc:Choice Requires="wps">
            <w:drawing>
              <wp:anchor distT="0" distB="0" distL="114300" distR="114300" simplePos="0" relativeHeight="251821056" behindDoc="0" locked="0" layoutInCell="1" allowOverlap="1" wp14:anchorId="66A2FEB9" wp14:editId="5D329563">
                <wp:simplePos x="0" y="0"/>
                <wp:positionH relativeFrom="column">
                  <wp:posOffset>431800</wp:posOffset>
                </wp:positionH>
                <wp:positionV relativeFrom="paragraph">
                  <wp:posOffset>26035</wp:posOffset>
                </wp:positionV>
                <wp:extent cx="5346700" cy="349250"/>
                <wp:effectExtent l="0" t="0" r="6350" b="0"/>
                <wp:wrapNone/>
                <wp:docPr id="313818277" name="Text Box 237"/>
                <wp:cNvGraphicFramePr/>
                <a:graphic xmlns:a="http://schemas.openxmlformats.org/drawingml/2006/main">
                  <a:graphicData uri="http://schemas.microsoft.com/office/word/2010/wordprocessingShape">
                    <wps:wsp>
                      <wps:cNvSpPr txBox="1"/>
                      <wps:spPr>
                        <a:xfrm>
                          <a:off x="0" y="0"/>
                          <a:ext cx="5346700" cy="349250"/>
                        </a:xfrm>
                        <a:prstGeom prst="rect">
                          <a:avLst/>
                        </a:prstGeom>
                        <a:solidFill>
                          <a:srgbClr val="0098BA">
                            <a:alpha val="25098"/>
                          </a:srgbClr>
                        </a:solidFill>
                        <a:ln w="6345">
                          <a:noFill/>
                          <a:prstDash val="dash"/>
                        </a:ln>
                      </wps:spPr>
                      <wps:txbx>
                        <w:txbxContent>
                          <w:p w14:paraId="3AD61F17" w14:textId="4736F134" w:rsidR="00DC657D" w:rsidRPr="00413454" w:rsidRDefault="00DC657D" w:rsidP="00DC657D">
                            <w:pPr>
                              <w:jc w:val="right"/>
                              <w:rPr>
                                <w:rFonts w:ascii="Tahoma" w:hAnsi="Tahoma" w:cs="Tahoma"/>
                                <w:sz w:val="16"/>
                                <w:szCs w:val="16"/>
                              </w:rPr>
                            </w:pPr>
                            <w:r w:rsidRPr="00DC657D">
                              <w:rPr>
                                <w:rFonts w:ascii="Tahoma" w:hAnsi="Tahoma" w:cs="Tahoma"/>
                                <w:sz w:val="16"/>
                                <w:szCs w:val="16"/>
                              </w:rPr>
                              <w:t xml:space="preserve">Esse conjunto de discussões e seu alcance demonstra a capacidade de articulação e aglutinação que a Finep possui. </w:t>
                            </w:r>
                            <w:r w:rsidRPr="00413454">
                              <w:rPr>
                                <w:rFonts w:ascii="Tahoma" w:hAnsi="Tahoma" w:cs="Tahoma"/>
                                <w:sz w:val="16"/>
                                <w:szCs w:val="16"/>
                              </w:rPr>
                              <w:t xml:space="preserve">Para informações sobre </w:t>
                            </w:r>
                            <w:r>
                              <w:rPr>
                                <w:rFonts w:ascii="Tahoma" w:hAnsi="Tahoma" w:cs="Tahoma"/>
                                <w:sz w:val="16"/>
                                <w:szCs w:val="16"/>
                              </w:rPr>
                              <w:t>essa iniciativa</w:t>
                            </w:r>
                            <w:r w:rsidRPr="00413454">
                              <w:rPr>
                                <w:rFonts w:ascii="Tahoma" w:hAnsi="Tahoma" w:cs="Tahoma"/>
                                <w:sz w:val="16"/>
                                <w:szCs w:val="16"/>
                              </w:rPr>
                              <w:t xml:space="preserve">, veja a seção </w:t>
                            </w:r>
                            <w:r w:rsidRPr="00413454">
                              <w:rPr>
                                <w:rFonts w:ascii="Tahoma" w:hAnsi="Tahoma" w:cs="Tahoma"/>
                                <w:b/>
                                <w:bCs/>
                                <w:sz w:val="16"/>
                                <w:szCs w:val="16"/>
                              </w:rPr>
                              <w:t xml:space="preserve">Capital </w:t>
                            </w:r>
                            <w:r>
                              <w:rPr>
                                <w:rFonts w:ascii="Tahoma" w:hAnsi="Tahoma" w:cs="Tahoma"/>
                                <w:b/>
                                <w:bCs/>
                                <w:sz w:val="16"/>
                                <w:szCs w:val="16"/>
                              </w:rPr>
                              <w:t>Social e de Relacionamento</w:t>
                            </w:r>
                            <w:r w:rsidRPr="00413454">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66A2FEB9" id="_x0000_s1037" type="#_x0000_t202" style="position:absolute;margin-left:34pt;margin-top:2.05pt;width:421pt;height:2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" fillcolor="#0098ba" stroked="f" strokeweight=".17625mm">
                <v:fill opacity="16448f"/>
                <v:stroke dashstyle="dash"/>
                <v:textbox>
                  <w:txbxContent>
                    <w:p w14:paraId="3AD61F17" w14:textId="4736F134" w:rsidR="00DC657D" w:rsidRPr="00413454" w:rsidRDefault="00DC657D" w:rsidP="00DC657D">
                      <w:pPr>
                        <w:jc w:val="right"/>
                        <w:rPr>
                          <w:rFonts w:ascii="Tahoma" w:hAnsi="Tahoma" w:cs="Tahoma"/>
                          <w:sz w:val="16"/>
                          <w:szCs w:val="16"/>
                        </w:rPr>
                      </w:pPr>
                      <w:r w:rsidRPr="00DC657D">
                        <w:rPr>
                          <w:rFonts w:ascii="Tahoma" w:hAnsi="Tahoma" w:cs="Tahoma"/>
                          <w:sz w:val="16"/>
                          <w:szCs w:val="16"/>
                        </w:rPr>
                        <w:t xml:space="preserve">Esse conjunto de discussões e seu alcance demonstra a capacidade de articulação e aglutinação que a Finep possui. </w:t>
                      </w:r>
                      <w:r w:rsidRPr="00413454">
                        <w:rPr>
                          <w:rFonts w:ascii="Tahoma" w:hAnsi="Tahoma" w:cs="Tahoma"/>
                          <w:sz w:val="16"/>
                          <w:szCs w:val="16"/>
                        </w:rPr>
                        <w:t xml:space="preserve">Para informações sobre </w:t>
                      </w:r>
                      <w:r>
                        <w:rPr>
                          <w:rFonts w:ascii="Tahoma" w:hAnsi="Tahoma" w:cs="Tahoma"/>
                          <w:sz w:val="16"/>
                          <w:szCs w:val="16"/>
                        </w:rPr>
                        <w:t>essa iniciativa</w:t>
                      </w:r>
                      <w:r w:rsidRPr="00413454">
                        <w:rPr>
                          <w:rFonts w:ascii="Tahoma" w:hAnsi="Tahoma" w:cs="Tahoma"/>
                          <w:sz w:val="16"/>
                          <w:szCs w:val="16"/>
                        </w:rPr>
                        <w:t xml:space="preserve">, veja a seção </w:t>
                      </w:r>
                      <w:r w:rsidRPr="00413454">
                        <w:rPr>
                          <w:rFonts w:ascii="Tahoma" w:hAnsi="Tahoma" w:cs="Tahoma"/>
                          <w:b/>
                          <w:bCs/>
                          <w:sz w:val="16"/>
                          <w:szCs w:val="16"/>
                        </w:rPr>
                        <w:t xml:space="preserve">Capital </w:t>
                      </w:r>
                      <w:r>
                        <w:rPr>
                          <w:rFonts w:ascii="Tahoma" w:hAnsi="Tahoma" w:cs="Tahoma"/>
                          <w:b/>
                          <w:bCs/>
                          <w:sz w:val="16"/>
                          <w:szCs w:val="16"/>
                        </w:rPr>
                        <w:t>Social e de Relacionamento</w:t>
                      </w:r>
                      <w:r w:rsidRPr="00413454">
                        <w:rPr>
                          <w:rFonts w:ascii="Tahoma" w:hAnsi="Tahoma" w:cs="Tahoma"/>
                          <w:sz w:val="16"/>
                          <w:szCs w:val="16"/>
                        </w:rPr>
                        <w:t>.</w:t>
                      </w:r>
                    </w:p>
                  </w:txbxContent>
                </v:textbox>
              </v:shape>
            </w:pict>
          </mc:Fallback>
        </mc:AlternateContent>
      </w:r>
    </w:p>
    <w:p w14:paraId="2C06993D" w14:textId="77777777" w:rsidR="00173072" w:rsidRDefault="00173072" w:rsidP="00D127FD">
      <w:pPr>
        <w:pStyle w:val="Corpodetexto0"/>
        <w:tabs>
          <w:tab w:val="left" w:pos="8931"/>
        </w:tabs>
        <w:spacing w:after="160" w:line="360" w:lineRule="auto"/>
        <w:ind w:right="-1"/>
      </w:pPr>
    </w:p>
    <w:p w14:paraId="0275D40A" w14:textId="40197768" w:rsidR="0057636F" w:rsidRPr="00DC657D" w:rsidRDefault="0057636F" w:rsidP="00D127FD">
      <w:pPr>
        <w:pStyle w:val="Corpodetexto0"/>
        <w:tabs>
          <w:tab w:val="left" w:pos="8931"/>
        </w:tabs>
        <w:spacing w:after="160" w:line="360" w:lineRule="auto"/>
        <w:ind w:right="-1"/>
        <w:rPr>
          <w:sz w:val="19"/>
          <w:szCs w:val="19"/>
        </w:rPr>
      </w:pPr>
      <w:r>
        <w:br w:type="page"/>
      </w:r>
    </w:p>
    <w:p w14:paraId="5D88DFFB" w14:textId="7EF4806C" w:rsidR="00584DA9" w:rsidRPr="004C7B20" w:rsidRDefault="00584DA9" w:rsidP="004C7B20">
      <w:pPr>
        <w:pStyle w:val="Ttulo1"/>
        <w:spacing w:line="259" w:lineRule="auto"/>
        <w:ind w:left="432" w:hanging="432"/>
        <w:rPr>
          <w:rFonts w:ascii="Tahoma" w:eastAsiaTheme="majorEastAsia" w:hAnsi="Tahoma" w:cs="Tahoma"/>
          <w:color w:val="0098BA"/>
          <w:sz w:val="28"/>
          <w:szCs w:val="28"/>
          <w:lang w:eastAsia="en-US"/>
        </w:rPr>
      </w:pPr>
      <w:bookmarkStart w:id="38" w:name="_Toc131692231"/>
      <w:bookmarkStart w:id="39" w:name="_Toc163025246"/>
      <w:bookmarkStart w:id="40" w:name="_Toc162512583"/>
      <w:bookmarkStart w:id="41" w:name="_Toc94256456"/>
      <w:bookmarkStart w:id="42" w:name="_Toc94278181"/>
      <w:bookmarkStart w:id="43" w:name="_Toc131692232"/>
      <w:r w:rsidRPr="004C7B20">
        <w:rPr>
          <w:rFonts w:ascii="Tahoma" w:eastAsiaTheme="majorEastAsia" w:hAnsi="Tahoma" w:cs="Tahoma"/>
          <w:color w:val="0098BA"/>
          <w:sz w:val="28"/>
          <w:szCs w:val="28"/>
          <w:lang w:eastAsia="en-US"/>
        </w:rPr>
        <w:lastRenderedPageBreak/>
        <w:t>Nosso desempenho</w:t>
      </w:r>
      <w:bookmarkEnd w:id="38"/>
      <w:r w:rsidR="008D56EF" w:rsidRPr="004C7B20">
        <w:rPr>
          <w:rFonts w:ascii="Tahoma" w:eastAsiaTheme="majorEastAsia" w:hAnsi="Tahoma" w:cs="Tahoma"/>
          <w:color w:val="0098BA"/>
          <w:sz w:val="28"/>
          <w:szCs w:val="28"/>
          <w:lang w:eastAsia="en-US"/>
        </w:rPr>
        <w:t xml:space="preserve"> – estratégia e operação</w:t>
      </w:r>
      <w:bookmarkEnd w:id="39"/>
      <w:bookmarkEnd w:id="40"/>
    </w:p>
    <w:bookmarkEnd w:id="41"/>
    <w:bookmarkEnd w:id="42"/>
    <w:p w14:paraId="1C363658" w14:textId="71272ADC" w:rsidR="000D5121" w:rsidRPr="00B610BD" w:rsidRDefault="00CC3F7A" w:rsidP="00254F4A">
      <w:pPr>
        <w:spacing w:before="120" w:after="120" w:line="360" w:lineRule="auto"/>
        <w:rPr>
          <w:rFonts w:ascii="Tahoma" w:hAnsi="Tahoma" w:cs="Tahoma"/>
          <w:color w:val="000101"/>
          <w:sz w:val="19"/>
          <w:szCs w:val="19"/>
        </w:rPr>
      </w:pPr>
      <w:r w:rsidRPr="00B610BD">
        <w:rPr>
          <w:rFonts w:ascii="Tahoma" w:hAnsi="Tahoma" w:cs="Tahoma"/>
          <w:color w:val="000101"/>
          <w:sz w:val="19"/>
          <w:szCs w:val="19"/>
        </w:rPr>
        <w:t xml:space="preserve">A cada final de ano atualizamos nossa </w:t>
      </w:r>
      <w:r w:rsidR="00BC37F0">
        <w:rPr>
          <w:rFonts w:ascii="Tahoma" w:hAnsi="Tahoma" w:cs="Tahoma"/>
          <w:color w:val="000101"/>
          <w:sz w:val="19"/>
          <w:szCs w:val="19"/>
        </w:rPr>
        <w:t>e</w:t>
      </w:r>
      <w:r w:rsidRPr="00B610BD">
        <w:rPr>
          <w:rFonts w:ascii="Tahoma" w:hAnsi="Tahoma" w:cs="Tahoma"/>
          <w:color w:val="000101"/>
          <w:sz w:val="19"/>
          <w:szCs w:val="19"/>
        </w:rPr>
        <w:t xml:space="preserve">stratégia de </w:t>
      </w:r>
      <w:r w:rsidR="00BC37F0">
        <w:rPr>
          <w:rFonts w:ascii="Tahoma" w:hAnsi="Tahoma" w:cs="Tahoma"/>
          <w:color w:val="000101"/>
          <w:sz w:val="19"/>
          <w:szCs w:val="19"/>
        </w:rPr>
        <w:t>l</w:t>
      </w:r>
      <w:r w:rsidRPr="00B610BD">
        <w:rPr>
          <w:rFonts w:ascii="Tahoma" w:hAnsi="Tahoma" w:cs="Tahoma"/>
          <w:color w:val="000101"/>
          <w:sz w:val="19"/>
          <w:szCs w:val="19"/>
        </w:rPr>
        <w:t xml:space="preserve">ongo </w:t>
      </w:r>
      <w:r w:rsidR="00BC37F0">
        <w:rPr>
          <w:rFonts w:ascii="Tahoma" w:hAnsi="Tahoma" w:cs="Tahoma"/>
          <w:color w:val="000101"/>
          <w:sz w:val="19"/>
          <w:szCs w:val="19"/>
        </w:rPr>
        <w:t>p</w:t>
      </w:r>
      <w:r w:rsidRPr="00B610BD">
        <w:rPr>
          <w:rFonts w:ascii="Tahoma" w:hAnsi="Tahoma" w:cs="Tahoma"/>
          <w:color w:val="000101"/>
          <w:sz w:val="19"/>
          <w:szCs w:val="19"/>
        </w:rPr>
        <w:t>razo para o próximo período de cinco anos. Dessa forma, em dezembro de 2022, definimos as diretrizes e os objetivos estratégicos para o período 2023-2027. Esses objetivos, desdobrados em indicadores e metas no Plano de Negócios 2023, nos permitiram avaliar trimestralmente o quanto nos aproximamos de alcançar os resultados desejados durante 2023.</w:t>
      </w:r>
    </w:p>
    <w:p w14:paraId="530F0864" w14:textId="29A2FBEC" w:rsidR="00CC3F7A" w:rsidRPr="00B610BD" w:rsidRDefault="00CC3F7A" w:rsidP="00254F4A">
      <w:pPr>
        <w:spacing w:before="120" w:after="120" w:line="360" w:lineRule="auto"/>
        <w:rPr>
          <w:rFonts w:ascii="Tahoma" w:hAnsi="Tahoma" w:cs="Tahoma"/>
          <w:color w:val="000101"/>
          <w:sz w:val="19"/>
          <w:szCs w:val="19"/>
        </w:rPr>
      </w:pPr>
      <w:r w:rsidRPr="00B610BD">
        <w:rPr>
          <w:rFonts w:ascii="Tahoma" w:hAnsi="Tahoma" w:cs="Tahoma"/>
          <w:color w:val="000101"/>
          <w:sz w:val="19"/>
          <w:szCs w:val="19"/>
        </w:rPr>
        <w:t>Ess</w:t>
      </w:r>
      <w:r w:rsidR="00714DE9">
        <w:rPr>
          <w:rFonts w:ascii="Tahoma" w:hAnsi="Tahoma" w:cs="Tahoma"/>
          <w:color w:val="000101"/>
          <w:sz w:val="19"/>
          <w:szCs w:val="19"/>
        </w:rPr>
        <w:t xml:space="preserve">a estratégia </w:t>
      </w:r>
      <w:r w:rsidRPr="00B610BD">
        <w:rPr>
          <w:rFonts w:ascii="Tahoma" w:hAnsi="Tahoma" w:cs="Tahoma"/>
          <w:color w:val="000101"/>
          <w:sz w:val="19"/>
          <w:szCs w:val="19"/>
        </w:rPr>
        <w:t xml:space="preserve">e </w:t>
      </w:r>
      <w:r w:rsidR="00714DE9">
        <w:rPr>
          <w:rFonts w:ascii="Tahoma" w:hAnsi="Tahoma" w:cs="Tahoma"/>
          <w:color w:val="000101"/>
          <w:sz w:val="19"/>
          <w:szCs w:val="19"/>
        </w:rPr>
        <w:t xml:space="preserve">um amplo </w:t>
      </w:r>
      <w:r w:rsidRPr="00B610BD">
        <w:rPr>
          <w:rFonts w:ascii="Tahoma" w:hAnsi="Tahoma" w:cs="Tahoma"/>
          <w:color w:val="000101"/>
          <w:sz w:val="19"/>
          <w:szCs w:val="19"/>
        </w:rPr>
        <w:t xml:space="preserve">conjunto de informações </w:t>
      </w:r>
      <w:r w:rsidR="00714DE9">
        <w:rPr>
          <w:rFonts w:ascii="Tahoma" w:hAnsi="Tahoma" w:cs="Tahoma"/>
          <w:color w:val="000101"/>
          <w:sz w:val="19"/>
          <w:szCs w:val="19"/>
        </w:rPr>
        <w:t>são</w:t>
      </w:r>
      <w:r w:rsidRPr="00B610BD">
        <w:rPr>
          <w:rFonts w:ascii="Tahoma" w:hAnsi="Tahoma" w:cs="Tahoma"/>
          <w:color w:val="000101"/>
          <w:sz w:val="19"/>
          <w:szCs w:val="19"/>
        </w:rPr>
        <w:t xml:space="preserve"> anualmente reunido</w:t>
      </w:r>
      <w:r w:rsidR="00714DE9">
        <w:rPr>
          <w:rFonts w:ascii="Tahoma" w:hAnsi="Tahoma" w:cs="Tahoma"/>
          <w:color w:val="000101"/>
          <w:sz w:val="19"/>
          <w:szCs w:val="19"/>
        </w:rPr>
        <w:t>s</w:t>
      </w:r>
      <w:r w:rsidRPr="00B610BD">
        <w:rPr>
          <w:rFonts w:ascii="Tahoma" w:hAnsi="Tahoma" w:cs="Tahoma"/>
          <w:color w:val="000101"/>
          <w:sz w:val="19"/>
          <w:szCs w:val="19"/>
        </w:rPr>
        <w:t xml:space="preserve"> em um documento institucional, a Estratégia de Longo Prazo e Plano de Negócios (ELPPN), aprovado por nossa Diretoria Executiva e por nosso Conselho de Administração. Uma Cartilha contendo as principais informações da ELPPN e o acompanhamento dos indicadores e metas</w:t>
      </w:r>
      <w:r w:rsidR="0057540A" w:rsidRPr="00B610BD">
        <w:rPr>
          <w:rFonts w:ascii="Tahoma" w:hAnsi="Tahoma" w:cs="Tahoma"/>
          <w:color w:val="000101"/>
          <w:sz w:val="19"/>
          <w:szCs w:val="19"/>
        </w:rPr>
        <w:t xml:space="preserve"> </w:t>
      </w:r>
      <w:r w:rsidRPr="00B610BD">
        <w:rPr>
          <w:rFonts w:ascii="Tahoma" w:hAnsi="Tahoma" w:cs="Tahoma"/>
          <w:color w:val="000101"/>
          <w:sz w:val="19"/>
          <w:szCs w:val="19"/>
        </w:rPr>
        <w:t xml:space="preserve">são publicados no nosso site em </w:t>
      </w:r>
      <w:hyperlink r:id="rId99" w:history="1">
        <w:r w:rsidR="00CD06F0" w:rsidRPr="00B610BD">
          <w:rPr>
            <w:rStyle w:val="Hyperlink"/>
            <w:rFonts w:ascii="Tahoma" w:hAnsi="Tahoma" w:cs="Tahoma"/>
            <w:sz w:val="19"/>
            <w:szCs w:val="19"/>
          </w:rPr>
          <w:t>http://www.finep.gov.br/transparencia-finep/objetivos-metas-e-resultados</w:t>
        </w:r>
      </w:hyperlink>
      <w:r w:rsidR="00CD06F0" w:rsidRPr="00B610BD">
        <w:rPr>
          <w:rFonts w:ascii="Tahoma" w:hAnsi="Tahoma" w:cs="Tahoma"/>
          <w:color w:val="000101"/>
          <w:sz w:val="19"/>
          <w:szCs w:val="19"/>
        </w:rPr>
        <w:t>.</w:t>
      </w:r>
    </w:p>
    <w:p w14:paraId="542AB3E4" w14:textId="7098D20B" w:rsidR="008D6688" w:rsidRPr="00B610BD" w:rsidRDefault="007B6E14" w:rsidP="00254F4A">
      <w:pPr>
        <w:spacing w:before="120" w:after="120" w:line="360" w:lineRule="auto"/>
        <w:rPr>
          <w:rFonts w:ascii="Tahoma" w:hAnsi="Tahoma" w:cs="Tahoma"/>
          <w:color w:val="000101"/>
          <w:sz w:val="19"/>
          <w:szCs w:val="19"/>
        </w:rPr>
      </w:pPr>
      <w:r w:rsidRPr="00B610BD">
        <w:rPr>
          <w:rFonts w:ascii="Tahoma" w:hAnsi="Tahoma" w:cs="Tahoma"/>
          <w:color w:val="000101"/>
          <w:sz w:val="19"/>
          <w:szCs w:val="19"/>
        </w:rPr>
        <w:t xml:space="preserve">Para o processo de atualização da ELPPN, levantamos um conjunto de riscos </w:t>
      </w:r>
      <w:r w:rsidR="00B32744">
        <w:rPr>
          <w:rFonts w:ascii="Tahoma" w:hAnsi="Tahoma" w:cs="Tahoma"/>
          <w:color w:val="000101"/>
          <w:sz w:val="19"/>
          <w:szCs w:val="19"/>
        </w:rPr>
        <w:t xml:space="preserve">e incertezas </w:t>
      </w:r>
      <w:r w:rsidRPr="00B610BD">
        <w:rPr>
          <w:rFonts w:ascii="Tahoma" w:hAnsi="Tahoma" w:cs="Tahoma"/>
          <w:color w:val="000101"/>
          <w:sz w:val="19"/>
          <w:szCs w:val="19"/>
        </w:rPr>
        <w:t xml:space="preserve">que têm o potencial de dificultar a atuação da organização no cumprimento de sua missão institucional e por isso devem ser mitigados, bem como de oportunidades a serem exploradas e aproveitadas no sentido de reforçar </w:t>
      </w:r>
      <w:r w:rsidR="00714DE9">
        <w:rPr>
          <w:rFonts w:ascii="Tahoma" w:hAnsi="Tahoma" w:cs="Tahoma"/>
          <w:color w:val="000101"/>
          <w:sz w:val="19"/>
          <w:szCs w:val="19"/>
        </w:rPr>
        <w:t>nossa</w:t>
      </w:r>
      <w:r w:rsidRPr="00B610BD">
        <w:rPr>
          <w:rFonts w:ascii="Tahoma" w:hAnsi="Tahoma" w:cs="Tahoma"/>
          <w:color w:val="000101"/>
          <w:sz w:val="19"/>
          <w:szCs w:val="19"/>
        </w:rPr>
        <w:t xml:space="preserve"> atuação.</w:t>
      </w:r>
    </w:p>
    <w:p w14:paraId="1DBA19B8" w14:textId="37605A70" w:rsidR="008D6688" w:rsidRDefault="007B6E14" w:rsidP="00254F4A">
      <w:pPr>
        <w:spacing w:before="120" w:after="120" w:line="360" w:lineRule="auto"/>
        <w:rPr>
          <w:rFonts w:ascii="Tahoma" w:hAnsi="Tahoma" w:cs="Tahoma"/>
          <w:color w:val="000101"/>
          <w:sz w:val="19"/>
          <w:szCs w:val="19"/>
        </w:rPr>
      </w:pPr>
      <w:r w:rsidRPr="00B610BD">
        <w:rPr>
          <w:rFonts w:ascii="Tahoma" w:hAnsi="Tahoma" w:cs="Tahoma"/>
          <w:color w:val="000101"/>
          <w:sz w:val="19"/>
          <w:szCs w:val="19"/>
        </w:rPr>
        <w:t xml:space="preserve">Os </w:t>
      </w:r>
      <w:r w:rsidRPr="00FF5A35">
        <w:rPr>
          <w:rFonts w:ascii="Tahoma" w:hAnsi="Tahoma" w:cs="Tahoma"/>
          <w:color w:val="0098BA"/>
          <w:sz w:val="19"/>
          <w:szCs w:val="19"/>
        </w:rPr>
        <w:t xml:space="preserve">riscos </w:t>
      </w:r>
      <w:r w:rsidR="00FF5A35" w:rsidRPr="00FF5A35">
        <w:rPr>
          <w:rFonts w:ascii="Tahoma" w:hAnsi="Tahoma" w:cs="Tahoma"/>
          <w:color w:val="0098BA"/>
          <w:sz w:val="19"/>
          <w:szCs w:val="19"/>
        </w:rPr>
        <w:t>estratégicos</w:t>
      </w:r>
      <w:r w:rsidR="00FF5A35">
        <w:rPr>
          <w:rFonts w:ascii="Tahoma" w:hAnsi="Tahoma" w:cs="Tahoma"/>
          <w:color w:val="000101"/>
          <w:sz w:val="19"/>
          <w:szCs w:val="19"/>
        </w:rPr>
        <w:t xml:space="preserve"> </w:t>
      </w:r>
      <w:r w:rsidRPr="00B610BD">
        <w:rPr>
          <w:rFonts w:ascii="Tahoma" w:hAnsi="Tahoma" w:cs="Tahoma"/>
          <w:color w:val="000101"/>
          <w:sz w:val="19"/>
          <w:szCs w:val="19"/>
        </w:rPr>
        <w:t>foram analisados em relação à probabilidade de ocorrência e à intensidade do impacto que podem causar, levando a uma previsão de seu nível de criticidade, de baixo a moderado (representado pelas cores que vão do verde ao vermelho). Essa análise contribui para a definição de ações a serem executadas no período da ELPPN voltadas à mitigação desses riscos.</w:t>
      </w:r>
    </w:p>
    <w:p w14:paraId="40935656" w14:textId="5031E6D8" w:rsidR="00B86919" w:rsidRDefault="00B86919" w:rsidP="00254F4A">
      <w:pPr>
        <w:spacing w:before="120" w:after="120" w:line="360" w:lineRule="auto"/>
        <w:rPr>
          <w:rFonts w:ascii="Tahoma" w:hAnsi="Tahoma" w:cs="Tahoma"/>
          <w:color w:val="000101"/>
          <w:sz w:val="19"/>
          <w:szCs w:val="19"/>
        </w:rPr>
      </w:pPr>
      <w:r>
        <w:rPr>
          <w:rFonts w:ascii="Tahoma" w:hAnsi="Tahoma" w:cs="Tahoma"/>
          <w:noProof/>
          <w:color w:val="000101"/>
          <w:sz w:val="19"/>
          <w:szCs w:val="19"/>
        </w:rPr>
        <w:drawing>
          <wp:inline distT="0" distB="0" distL="0" distR="0" wp14:anchorId="2571CA81" wp14:editId="2CA49E9D">
            <wp:extent cx="5795010" cy="3259455"/>
            <wp:effectExtent l="0" t="0" r="0" b="0"/>
            <wp:docPr id="2126795419" name="Imagem 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95419" name="Imagem 1" descr="Diagrama&#10;&#10;Descrição gerada automaticamente"/>
                    <pic:cNvPicPr/>
                  </pic:nvPicPr>
                  <pic:blipFill>
                    <a:blip r:embed="rId100">
                      <a:extLst>
                        <a:ext uri="{28A0092B-C50C-407E-A947-70E740481C1C}">
                          <a14:useLocalDpi xmlns:a14="http://schemas.microsoft.com/office/drawing/2010/main" val="0"/>
                        </a:ext>
                      </a:extLst>
                    </a:blip>
                    <a:stretch>
                      <a:fillRect/>
                    </a:stretch>
                  </pic:blipFill>
                  <pic:spPr>
                    <a:xfrm>
                      <a:off x="0" y="0"/>
                      <a:ext cx="5795010" cy="3259455"/>
                    </a:xfrm>
                    <a:prstGeom prst="rect">
                      <a:avLst/>
                    </a:prstGeom>
                  </pic:spPr>
                </pic:pic>
              </a:graphicData>
            </a:graphic>
          </wp:inline>
        </w:drawing>
      </w:r>
    </w:p>
    <w:p w14:paraId="6A4DBEAB" w14:textId="77777777" w:rsidR="00B86919" w:rsidRPr="00B610BD" w:rsidRDefault="00B86919" w:rsidP="00254F4A">
      <w:pPr>
        <w:spacing w:before="120" w:after="120" w:line="360" w:lineRule="auto"/>
        <w:rPr>
          <w:rFonts w:ascii="Tahoma" w:hAnsi="Tahoma" w:cs="Tahoma"/>
          <w:color w:val="000101"/>
          <w:sz w:val="19"/>
          <w:szCs w:val="19"/>
        </w:rPr>
      </w:pPr>
    </w:p>
    <w:p w14:paraId="0B964DC6" w14:textId="5AA2DB91" w:rsidR="008D6688" w:rsidRPr="00B610BD" w:rsidRDefault="007B6E14" w:rsidP="00254F4A">
      <w:pPr>
        <w:spacing w:before="120" w:after="120" w:line="360" w:lineRule="auto"/>
        <w:rPr>
          <w:rFonts w:ascii="Tahoma" w:hAnsi="Tahoma" w:cs="Tahoma"/>
          <w:color w:val="000101"/>
          <w:sz w:val="19"/>
          <w:szCs w:val="19"/>
        </w:rPr>
      </w:pPr>
      <w:r w:rsidRPr="00B610BD">
        <w:rPr>
          <w:rFonts w:ascii="Tahoma" w:hAnsi="Tahoma" w:cs="Tahoma"/>
          <w:color w:val="000101"/>
          <w:sz w:val="19"/>
          <w:szCs w:val="19"/>
        </w:rPr>
        <w:t xml:space="preserve">Na concepção da estratégia, além dos riscos, olhamos também para as </w:t>
      </w:r>
      <w:r w:rsidR="002C38C3" w:rsidRPr="00B610BD">
        <w:rPr>
          <w:rFonts w:ascii="Tahoma" w:hAnsi="Tahoma" w:cs="Tahoma"/>
          <w:color w:val="000101"/>
          <w:sz w:val="19"/>
          <w:szCs w:val="19"/>
        </w:rPr>
        <w:t xml:space="preserve">seguintes </w:t>
      </w:r>
      <w:r w:rsidRPr="00B610BD">
        <w:rPr>
          <w:rFonts w:ascii="Tahoma" w:hAnsi="Tahoma" w:cs="Tahoma"/>
          <w:color w:val="000101"/>
          <w:sz w:val="19"/>
          <w:szCs w:val="19"/>
        </w:rPr>
        <w:t xml:space="preserve">oportunidades que </w:t>
      </w:r>
      <w:r w:rsidR="002C38C3" w:rsidRPr="00B610BD">
        <w:rPr>
          <w:rFonts w:ascii="Tahoma" w:hAnsi="Tahoma" w:cs="Tahoma"/>
          <w:color w:val="000101"/>
          <w:sz w:val="19"/>
          <w:szCs w:val="19"/>
        </w:rPr>
        <w:t>foram levantadas ainda em final de 2022</w:t>
      </w:r>
      <w:r w:rsidRPr="00B610BD">
        <w:rPr>
          <w:rFonts w:ascii="Tahoma" w:hAnsi="Tahoma" w:cs="Tahoma"/>
          <w:color w:val="000101"/>
          <w:sz w:val="19"/>
          <w:szCs w:val="19"/>
        </w:rPr>
        <w:t>:</w:t>
      </w:r>
    </w:p>
    <w:p w14:paraId="783268DB" w14:textId="5C1F789E" w:rsidR="002C38C3" w:rsidRPr="00B610BD" w:rsidRDefault="002C38C3" w:rsidP="00254F4A">
      <w:pPr>
        <w:pStyle w:val="PargrafodaLista"/>
        <w:numPr>
          <w:ilvl w:val="0"/>
          <w:numId w:val="34"/>
        </w:numPr>
        <w:spacing w:before="120" w:after="120" w:line="360" w:lineRule="auto"/>
        <w:ind w:left="426" w:hanging="426"/>
        <w:rPr>
          <w:rFonts w:ascii="Tahoma" w:hAnsi="Tahoma" w:cs="Tahoma"/>
          <w:sz w:val="19"/>
          <w:szCs w:val="19"/>
        </w:rPr>
      </w:pPr>
      <w:r w:rsidRPr="00B610BD">
        <w:rPr>
          <w:rFonts w:ascii="Tahoma" w:hAnsi="Tahoma" w:cs="Tahoma"/>
          <w:sz w:val="19"/>
          <w:szCs w:val="19"/>
        </w:rPr>
        <w:lastRenderedPageBreak/>
        <w:t>O aumento da disponibilidade de recursos orçamentários do FNDCT e a mudança da taxa adotada para remuneração do Fundo de TJLP para TR, tornando nossas operações de crédito mais atrativas para empresas, sem utilização da equalização.</w:t>
      </w:r>
    </w:p>
    <w:p w14:paraId="40ED96B0" w14:textId="0B1BB773" w:rsidR="002C38C3" w:rsidRPr="00B610BD" w:rsidRDefault="002C38C3" w:rsidP="00254F4A">
      <w:pPr>
        <w:pStyle w:val="PargrafodaLista"/>
        <w:numPr>
          <w:ilvl w:val="0"/>
          <w:numId w:val="34"/>
        </w:numPr>
        <w:spacing w:before="120" w:after="120" w:line="360" w:lineRule="auto"/>
        <w:ind w:left="426" w:hanging="426"/>
        <w:rPr>
          <w:rFonts w:ascii="Tahoma" w:hAnsi="Tahoma" w:cs="Tahoma"/>
          <w:sz w:val="19"/>
          <w:szCs w:val="19"/>
        </w:rPr>
      </w:pPr>
      <w:r w:rsidRPr="00B610BD">
        <w:rPr>
          <w:rFonts w:ascii="Tahoma" w:hAnsi="Tahoma" w:cs="Tahoma"/>
          <w:sz w:val="19"/>
          <w:szCs w:val="19"/>
        </w:rPr>
        <w:t>A necessidade de investimentos em setores intensivos em tecnologia e/ou afetados pela disrupção digital gerando demandas de diversos setores por investimentos em logística 4.0, indústria 4.0 e tecnologias habilitadoras e pelo aumento da produtividade da economia brasileira.</w:t>
      </w:r>
    </w:p>
    <w:p w14:paraId="75BAC4F6" w14:textId="64181B16" w:rsidR="002C38C3" w:rsidRPr="00B610BD" w:rsidRDefault="002C38C3" w:rsidP="00254F4A">
      <w:pPr>
        <w:pStyle w:val="PargrafodaLista"/>
        <w:numPr>
          <w:ilvl w:val="0"/>
          <w:numId w:val="34"/>
        </w:numPr>
        <w:spacing w:before="120" w:after="120" w:line="360" w:lineRule="auto"/>
        <w:ind w:left="426" w:hanging="426"/>
        <w:rPr>
          <w:rFonts w:ascii="Tahoma" w:hAnsi="Tahoma" w:cs="Tahoma"/>
          <w:sz w:val="19"/>
          <w:szCs w:val="19"/>
        </w:rPr>
      </w:pPr>
      <w:r w:rsidRPr="00B610BD">
        <w:rPr>
          <w:rFonts w:ascii="Tahoma" w:hAnsi="Tahoma" w:cs="Tahoma"/>
          <w:sz w:val="19"/>
          <w:szCs w:val="19"/>
        </w:rPr>
        <w:t xml:space="preserve">A disponibilidade de tecnologias digitais, incluindo a inteligência artificial, que podem ser aplicadas </w:t>
      </w:r>
      <w:r w:rsidR="00616D0B" w:rsidRPr="00B610BD">
        <w:rPr>
          <w:rFonts w:ascii="Tahoma" w:hAnsi="Tahoma" w:cs="Tahoma"/>
          <w:sz w:val="19"/>
          <w:szCs w:val="19"/>
        </w:rPr>
        <w:t>à modernização de</w:t>
      </w:r>
      <w:r w:rsidRPr="00B610BD">
        <w:rPr>
          <w:rFonts w:ascii="Tahoma" w:hAnsi="Tahoma" w:cs="Tahoma"/>
          <w:sz w:val="19"/>
          <w:szCs w:val="19"/>
        </w:rPr>
        <w:t xml:space="preserve"> nossos produtos e serviços.</w:t>
      </w:r>
    </w:p>
    <w:p w14:paraId="19230835" w14:textId="03B31CDA" w:rsidR="002C38C3" w:rsidRPr="00B610BD" w:rsidRDefault="002C38C3" w:rsidP="00254F4A">
      <w:pPr>
        <w:pStyle w:val="PargrafodaLista"/>
        <w:numPr>
          <w:ilvl w:val="0"/>
          <w:numId w:val="34"/>
        </w:numPr>
        <w:spacing w:before="120" w:after="120" w:line="360" w:lineRule="auto"/>
        <w:ind w:left="426" w:hanging="426"/>
        <w:rPr>
          <w:rFonts w:ascii="Tahoma" w:hAnsi="Tahoma" w:cs="Tahoma"/>
          <w:sz w:val="19"/>
          <w:szCs w:val="19"/>
        </w:rPr>
      </w:pPr>
      <w:r w:rsidRPr="00B610BD">
        <w:rPr>
          <w:rFonts w:ascii="Tahoma" w:hAnsi="Tahoma" w:cs="Tahoma"/>
          <w:sz w:val="19"/>
          <w:szCs w:val="19"/>
        </w:rPr>
        <w:t xml:space="preserve">A </w:t>
      </w:r>
      <w:r w:rsidR="00616D0B" w:rsidRPr="00B610BD">
        <w:rPr>
          <w:rFonts w:ascii="Tahoma" w:hAnsi="Tahoma" w:cs="Tahoma"/>
          <w:sz w:val="19"/>
          <w:szCs w:val="19"/>
        </w:rPr>
        <w:t>continuidade da inovação como solução prioritária para as</w:t>
      </w:r>
      <w:r w:rsidRPr="00B610BD">
        <w:rPr>
          <w:rFonts w:ascii="Tahoma" w:hAnsi="Tahoma" w:cs="Tahoma"/>
          <w:sz w:val="19"/>
          <w:szCs w:val="19"/>
        </w:rPr>
        <w:t xml:space="preserve"> crises econômica e social </w:t>
      </w:r>
      <w:r w:rsidR="00616D0B" w:rsidRPr="00B610BD">
        <w:rPr>
          <w:rFonts w:ascii="Tahoma" w:hAnsi="Tahoma" w:cs="Tahoma"/>
          <w:sz w:val="19"/>
          <w:szCs w:val="19"/>
        </w:rPr>
        <w:t>e d</w:t>
      </w:r>
      <w:r w:rsidRPr="00B610BD">
        <w:rPr>
          <w:rFonts w:ascii="Tahoma" w:hAnsi="Tahoma" w:cs="Tahoma"/>
          <w:sz w:val="19"/>
          <w:szCs w:val="19"/>
        </w:rPr>
        <w:t>a conscientização global sobre a importância de CT&amp;I como crucial ao desenvolvimento econômico sustentável</w:t>
      </w:r>
      <w:r w:rsidR="00616D0B" w:rsidRPr="00B610BD">
        <w:rPr>
          <w:rFonts w:ascii="Tahoma" w:hAnsi="Tahoma" w:cs="Tahoma"/>
          <w:sz w:val="19"/>
          <w:szCs w:val="19"/>
        </w:rPr>
        <w:t>, com</w:t>
      </w:r>
      <w:r w:rsidRPr="00B610BD">
        <w:rPr>
          <w:rFonts w:ascii="Tahoma" w:hAnsi="Tahoma" w:cs="Tahoma"/>
          <w:sz w:val="19"/>
          <w:szCs w:val="19"/>
        </w:rPr>
        <w:t xml:space="preserve"> avanços sociais.</w:t>
      </w:r>
    </w:p>
    <w:p w14:paraId="46BD56EA" w14:textId="553A4277" w:rsidR="00714DE9" w:rsidRPr="008B4E86" w:rsidRDefault="00616D0B" w:rsidP="00254F4A">
      <w:pPr>
        <w:pStyle w:val="PargrafodaLista"/>
        <w:numPr>
          <w:ilvl w:val="0"/>
          <w:numId w:val="34"/>
        </w:numPr>
        <w:spacing w:before="120" w:after="120" w:line="360" w:lineRule="auto"/>
        <w:ind w:left="426" w:hanging="426"/>
        <w:rPr>
          <w:rFonts w:ascii="Tahoma" w:hAnsi="Tahoma" w:cs="Tahoma"/>
          <w:sz w:val="19"/>
          <w:szCs w:val="19"/>
        </w:rPr>
      </w:pPr>
      <w:r w:rsidRPr="008B4E86">
        <w:rPr>
          <w:rFonts w:ascii="Tahoma" w:hAnsi="Tahoma" w:cs="Tahoma"/>
          <w:sz w:val="19"/>
          <w:szCs w:val="19"/>
        </w:rPr>
        <w:t>O potencial para o crescimento das</w:t>
      </w:r>
      <w:r w:rsidR="002C38C3" w:rsidRPr="008B4E86">
        <w:rPr>
          <w:rFonts w:ascii="Tahoma" w:hAnsi="Tahoma" w:cs="Tahoma"/>
          <w:sz w:val="19"/>
          <w:szCs w:val="19"/>
        </w:rPr>
        <w:t xml:space="preserve"> parcerias </w:t>
      </w:r>
      <w:r w:rsidRPr="008B4E86">
        <w:rPr>
          <w:rFonts w:ascii="Tahoma" w:hAnsi="Tahoma" w:cs="Tahoma"/>
          <w:sz w:val="19"/>
          <w:szCs w:val="19"/>
        </w:rPr>
        <w:t xml:space="preserve">institucionais </w:t>
      </w:r>
      <w:r w:rsidR="002C38C3" w:rsidRPr="008B4E86">
        <w:rPr>
          <w:rFonts w:ascii="Tahoma" w:hAnsi="Tahoma" w:cs="Tahoma"/>
          <w:sz w:val="19"/>
          <w:szCs w:val="19"/>
        </w:rPr>
        <w:t xml:space="preserve">e </w:t>
      </w:r>
      <w:r w:rsidRPr="008B4E86">
        <w:rPr>
          <w:rFonts w:ascii="Tahoma" w:hAnsi="Tahoma" w:cs="Tahoma"/>
          <w:sz w:val="19"/>
          <w:szCs w:val="19"/>
        </w:rPr>
        <w:t xml:space="preserve">da </w:t>
      </w:r>
      <w:r w:rsidR="002C38C3" w:rsidRPr="008B4E86">
        <w:rPr>
          <w:rFonts w:ascii="Tahoma" w:hAnsi="Tahoma" w:cs="Tahoma"/>
          <w:sz w:val="19"/>
          <w:szCs w:val="19"/>
        </w:rPr>
        <w:t xml:space="preserve">colaboração com outras agências de fomento </w:t>
      </w:r>
      <w:r w:rsidRPr="008B4E86">
        <w:rPr>
          <w:rFonts w:ascii="Tahoma" w:hAnsi="Tahoma" w:cs="Tahoma"/>
          <w:sz w:val="19"/>
          <w:szCs w:val="19"/>
        </w:rPr>
        <w:t>gerando</w:t>
      </w:r>
      <w:r w:rsidR="002C38C3" w:rsidRPr="008B4E86">
        <w:rPr>
          <w:rFonts w:ascii="Tahoma" w:hAnsi="Tahoma" w:cs="Tahoma"/>
          <w:sz w:val="19"/>
          <w:szCs w:val="19"/>
        </w:rPr>
        <w:t xml:space="preserve"> maior integração e cooperação para </w:t>
      </w:r>
      <w:r w:rsidRPr="008B4E86">
        <w:rPr>
          <w:rFonts w:ascii="Tahoma" w:hAnsi="Tahoma" w:cs="Tahoma"/>
          <w:sz w:val="19"/>
          <w:szCs w:val="19"/>
        </w:rPr>
        <w:t xml:space="preserve">o </w:t>
      </w:r>
      <w:r w:rsidR="002C38C3" w:rsidRPr="008B4E86">
        <w:rPr>
          <w:rFonts w:ascii="Tahoma" w:hAnsi="Tahoma" w:cs="Tahoma"/>
          <w:sz w:val="19"/>
          <w:szCs w:val="19"/>
        </w:rPr>
        <w:t>desenvolvimento, inclui</w:t>
      </w:r>
      <w:r w:rsidRPr="008B4E86">
        <w:rPr>
          <w:rFonts w:ascii="Tahoma" w:hAnsi="Tahoma" w:cs="Tahoma"/>
          <w:sz w:val="19"/>
          <w:szCs w:val="19"/>
        </w:rPr>
        <w:t>ndo as ações que fomentam a cooperação</w:t>
      </w:r>
      <w:r w:rsidR="002C38C3" w:rsidRPr="008B4E86">
        <w:rPr>
          <w:rFonts w:ascii="Tahoma" w:hAnsi="Tahoma" w:cs="Tahoma"/>
          <w:sz w:val="19"/>
          <w:szCs w:val="19"/>
        </w:rPr>
        <w:t xml:space="preserve"> ICT-Empresa, </w:t>
      </w:r>
      <w:r w:rsidRPr="008B4E86">
        <w:rPr>
          <w:rFonts w:ascii="Tahoma" w:hAnsi="Tahoma" w:cs="Tahoma"/>
          <w:sz w:val="19"/>
          <w:szCs w:val="19"/>
        </w:rPr>
        <w:t xml:space="preserve">a </w:t>
      </w:r>
      <w:r w:rsidR="002C38C3" w:rsidRPr="008B4E86">
        <w:rPr>
          <w:rFonts w:ascii="Tahoma" w:hAnsi="Tahoma" w:cs="Tahoma"/>
          <w:sz w:val="19"/>
          <w:szCs w:val="19"/>
        </w:rPr>
        <w:t xml:space="preserve">integração de entidades setoriais, </w:t>
      </w:r>
      <w:r w:rsidRPr="008B4E86">
        <w:rPr>
          <w:rFonts w:ascii="Tahoma" w:hAnsi="Tahoma" w:cs="Tahoma"/>
          <w:sz w:val="19"/>
          <w:szCs w:val="19"/>
        </w:rPr>
        <w:t xml:space="preserve">e o </w:t>
      </w:r>
      <w:r w:rsidR="002C38C3" w:rsidRPr="008B4E86">
        <w:rPr>
          <w:rFonts w:ascii="Tahoma" w:hAnsi="Tahoma" w:cs="Tahoma"/>
          <w:sz w:val="19"/>
          <w:szCs w:val="19"/>
        </w:rPr>
        <w:t xml:space="preserve">incentivo à formação de startups e </w:t>
      </w:r>
      <w:r w:rsidRPr="008B4E86">
        <w:rPr>
          <w:rFonts w:ascii="Tahoma" w:hAnsi="Tahoma" w:cs="Tahoma"/>
          <w:sz w:val="19"/>
          <w:szCs w:val="19"/>
        </w:rPr>
        <w:t xml:space="preserve">ao </w:t>
      </w:r>
      <w:r w:rsidR="002C38C3" w:rsidRPr="008B4E86">
        <w:rPr>
          <w:rFonts w:ascii="Tahoma" w:hAnsi="Tahoma" w:cs="Tahoma"/>
          <w:sz w:val="19"/>
          <w:szCs w:val="19"/>
        </w:rPr>
        <w:t>empreendedorismo.</w:t>
      </w:r>
    </w:p>
    <w:p w14:paraId="19076738" w14:textId="0232FC55" w:rsidR="00CC3F7A" w:rsidRPr="00B610BD" w:rsidRDefault="00616D0B" w:rsidP="00254F4A">
      <w:pPr>
        <w:pStyle w:val="PargrafodaLista"/>
        <w:numPr>
          <w:ilvl w:val="0"/>
          <w:numId w:val="34"/>
        </w:numPr>
        <w:spacing w:before="120" w:after="120" w:line="360" w:lineRule="auto"/>
        <w:ind w:left="426" w:hanging="426"/>
        <w:rPr>
          <w:rFonts w:ascii="Tahoma" w:hAnsi="Tahoma" w:cs="Tahoma"/>
          <w:sz w:val="19"/>
          <w:szCs w:val="19"/>
        </w:rPr>
      </w:pPr>
      <w:r w:rsidRPr="00B610BD">
        <w:rPr>
          <w:rFonts w:ascii="Tahoma" w:hAnsi="Tahoma" w:cs="Tahoma"/>
          <w:sz w:val="19"/>
          <w:szCs w:val="19"/>
        </w:rPr>
        <w:t>Nossa</w:t>
      </w:r>
      <w:r w:rsidR="002C38C3" w:rsidRPr="00B610BD">
        <w:rPr>
          <w:rFonts w:ascii="Tahoma" w:hAnsi="Tahoma" w:cs="Tahoma"/>
          <w:sz w:val="19"/>
          <w:szCs w:val="19"/>
        </w:rPr>
        <w:t xml:space="preserve"> reputação</w:t>
      </w:r>
      <w:r w:rsidRPr="00B610BD">
        <w:rPr>
          <w:rFonts w:ascii="Tahoma" w:hAnsi="Tahoma" w:cs="Tahoma"/>
          <w:sz w:val="19"/>
          <w:szCs w:val="19"/>
        </w:rPr>
        <w:t xml:space="preserve"> e a </w:t>
      </w:r>
      <w:r w:rsidR="002C38C3" w:rsidRPr="00B610BD">
        <w:rPr>
          <w:rFonts w:ascii="Tahoma" w:hAnsi="Tahoma" w:cs="Tahoma"/>
          <w:sz w:val="19"/>
          <w:szCs w:val="19"/>
        </w:rPr>
        <w:t>imagem positiva</w:t>
      </w:r>
      <w:r w:rsidRPr="00B610BD">
        <w:rPr>
          <w:rFonts w:ascii="Tahoma" w:hAnsi="Tahoma" w:cs="Tahoma"/>
          <w:sz w:val="19"/>
          <w:szCs w:val="19"/>
        </w:rPr>
        <w:t>s</w:t>
      </w:r>
      <w:r w:rsidR="002C38C3" w:rsidRPr="00B610BD">
        <w:rPr>
          <w:rFonts w:ascii="Tahoma" w:hAnsi="Tahoma" w:cs="Tahoma"/>
          <w:sz w:val="19"/>
          <w:szCs w:val="19"/>
        </w:rPr>
        <w:t xml:space="preserve"> </w:t>
      </w:r>
      <w:r w:rsidRPr="00B610BD">
        <w:rPr>
          <w:rFonts w:ascii="Tahoma" w:hAnsi="Tahoma" w:cs="Tahoma"/>
          <w:sz w:val="19"/>
          <w:szCs w:val="19"/>
        </w:rPr>
        <w:t>e o reconhecimento do tema inovação, estimulando a propensão de</w:t>
      </w:r>
      <w:r w:rsidR="002C38C3" w:rsidRPr="00B610BD">
        <w:rPr>
          <w:rFonts w:ascii="Tahoma" w:hAnsi="Tahoma" w:cs="Tahoma"/>
          <w:sz w:val="19"/>
          <w:szCs w:val="19"/>
        </w:rPr>
        <w:t xml:space="preserve"> atores externos a estabelecer parcerias</w:t>
      </w:r>
      <w:r w:rsidRPr="00B610BD">
        <w:rPr>
          <w:rFonts w:ascii="Tahoma" w:hAnsi="Tahoma" w:cs="Tahoma"/>
          <w:sz w:val="19"/>
          <w:szCs w:val="19"/>
        </w:rPr>
        <w:t xml:space="preserve"> conosco, </w:t>
      </w:r>
      <w:r w:rsidR="002C38C3" w:rsidRPr="00B610BD">
        <w:rPr>
          <w:rFonts w:ascii="Tahoma" w:hAnsi="Tahoma" w:cs="Tahoma"/>
          <w:sz w:val="19"/>
          <w:szCs w:val="19"/>
        </w:rPr>
        <w:t xml:space="preserve">além de oportunidades </w:t>
      </w:r>
      <w:r w:rsidRPr="00B610BD">
        <w:rPr>
          <w:rFonts w:ascii="Tahoma" w:hAnsi="Tahoma" w:cs="Tahoma"/>
          <w:sz w:val="19"/>
          <w:szCs w:val="19"/>
        </w:rPr>
        <w:t>para atuar na</w:t>
      </w:r>
      <w:r w:rsidR="002C38C3" w:rsidRPr="00B610BD">
        <w:rPr>
          <w:rFonts w:ascii="Tahoma" w:hAnsi="Tahoma" w:cs="Tahoma"/>
          <w:sz w:val="19"/>
          <w:szCs w:val="19"/>
        </w:rPr>
        <w:t xml:space="preserve"> operacionalização de recursos de </w:t>
      </w:r>
      <w:r w:rsidRPr="00B610BD">
        <w:rPr>
          <w:rFonts w:ascii="Tahoma" w:hAnsi="Tahoma" w:cs="Tahoma"/>
          <w:sz w:val="19"/>
          <w:szCs w:val="19"/>
        </w:rPr>
        <w:t>outras instituições</w:t>
      </w:r>
      <w:r w:rsidR="002C38C3" w:rsidRPr="00B610BD">
        <w:rPr>
          <w:rFonts w:ascii="Tahoma" w:hAnsi="Tahoma" w:cs="Tahoma"/>
          <w:sz w:val="19"/>
          <w:szCs w:val="19"/>
        </w:rPr>
        <w:t>.</w:t>
      </w:r>
    </w:p>
    <w:p w14:paraId="0E4D9399" w14:textId="77777777" w:rsidR="00CC3F7A" w:rsidRPr="00B610BD" w:rsidRDefault="00CC3F7A" w:rsidP="008D56EF">
      <w:pPr>
        <w:spacing w:before="120" w:after="120" w:line="360" w:lineRule="auto"/>
        <w:rPr>
          <w:rFonts w:ascii="Tahoma" w:hAnsi="Tahoma" w:cs="Tahoma"/>
          <w:sz w:val="19"/>
          <w:szCs w:val="19"/>
        </w:rPr>
      </w:pPr>
    </w:p>
    <w:p w14:paraId="08F2764F" w14:textId="3D1D648A" w:rsidR="00AF6482" w:rsidRPr="00A075A1" w:rsidRDefault="00AF6482" w:rsidP="00AF6482">
      <w:pPr>
        <w:pStyle w:val="Ttulo2"/>
        <w:spacing w:before="0" w:after="120" w:line="360" w:lineRule="auto"/>
        <w:ind w:left="862" w:hanging="578"/>
        <w:rPr>
          <w:rFonts w:ascii="Tahoma" w:hAnsi="Tahoma" w:cs="Tahoma"/>
          <w:color w:val="0098BA"/>
          <w:sz w:val="24"/>
          <w:szCs w:val="24"/>
        </w:rPr>
      </w:pPr>
      <w:bookmarkStart w:id="44" w:name="_Toc93683638"/>
      <w:bookmarkStart w:id="45" w:name="_Toc94256477"/>
      <w:bookmarkStart w:id="46" w:name="_Toc94278202"/>
      <w:bookmarkStart w:id="47" w:name="_Toc97244809"/>
      <w:bookmarkStart w:id="48" w:name="_Toc105003797"/>
      <w:bookmarkStart w:id="49" w:name="_Toc105006480"/>
      <w:bookmarkStart w:id="50" w:name="_Toc131692253"/>
      <w:bookmarkStart w:id="51" w:name="_Toc163025247"/>
      <w:bookmarkStart w:id="52" w:name="_Toc162512584"/>
      <w:bookmarkStart w:id="53" w:name="_Hlk162881751"/>
      <w:bookmarkEnd w:id="43"/>
      <w:r w:rsidRPr="00A075A1">
        <w:rPr>
          <w:rFonts w:ascii="Tahoma" w:hAnsi="Tahoma" w:cs="Tahoma"/>
          <w:color w:val="0098BA"/>
          <w:sz w:val="24"/>
          <w:szCs w:val="24"/>
        </w:rPr>
        <w:t>Nossa estratégia</w:t>
      </w:r>
      <w:bookmarkEnd w:id="44"/>
      <w:bookmarkEnd w:id="45"/>
      <w:bookmarkEnd w:id="46"/>
      <w:bookmarkEnd w:id="47"/>
      <w:bookmarkEnd w:id="48"/>
      <w:bookmarkEnd w:id="49"/>
      <w:r w:rsidRPr="00A075A1">
        <w:rPr>
          <w:rFonts w:ascii="Tahoma" w:hAnsi="Tahoma" w:cs="Tahoma"/>
          <w:color w:val="0098BA"/>
          <w:sz w:val="24"/>
          <w:szCs w:val="24"/>
        </w:rPr>
        <w:t xml:space="preserve"> e os resultados alcançados</w:t>
      </w:r>
      <w:bookmarkEnd w:id="50"/>
      <w:bookmarkEnd w:id="51"/>
      <w:bookmarkEnd w:id="52"/>
    </w:p>
    <w:p w14:paraId="5112E8AB" w14:textId="6CB4B8E8" w:rsidR="00AC478F" w:rsidRDefault="00A075A1" w:rsidP="00AF6482">
      <w:pPr>
        <w:spacing w:before="120" w:after="120" w:line="360" w:lineRule="auto"/>
        <w:rPr>
          <w:rFonts w:ascii="Tahoma" w:hAnsi="Tahoma" w:cs="Tahoma"/>
          <w:sz w:val="19"/>
          <w:szCs w:val="19"/>
        </w:rPr>
      </w:pPr>
      <w:r w:rsidRPr="00A075A1">
        <w:rPr>
          <w:rFonts w:ascii="Tahoma" w:hAnsi="Tahoma" w:cs="Tahoma"/>
          <w:noProof/>
          <w:color w:val="0098BA"/>
        </w:rPr>
        <w:drawing>
          <wp:anchor distT="0" distB="0" distL="114300" distR="114300" simplePos="0" relativeHeight="251811840" behindDoc="0" locked="0" layoutInCell="1" allowOverlap="1" wp14:anchorId="07D1A062" wp14:editId="3FE84558">
            <wp:simplePos x="0" y="0"/>
            <wp:positionH relativeFrom="column">
              <wp:posOffset>4946650</wp:posOffset>
            </wp:positionH>
            <wp:positionV relativeFrom="paragraph">
              <wp:posOffset>37465</wp:posOffset>
            </wp:positionV>
            <wp:extent cx="880745" cy="1276985"/>
            <wp:effectExtent l="0" t="0" r="0" b="0"/>
            <wp:wrapSquare wrapText="bothSides"/>
            <wp:docPr id="1088962999" name="Imagem 1"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62999" name="Imagem 1" descr="Uma imagem contendo Texto&#10;&#10;Descrição gerada automaticament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80745" cy="1276985"/>
                    </a:xfrm>
                    <a:prstGeom prst="rect">
                      <a:avLst/>
                    </a:prstGeom>
                  </pic:spPr>
                </pic:pic>
              </a:graphicData>
            </a:graphic>
            <wp14:sizeRelH relativeFrom="margin">
              <wp14:pctWidth>0</wp14:pctWidth>
            </wp14:sizeRelH>
            <wp14:sizeRelV relativeFrom="margin">
              <wp14:pctHeight>0</wp14:pctHeight>
            </wp14:sizeRelV>
          </wp:anchor>
        </w:drawing>
      </w:r>
      <w:r w:rsidR="00AF6482" w:rsidRPr="00A075A1">
        <w:rPr>
          <w:rFonts w:ascii="Tahoma" w:hAnsi="Tahoma" w:cs="Tahoma"/>
          <w:sz w:val="19"/>
          <w:szCs w:val="19"/>
        </w:rPr>
        <w:t>Nossos objetivos estratégicos para o exercício de 2023 foram organizados em quatro grandes perspectivas: Resultados institucionais, Processos internos, Recursos e Competências e Perspectivas financeiras. Dentro delas foram distribuídos dez objetivos estratégicos, que se articula</w:t>
      </w:r>
      <w:r w:rsidR="00C72101" w:rsidRPr="00A075A1">
        <w:rPr>
          <w:rFonts w:ascii="Tahoma" w:hAnsi="Tahoma" w:cs="Tahoma"/>
          <w:sz w:val="19"/>
          <w:szCs w:val="19"/>
        </w:rPr>
        <w:t>ra</w:t>
      </w:r>
      <w:r w:rsidR="00AF6482" w:rsidRPr="00A075A1">
        <w:rPr>
          <w:rFonts w:ascii="Tahoma" w:hAnsi="Tahoma" w:cs="Tahoma"/>
          <w:sz w:val="19"/>
          <w:szCs w:val="19"/>
        </w:rPr>
        <w:t>m com foco na geração de valor público para a sociedade.</w:t>
      </w:r>
    </w:p>
    <w:p w14:paraId="655B53DA" w14:textId="0DD20DE3" w:rsidR="00AC478F" w:rsidRDefault="004D6173" w:rsidP="00427D8A">
      <w:pPr>
        <w:spacing w:before="120" w:after="120" w:line="360" w:lineRule="auto"/>
        <w:rPr>
          <w:rFonts w:ascii="Tahoma" w:hAnsi="Tahoma" w:cs="Tahoma"/>
          <w:sz w:val="19"/>
          <w:szCs w:val="19"/>
        </w:rPr>
      </w:pPr>
      <w:r>
        <w:rPr>
          <w:rFonts w:ascii="Tahoma" w:hAnsi="Tahoma" w:cs="Tahoma"/>
          <w:sz w:val="19"/>
          <w:szCs w:val="19"/>
        </w:rPr>
        <w:t xml:space="preserve">A responsabilidade pela definição, execução e pelo acompanhamento do alcance desses objetivos é da Diretoria Executiva da Finep. Nosso Conselho de Administração </w:t>
      </w:r>
      <w:r w:rsidR="00427D8A">
        <w:rPr>
          <w:rFonts w:ascii="Tahoma" w:hAnsi="Tahoma" w:cs="Tahoma"/>
          <w:sz w:val="19"/>
          <w:szCs w:val="19"/>
        </w:rPr>
        <w:t xml:space="preserve">atua na discussão e deliberação sobre a estratégia, acompanhando trimestralmente seus resultados e publicando anualmente </w:t>
      </w:r>
      <w:r w:rsidR="00716D07">
        <w:rPr>
          <w:rFonts w:ascii="Tahoma" w:hAnsi="Tahoma" w:cs="Tahoma"/>
          <w:sz w:val="19"/>
          <w:szCs w:val="19"/>
        </w:rPr>
        <w:t xml:space="preserve">no site da Finep </w:t>
      </w:r>
      <w:r w:rsidR="00427D8A">
        <w:rPr>
          <w:rFonts w:ascii="Tahoma" w:hAnsi="Tahoma" w:cs="Tahoma"/>
          <w:sz w:val="19"/>
          <w:szCs w:val="19"/>
        </w:rPr>
        <w:t xml:space="preserve">um </w:t>
      </w:r>
      <w:r w:rsidR="00427D8A" w:rsidRPr="00427D8A">
        <w:rPr>
          <w:rFonts w:ascii="Tahoma" w:hAnsi="Tahoma" w:cs="Tahoma"/>
          <w:sz w:val="19"/>
          <w:szCs w:val="19"/>
        </w:rPr>
        <w:t>R</w:t>
      </w:r>
      <w:r w:rsidR="00427D8A">
        <w:rPr>
          <w:rFonts w:ascii="Tahoma" w:hAnsi="Tahoma" w:cs="Tahoma"/>
          <w:sz w:val="19"/>
          <w:szCs w:val="19"/>
        </w:rPr>
        <w:t xml:space="preserve">elatório de Análise de Atendimento das Metas e Resultados na execução do Plano de Negócios e da Estratégia de Longo Prazo, em </w:t>
      </w:r>
      <w:hyperlink r:id="rId102" w:history="1">
        <w:r w:rsidR="00427D8A" w:rsidRPr="00CC238C">
          <w:rPr>
            <w:rStyle w:val="Hyperlink"/>
            <w:rFonts w:ascii="Tahoma" w:hAnsi="Tahoma" w:cs="Tahoma"/>
            <w:sz w:val="19"/>
            <w:szCs w:val="19"/>
          </w:rPr>
          <w:t>http://www.finep.gov.br/a-finep-externo/governanca/conselho-de-administracao-ca/conselho-de-administracao</w:t>
        </w:r>
      </w:hyperlink>
      <w:r w:rsidR="00427D8A">
        <w:rPr>
          <w:rFonts w:ascii="Tahoma" w:hAnsi="Tahoma" w:cs="Tahoma"/>
          <w:sz w:val="19"/>
          <w:szCs w:val="19"/>
        </w:rPr>
        <w:t>.</w:t>
      </w:r>
    </w:p>
    <w:p w14:paraId="063C20B2" w14:textId="5D74CFF8" w:rsidR="00AF6482" w:rsidRPr="00A075A1" w:rsidRDefault="00AF6482" w:rsidP="00AF6482">
      <w:pPr>
        <w:spacing w:before="120" w:after="120" w:line="360" w:lineRule="auto"/>
        <w:rPr>
          <w:rFonts w:ascii="Tahoma" w:hAnsi="Tahoma" w:cs="Tahoma"/>
          <w:sz w:val="19"/>
          <w:szCs w:val="19"/>
        </w:rPr>
      </w:pPr>
      <w:r w:rsidRPr="00A075A1">
        <w:rPr>
          <w:rFonts w:ascii="Tahoma" w:hAnsi="Tahoma" w:cs="Tahoma"/>
          <w:sz w:val="19"/>
          <w:szCs w:val="19"/>
        </w:rPr>
        <w:t xml:space="preserve">Os objetivos estratégicos, indicadores, metas e iniciativas priorizadas </w:t>
      </w:r>
      <w:r w:rsidR="00CE268E" w:rsidRPr="00A075A1">
        <w:rPr>
          <w:rFonts w:ascii="Tahoma" w:hAnsi="Tahoma" w:cs="Tahoma"/>
          <w:sz w:val="19"/>
          <w:szCs w:val="19"/>
        </w:rPr>
        <w:t>foram</w:t>
      </w:r>
      <w:r w:rsidRPr="00A075A1">
        <w:rPr>
          <w:rFonts w:ascii="Tahoma" w:hAnsi="Tahoma" w:cs="Tahoma"/>
          <w:sz w:val="19"/>
          <w:szCs w:val="19"/>
        </w:rPr>
        <w:t xml:space="preserve"> publicados na </w:t>
      </w:r>
      <w:hyperlink r:id="rId103" w:history="1">
        <w:r w:rsidRPr="00A075A1">
          <w:rPr>
            <w:rStyle w:val="Hyperlink"/>
            <w:rFonts w:ascii="Tahoma" w:hAnsi="Tahoma" w:cs="Tahoma"/>
            <w:sz w:val="19"/>
            <w:szCs w:val="19"/>
          </w:rPr>
          <w:t>Cartilha da ELPPN</w:t>
        </w:r>
        <w:r w:rsidR="00A075A1" w:rsidRPr="00A075A1">
          <w:rPr>
            <w:rStyle w:val="Hyperlink"/>
            <w:rFonts w:ascii="Tahoma" w:hAnsi="Tahoma" w:cs="Tahoma"/>
            <w:sz w:val="19"/>
            <w:szCs w:val="19"/>
          </w:rPr>
          <w:t xml:space="preserve"> 20</w:t>
        </w:r>
        <w:r w:rsidRPr="00A075A1">
          <w:rPr>
            <w:rStyle w:val="Hyperlink"/>
            <w:rFonts w:ascii="Tahoma" w:hAnsi="Tahoma" w:cs="Tahoma"/>
            <w:sz w:val="19"/>
            <w:szCs w:val="19"/>
          </w:rPr>
          <w:t>23</w:t>
        </w:r>
      </w:hyperlink>
      <w:r w:rsidRPr="00A075A1">
        <w:rPr>
          <w:rFonts w:ascii="Tahoma" w:hAnsi="Tahoma" w:cs="Tahoma"/>
          <w:sz w:val="19"/>
          <w:szCs w:val="19"/>
        </w:rPr>
        <w:t>.</w:t>
      </w:r>
    </w:p>
    <w:p w14:paraId="2A7A8258" w14:textId="7BB89348" w:rsidR="00A075A1" w:rsidRDefault="00A075A1" w:rsidP="00AF6482">
      <w:pPr>
        <w:spacing w:before="120" w:after="120" w:line="360" w:lineRule="auto"/>
        <w:textAlignment w:val="baseline"/>
        <w:rPr>
          <w:rFonts w:asciiTheme="majorHAnsi" w:hAnsiTheme="majorHAnsi" w:cstheme="majorHAnsi"/>
          <w:sz w:val="22"/>
          <w:szCs w:val="22"/>
        </w:rPr>
      </w:pPr>
    </w:p>
    <w:p w14:paraId="40BF9196" w14:textId="73FC0BA4" w:rsidR="00427D8A" w:rsidRDefault="00427D8A" w:rsidP="00AF6482">
      <w:pPr>
        <w:spacing w:before="120" w:after="120" w:line="360" w:lineRule="auto"/>
        <w:textAlignment w:val="baseline"/>
        <w:rPr>
          <w:rFonts w:asciiTheme="majorHAnsi" w:hAnsiTheme="majorHAnsi" w:cstheme="majorHAnsi"/>
          <w:sz w:val="22"/>
          <w:szCs w:val="22"/>
        </w:rPr>
      </w:pPr>
      <w:r w:rsidRPr="00427D8A">
        <w:rPr>
          <w:rFonts w:asciiTheme="majorHAnsi" w:hAnsiTheme="majorHAnsi" w:cstheme="majorHAnsi"/>
          <w:noProof/>
          <w:sz w:val="22"/>
          <w:szCs w:val="22"/>
        </w:rPr>
        <w:lastRenderedPageBreak/>
        <w:drawing>
          <wp:inline distT="0" distB="0" distL="0" distR="0" wp14:anchorId="2757867E" wp14:editId="5AAF8A50">
            <wp:extent cx="5795010" cy="4059652"/>
            <wp:effectExtent l="0" t="0" r="0" b="0"/>
            <wp:docPr id="1249955529" name="Imagem 1"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955529" name="Imagem 1" descr="Uma imagem contendo Interface gráfica do usuário&#10;&#10;Descrição gerada automaticamente"/>
                    <pic:cNvPicPr/>
                  </pic:nvPicPr>
                  <pic:blipFill rotWithShape="1">
                    <a:blip r:embed="rId104"/>
                    <a:srcRect r="15551"/>
                    <a:stretch/>
                  </pic:blipFill>
                  <pic:spPr bwMode="auto">
                    <a:xfrm>
                      <a:off x="0" y="0"/>
                      <a:ext cx="5804574" cy="4066352"/>
                    </a:xfrm>
                    <a:prstGeom prst="rect">
                      <a:avLst/>
                    </a:prstGeom>
                    <a:ln>
                      <a:noFill/>
                    </a:ln>
                    <a:extLst>
                      <a:ext uri="{53640926-AAD7-44D8-BBD7-CCE9431645EC}">
                        <a14:shadowObscured xmlns:a14="http://schemas.microsoft.com/office/drawing/2010/main"/>
                      </a:ext>
                    </a:extLst>
                  </pic:spPr>
                </pic:pic>
              </a:graphicData>
            </a:graphic>
          </wp:inline>
        </w:drawing>
      </w:r>
    </w:p>
    <w:p w14:paraId="25C5C5C9" w14:textId="77777777" w:rsidR="00C50A95" w:rsidRPr="00C50A95" w:rsidRDefault="00C50A95" w:rsidP="00AF6482">
      <w:pPr>
        <w:spacing w:before="120" w:after="120" w:line="360" w:lineRule="auto"/>
        <w:rPr>
          <w:rFonts w:ascii="Tahoma" w:eastAsiaTheme="minorHAnsi" w:hAnsi="Tahoma" w:cs="Tahoma"/>
          <w:sz w:val="19"/>
          <w:szCs w:val="19"/>
          <w:lang w:eastAsia="en-US"/>
        </w:rPr>
      </w:pPr>
    </w:p>
    <w:p w14:paraId="79A8F46B" w14:textId="2F417F85" w:rsidR="00AF6482" w:rsidRPr="00A075A1" w:rsidRDefault="00AF6482" w:rsidP="00AF6482">
      <w:pPr>
        <w:spacing w:before="120" w:after="120" w:line="360" w:lineRule="auto"/>
        <w:rPr>
          <w:rFonts w:ascii="Tahoma" w:eastAsiaTheme="minorHAnsi" w:hAnsi="Tahoma" w:cs="Tahoma"/>
          <w:color w:val="0098BA"/>
          <w:sz w:val="19"/>
          <w:szCs w:val="19"/>
          <w:lang w:eastAsia="en-US"/>
        </w:rPr>
      </w:pPr>
      <w:r w:rsidRPr="00A075A1">
        <w:rPr>
          <w:rFonts w:ascii="Tahoma" w:eastAsiaTheme="minorHAnsi" w:hAnsi="Tahoma" w:cs="Tahoma"/>
          <w:color w:val="0098BA"/>
          <w:sz w:val="19"/>
          <w:szCs w:val="19"/>
          <w:lang w:eastAsia="en-US"/>
        </w:rPr>
        <w:t xml:space="preserve">Indicadores estratégicos e resultados </w:t>
      </w:r>
      <w:r w:rsidR="00CE268E" w:rsidRPr="00A075A1">
        <w:rPr>
          <w:rFonts w:ascii="Tahoma" w:eastAsiaTheme="minorHAnsi" w:hAnsi="Tahoma" w:cs="Tahoma"/>
          <w:color w:val="0098BA"/>
          <w:sz w:val="19"/>
          <w:szCs w:val="19"/>
          <w:lang w:eastAsia="en-US"/>
        </w:rPr>
        <w:t>–</w:t>
      </w:r>
      <w:r w:rsidRPr="00A075A1">
        <w:rPr>
          <w:rFonts w:ascii="Tahoma" w:eastAsiaTheme="minorHAnsi" w:hAnsi="Tahoma" w:cs="Tahoma"/>
          <w:color w:val="0098BA"/>
          <w:sz w:val="19"/>
          <w:szCs w:val="19"/>
          <w:lang w:eastAsia="en-US"/>
        </w:rPr>
        <w:t xml:space="preserve"> 2023</w:t>
      </w:r>
    </w:p>
    <w:tbl>
      <w:tblPr>
        <w:tblW w:w="963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358"/>
        <w:gridCol w:w="2181"/>
        <w:gridCol w:w="2552"/>
        <w:gridCol w:w="1417"/>
        <w:gridCol w:w="567"/>
        <w:gridCol w:w="16"/>
        <w:gridCol w:w="1543"/>
      </w:tblGrid>
      <w:tr w:rsidR="00AF6482" w:rsidRPr="00A075A1" w14:paraId="25614C59" w14:textId="77777777" w:rsidTr="00145E5A">
        <w:trPr>
          <w:trHeight w:val="397"/>
          <w:tblHeader/>
        </w:trPr>
        <w:tc>
          <w:tcPr>
            <w:tcW w:w="1358" w:type="dxa"/>
            <w:shd w:val="clear" w:color="auto" w:fill="0098BA"/>
            <w:tcMar>
              <w:top w:w="0" w:type="dxa"/>
              <w:left w:w="108" w:type="dxa"/>
              <w:bottom w:w="0" w:type="dxa"/>
              <w:right w:w="108" w:type="dxa"/>
            </w:tcMar>
            <w:vAlign w:val="center"/>
          </w:tcPr>
          <w:p w14:paraId="61B5AF2B" w14:textId="77777777" w:rsidR="00AF6482" w:rsidRPr="00A075A1" w:rsidRDefault="00AF6482" w:rsidP="00F86869">
            <w:pPr>
              <w:rPr>
                <w:rFonts w:ascii="Tahoma" w:hAnsi="Tahoma" w:cs="Tahoma"/>
                <w:color w:val="FFFFFF"/>
                <w:sz w:val="19"/>
                <w:szCs w:val="19"/>
              </w:rPr>
            </w:pPr>
            <w:r w:rsidRPr="00A075A1">
              <w:rPr>
                <w:rFonts w:ascii="Tahoma" w:hAnsi="Tahoma" w:cs="Tahoma"/>
                <w:color w:val="FFFFFF"/>
                <w:sz w:val="19"/>
                <w:szCs w:val="19"/>
              </w:rPr>
              <w:t>Dimensão</w:t>
            </w:r>
          </w:p>
        </w:tc>
        <w:tc>
          <w:tcPr>
            <w:tcW w:w="2181" w:type="dxa"/>
            <w:shd w:val="clear" w:color="auto" w:fill="0098BA"/>
            <w:tcMar>
              <w:top w:w="0" w:type="dxa"/>
              <w:left w:w="108" w:type="dxa"/>
              <w:bottom w:w="0" w:type="dxa"/>
              <w:right w:w="108" w:type="dxa"/>
            </w:tcMar>
            <w:vAlign w:val="center"/>
          </w:tcPr>
          <w:p w14:paraId="120E0008" w14:textId="77777777" w:rsidR="00AF6482" w:rsidRPr="00A075A1" w:rsidRDefault="00AF6482" w:rsidP="00F86869">
            <w:pPr>
              <w:rPr>
                <w:rFonts w:ascii="Tahoma" w:hAnsi="Tahoma" w:cs="Tahoma"/>
                <w:color w:val="FFFFFF"/>
                <w:sz w:val="19"/>
                <w:szCs w:val="19"/>
              </w:rPr>
            </w:pPr>
            <w:r w:rsidRPr="00A075A1">
              <w:rPr>
                <w:rFonts w:ascii="Tahoma" w:hAnsi="Tahoma" w:cs="Tahoma"/>
                <w:color w:val="FFFFFF"/>
                <w:sz w:val="19"/>
                <w:szCs w:val="19"/>
              </w:rPr>
              <w:t>Objetivo</w:t>
            </w:r>
          </w:p>
        </w:tc>
        <w:tc>
          <w:tcPr>
            <w:tcW w:w="2552" w:type="dxa"/>
            <w:shd w:val="clear" w:color="auto" w:fill="0098BA"/>
            <w:tcMar>
              <w:top w:w="0" w:type="dxa"/>
              <w:left w:w="108" w:type="dxa"/>
              <w:bottom w:w="0" w:type="dxa"/>
              <w:right w:w="108" w:type="dxa"/>
            </w:tcMar>
            <w:vAlign w:val="center"/>
          </w:tcPr>
          <w:p w14:paraId="3E23EC9A" w14:textId="77777777" w:rsidR="00AF6482" w:rsidRPr="00A075A1" w:rsidRDefault="00AF6482" w:rsidP="00F86869">
            <w:pPr>
              <w:rPr>
                <w:rFonts w:ascii="Tahoma" w:hAnsi="Tahoma" w:cs="Tahoma"/>
                <w:color w:val="FFFFFF"/>
                <w:sz w:val="19"/>
                <w:szCs w:val="19"/>
              </w:rPr>
            </w:pPr>
            <w:r w:rsidRPr="00A075A1">
              <w:rPr>
                <w:rFonts w:ascii="Tahoma" w:hAnsi="Tahoma" w:cs="Tahoma"/>
                <w:color w:val="FFFFFF"/>
                <w:sz w:val="19"/>
                <w:szCs w:val="19"/>
              </w:rPr>
              <w:t>Indicador</w:t>
            </w:r>
          </w:p>
        </w:tc>
        <w:tc>
          <w:tcPr>
            <w:tcW w:w="2000" w:type="dxa"/>
            <w:gridSpan w:val="3"/>
            <w:shd w:val="clear" w:color="auto" w:fill="0098BA"/>
            <w:tcMar>
              <w:top w:w="0" w:type="dxa"/>
              <w:left w:w="108" w:type="dxa"/>
              <w:bottom w:w="0" w:type="dxa"/>
              <w:right w:w="108" w:type="dxa"/>
            </w:tcMar>
            <w:vAlign w:val="center"/>
          </w:tcPr>
          <w:p w14:paraId="0338A48B" w14:textId="77777777" w:rsidR="00AF6482" w:rsidRPr="00A075A1" w:rsidRDefault="00AF6482" w:rsidP="00F86869">
            <w:pPr>
              <w:jc w:val="center"/>
              <w:rPr>
                <w:rFonts w:ascii="Tahoma" w:hAnsi="Tahoma" w:cs="Tahoma"/>
                <w:color w:val="FFFFFF"/>
                <w:sz w:val="19"/>
                <w:szCs w:val="19"/>
              </w:rPr>
            </w:pPr>
            <w:r w:rsidRPr="00A075A1">
              <w:rPr>
                <w:rFonts w:ascii="Tahoma" w:hAnsi="Tahoma" w:cs="Tahoma"/>
                <w:color w:val="FFFFFF"/>
                <w:sz w:val="19"/>
                <w:szCs w:val="19"/>
              </w:rPr>
              <w:t>Meta 2023</w:t>
            </w:r>
          </w:p>
        </w:tc>
        <w:tc>
          <w:tcPr>
            <w:tcW w:w="1543" w:type="dxa"/>
            <w:shd w:val="clear" w:color="auto" w:fill="0098BA"/>
            <w:tcMar>
              <w:top w:w="0" w:type="dxa"/>
              <w:left w:w="11" w:type="dxa"/>
              <w:bottom w:w="0" w:type="dxa"/>
              <w:right w:w="10" w:type="dxa"/>
            </w:tcMar>
            <w:vAlign w:val="center"/>
          </w:tcPr>
          <w:p w14:paraId="2F0D1EBF" w14:textId="77777777" w:rsidR="00AF6482" w:rsidRPr="00A075A1" w:rsidRDefault="00AF6482" w:rsidP="00F86869">
            <w:pPr>
              <w:jc w:val="center"/>
              <w:rPr>
                <w:rFonts w:ascii="Tahoma" w:hAnsi="Tahoma" w:cs="Tahoma"/>
                <w:color w:val="FFFFFF"/>
                <w:sz w:val="19"/>
                <w:szCs w:val="19"/>
              </w:rPr>
            </w:pPr>
            <w:r w:rsidRPr="00A075A1">
              <w:rPr>
                <w:rFonts w:ascii="Tahoma" w:hAnsi="Tahoma" w:cs="Tahoma"/>
                <w:color w:val="FFFFFF"/>
                <w:sz w:val="19"/>
                <w:szCs w:val="19"/>
              </w:rPr>
              <w:t>Resultado</w:t>
            </w:r>
          </w:p>
        </w:tc>
      </w:tr>
      <w:tr w:rsidR="00AF6482" w:rsidRPr="00A075A1" w14:paraId="14C419F7" w14:textId="77777777" w:rsidTr="00145E5A">
        <w:trPr>
          <w:trHeight w:val="774"/>
        </w:trPr>
        <w:tc>
          <w:tcPr>
            <w:tcW w:w="1358" w:type="dxa"/>
            <w:vMerge w:val="restart"/>
            <w:shd w:val="clear" w:color="auto" w:fill="auto"/>
            <w:tcMar>
              <w:top w:w="0" w:type="dxa"/>
              <w:left w:w="108" w:type="dxa"/>
              <w:bottom w:w="0" w:type="dxa"/>
              <w:right w:w="108" w:type="dxa"/>
            </w:tcMar>
            <w:vAlign w:val="center"/>
          </w:tcPr>
          <w:p w14:paraId="20BABD56" w14:textId="77777777" w:rsidR="00AF6482" w:rsidRPr="00A075A1" w:rsidRDefault="00AF6482" w:rsidP="00F86869">
            <w:pPr>
              <w:rPr>
                <w:rFonts w:ascii="Tahoma" w:hAnsi="Tahoma" w:cs="Tahoma"/>
                <w:sz w:val="19"/>
                <w:szCs w:val="19"/>
              </w:rPr>
            </w:pPr>
            <w:r w:rsidRPr="00A075A1">
              <w:rPr>
                <w:rFonts w:ascii="Tahoma" w:hAnsi="Tahoma" w:cs="Tahoma"/>
                <w:sz w:val="19"/>
                <w:szCs w:val="19"/>
              </w:rPr>
              <w:t>Resultados institucionais</w:t>
            </w:r>
          </w:p>
        </w:tc>
        <w:tc>
          <w:tcPr>
            <w:tcW w:w="2181" w:type="dxa"/>
            <w:vMerge w:val="restart"/>
            <w:shd w:val="clear" w:color="auto" w:fill="auto"/>
            <w:tcMar>
              <w:top w:w="0" w:type="dxa"/>
              <w:left w:w="108" w:type="dxa"/>
              <w:bottom w:w="0" w:type="dxa"/>
              <w:right w:w="108" w:type="dxa"/>
            </w:tcMar>
            <w:vAlign w:val="center"/>
          </w:tcPr>
          <w:p w14:paraId="36FE5F43" w14:textId="77777777" w:rsidR="00AF6482" w:rsidRPr="00A075A1" w:rsidRDefault="00AF6482" w:rsidP="00F86869">
            <w:pPr>
              <w:rPr>
                <w:rFonts w:ascii="Tahoma" w:hAnsi="Tahoma" w:cs="Tahoma"/>
                <w:sz w:val="19"/>
                <w:szCs w:val="19"/>
              </w:rPr>
            </w:pPr>
            <w:r w:rsidRPr="00A075A1">
              <w:rPr>
                <w:rFonts w:ascii="Tahoma" w:hAnsi="Tahoma" w:cs="Tahoma"/>
                <w:sz w:val="19"/>
                <w:szCs w:val="19"/>
              </w:rPr>
              <w:t>Promover CT&amp;I em áreas prioritárias para o desenvolvimento sustentável e equilibrado do país</w:t>
            </w:r>
          </w:p>
        </w:tc>
        <w:tc>
          <w:tcPr>
            <w:tcW w:w="2552" w:type="dxa"/>
            <w:shd w:val="clear" w:color="auto" w:fill="auto"/>
            <w:tcMar>
              <w:top w:w="0" w:type="dxa"/>
              <w:left w:w="108" w:type="dxa"/>
              <w:bottom w:w="0" w:type="dxa"/>
              <w:right w:w="108" w:type="dxa"/>
            </w:tcMar>
            <w:vAlign w:val="center"/>
          </w:tcPr>
          <w:p w14:paraId="57997111" w14:textId="4736483A" w:rsidR="00AF6482" w:rsidRPr="00A075A1" w:rsidRDefault="00AF6482" w:rsidP="00F86869">
            <w:pPr>
              <w:rPr>
                <w:rFonts w:ascii="Tahoma" w:hAnsi="Tahoma" w:cs="Tahoma"/>
                <w:sz w:val="19"/>
                <w:szCs w:val="19"/>
              </w:rPr>
            </w:pPr>
            <w:r w:rsidRPr="00A075A1">
              <w:rPr>
                <w:rFonts w:ascii="Tahoma" w:hAnsi="Tahoma" w:cs="Tahoma"/>
                <w:sz w:val="19"/>
                <w:szCs w:val="19"/>
              </w:rPr>
              <w:t>Execução dos recursos não reembolsáveis do FNDCT</w:t>
            </w:r>
            <w:r w:rsidR="00A82E31">
              <w:rPr>
                <w:rFonts w:ascii="Tahoma" w:hAnsi="Tahoma" w:cs="Tahoma"/>
                <w:sz w:val="19"/>
                <w:szCs w:val="19"/>
              </w:rPr>
              <w:t xml:space="preserve"> </w:t>
            </w:r>
            <w:r w:rsidR="00A82E31" w:rsidRPr="00A82E31">
              <w:rPr>
                <w:rFonts w:ascii="Tahoma" w:hAnsi="Tahoma" w:cs="Tahoma"/>
                <w:sz w:val="19"/>
                <w:szCs w:val="19"/>
              </w:rPr>
              <w:t>(EFNDCT)</w:t>
            </w:r>
          </w:p>
        </w:tc>
        <w:tc>
          <w:tcPr>
            <w:tcW w:w="1417" w:type="dxa"/>
            <w:shd w:val="clear" w:color="auto" w:fill="auto"/>
            <w:tcMar>
              <w:top w:w="0" w:type="dxa"/>
              <w:left w:w="108" w:type="dxa"/>
              <w:bottom w:w="0" w:type="dxa"/>
              <w:right w:w="108" w:type="dxa"/>
            </w:tcMar>
            <w:vAlign w:val="center"/>
          </w:tcPr>
          <w:p w14:paraId="34939050"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99,84%</w:t>
            </w:r>
          </w:p>
        </w:tc>
        <w:tc>
          <w:tcPr>
            <w:tcW w:w="583" w:type="dxa"/>
            <w:gridSpan w:val="2"/>
            <w:shd w:val="clear" w:color="auto" w:fill="auto"/>
            <w:tcMar>
              <w:top w:w="0" w:type="dxa"/>
              <w:left w:w="10" w:type="dxa"/>
              <w:bottom w:w="0" w:type="dxa"/>
              <w:right w:w="10" w:type="dxa"/>
            </w:tcMar>
            <w:vAlign w:val="center"/>
          </w:tcPr>
          <w:p w14:paraId="1C141F90" w14:textId="21E7EE54" w:rsidR="00AF6482" w:rsidRPr="00A075A1" w:rsidRDefault="00A075A1" w:rsidP="00F86869">
            <w:pPr>
              <w:jc w:val="center"/>
              <w:rPr>
                <w:rFonts w:ascii="Tahoma" w:hAnsi="Tahoma" w:cs="Tahoma"/>
                <w:sz w:val="19"/>
                <w:szCs w:val="19"/>
              </w:rPr>
            </w:pPr>
            <w:r>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4B0B8A43"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100%</w:t>
            </w:r>
          </w:p>
        </w:tc>
      </w:tr>
      <w:tr w:rsidR="00AF6482" w:rsidRPr="00A075A1" w14:paraId="691CF49E" w14:textId="77777777" w:rsidTr="00145E5A">
        <w:trPr>
          <w:trHeight w:val="580"/>
        </w:trPr>
        <w:tc>
          <w:tcPr>
            <w:tcW w:w="1358" w:type="dxa"/>
            <w:vMerge/>
            <w:shd w:val="clear" w:color="auto" w:fill="auto"/>
            <w:tcMar>
              <w:top w:w="0" w:type="dxa"/>
              <w:left w:w="108" w:type="dxa"/>
              <w:bottom w:w="0" w:type="dxa"/>
              <w:right w:w="108" w:type="dxa"/>
            </w:tcMar>
            <w:vAlign w:val="center"/>
          </w:tcPr>
          <w:p w14:paraId="4224C23E" w14:textId="77777777" w:rsidR="00AF6482" w:rsidRPr="00A075A1" w:rsidRDefault="00AF6482"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173C9021" w14:textId="77777777" w:rsidR="00AF6482" w:rsidRPr="00A075A1" w:rsidRDefault="00AF6482"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09720008" w14:textId="77777777" w:rsidR="00AF6482" w:rsidRPr="00A075A1" w:rsidRDefault="00AF6482" w:rsidP="00F86869">
            <w:pPr>
              <w:rPr>
                <w:rFonts w:ascii="Tahoma" w:hAnsi="Tahoma" w:cs="Tahoma"/>
                <w:sz w:val="19"/>
                <w:szCs w:val="19"/>
              </w:rPr>
            </w:pPr>
            <w:r w:rsidRPr="00A075A1">
              <w:rPr>
                <w:rFonts w:ascii="Tahoma" w:hAnsi="Tahoma" w:cs="Tahoma"/>
                <w:sz w:val="19"/>
                <w:szCs w:val="19"/>
              </w:rPr>
              <w:t>Liberação de recursos reembolsáveis (LIRR)</w:t>
            </w:r>
          </w:p>
        </w:tc>
        <w:tc>
          <w:tcPr>
            <w:tcW w:w="1417" w:type="dxa"/>
            <w:shd w:val="clear" w:color="auto" w:fill="auto"/>
            <w:tcMar>
              <w:top w:w="0" w:type="dxa"/>
              <w:left w:w="108" w:type="dxa"/>
              <w:bottom w:w="0" w:type="dxa"/>
              <w:right w:w="108" w:type="dxa"/>
            </w:tcMar>
            <w:vAlign w:val="center"/>
          </w:tcPr>
          <w:p w14:paraId="7577F5AA" w14:textId="494B4145" w:rsidR="00AF6482" w:rsidRPr="00A075A1" w:rsidRDefault="00AF6482" w:rsidP="00F86869">
            <w:pPr>
              <w:jc w:val="center"/>
              <w:rPr>
                <w:rFonts w:ascii="Tahoma" w:hAnsi="Tahoma" w:cs="Tahoma"/>
                <w:sz w:val="19"/>
                <w:szCs w:val="19"/>
              </w:rPr>
            </w:pPr>
            <w:r w:rsidRPr="00A075A1">
              <w:rPr>
                <w:rFonts w:ascii="Tahoma" w:hAnsi="Tahoma" w:cs="Tahoma"/>
                <w:sz w:val="19"/>
                <w:szCs w:val="19"/>
              </w:rPr>
              <w:t xml:space="preserve">R$ </w:t>
            </w:r>
            <w:r w:rsidR="00314A0D" w:rsidRPr="00A075A1">
              <w:rPr>
                <w:rFonts w:ascii="Tahoma" w:hAnsi="Tahoma" w:cs="Tahoma"/>
                <w:sz w:val="19"/>
                <w:szCs w:val="19"/>
              </w:rPr>
              <w:t>4</w:t>
            </w:r>
            <w:r w:rsidRPr="00A075A1">
              <w:rPr>
                <w:rFonts w:ascii="Tahoma" w:hAnsi="Tahoma" w:cs="Tahoma"/>
                <w:sz w:val="19"/>
                <w:szCs w:val="19"/>
              </w:rPr>
              <w:t xml:space="preserve"> bi</w:t>
            </w:r>
          </w:p>
        </w:tc>
        <w:tc>
          <w:tcPr>
            <w:tcW w:w="583" w:type="dxa"/>
            <w:gridSpan w:val="2"/>
            <w:shd w:val="clear" w:color="auto" w:fill="auto"/>
            <w:tcMar>
              <w:top w:w="0" w:type="dxa"/>
              <w:left w:w="10" w:type="dxa"/>
              <w:bottom w:w="0" w:type="dxa"/>
              <w:right w:w="10" w:type="dxa"/>
            </w:tcMar>
            <w:vAlign w:val="center"/>
          </w:tcPr>
          <w:p w14:paraId="161874E5" w14:textId="53947BF5" w:rsidR="00AF6482" w:rsidRPr="00A075A1" w:rsidRDefault="00A075A1" w:rsidP="00F86869">
            <w:pPr>
              <w:jc w:val="center"/>
              <w:rPr>
                <w:rFonts w:ascii="Tahoma" w:hAnsi="Tahoma" w:cs="Tahoma"/>
                <w:sz w:val="19"/>
                <w:szCs w:val="19"/>
              </w:rPr>
            </w:pPr>
            <w:r>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43492BAA"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R$ 5,43 bi</w:t>
            </w:r>
          </w:p>
        </w:tc>
      </w:tr>
      <w:tr w:rsidR="00AF6482" w:rsidRPr="00A075A1" w14:paraId="7CE15BA9" w14:textId="77777777" w:rsidTr="00145E5A">
        <w:trPr>
          <w:trHeight w:val="580"/>
        </w:trPr>
        <w:tc>
          <w:tcPr>
            <w:tcW w:w="1358" w:type="dxa"/>
            <w:vMerge/>
            <w:shd w:val="clear" w:color="auto" w:fill="auto"/>
            <w:tcMar>
              <w:top w:w="0" w:type="dxa"/>
              <w:left w:w="108" w:type="dxa"/>
              <w:bottom w:w="0" w:type="dxa"/>
              <w:right w:w="108" w:type="dxa"/>
            </w:tcMar>
            <w:vAlign w:val="center"/>
          </w:tcPr>
          <w:p w14:paraId="16E145C4" w14:textId="77777777" w:rsidR="00AF6482" w:rsidRPr="00A075A1" w:rsidRDefault="00AF6482"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5B3E270D" w14:textId="77777777" w:rsidR="00AF6482" w:rsidRPr="00A075A1" w:rsidRDefault="00AF6482"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7A6CF60F" w14:textId="77777777" w:rsidR="00AF6482" w:rsidRPr="00A075A1" w:rsidRDefault="00AF6482" w:rsidP="00F86869">
            <w:pPr>
              <w:rPr>
                <w:rFonts w:ascii="Tahoma" w:hAnsi="Tahoma" w:cs="Tahoma"/>
                <w:sz w:val="19"/>
                <w:szCs w:val="19"/>
              </w:rPr>
            </w:pPr>
            <w:r w:rsidRPr="00A075A1">
              <w:rPr>
                <w:rFonts w:ascii="Tahoma" w:hAnsi="Tahoma" w:cs="Tahoma"/>
                <w:sz w:val="19"/>
                <w:szCs w:val="19"/>
              </w:rPr>
              <w:t>Índice de Equidade Regional (IER)</w:t>
            </w:r>
          </w:p>
        </w:tc>
        <w:tc>
          <w:tcPr>
            <w:tcW w:w="1417" w:type="dxa"/>
            <w:shd w:val="clear" w:color="auto" w:fill="auto"/>
            <w:tcMar>
              <w:top w:w="0" w:type="dxa"/>
              <w:left w:w="108" w:type="dxa"/>
              <w:bottom w:w="0" w:type="dxa"/>
              <w:right w:w="108" w:type="dxa"/>
            </w:tcMar>
            <w:vAlign w:val="center"/>
          </w:tcPr>
          <w:p w14:paraId="4128A392"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22%</w:t>
            </w:r>
          </w:p>
        </w:tc>
        <w:tc>
          <w:tcPr>
            <w:tcW w:w="583" w:type="dxa"/>
            <w:gridSpan w:val="2"/>
            <w:shd w:val="clear" w:color="auto" w:fill="auto"/>
            <w:tcMar>
              <w:top w:w="0" w:type="dxa"/>
              <w:left w:w="10" w:type="dxa"/>
              <w:bottom w:w="0" w:type="dxa"/>
              <w:right w:w="10" w:type="dxa"/>
            </w:tcMar>
            <w:vAlign w:val="center"/>
          </w:tcPr>
          <w:p w14:paraId="4F17F746" w14:textId="02644996" w:rsidR="00AF6482" w:rsidRPr="00A075A1" w:rsidRDefault="00A075A1" w:rsidP="00F86869">
            <w:pPr>
              <w:jc w:val="center"/>
              <w:rPr>
                <w:rFonts w:ascii="Tahoma" w:eastAsia="Wingdings" w:hAnsi="Tahoma" w:cs="Tahoma"/>
                <w:sz w:val="19"/>
                <w:szCs w:val="19"/>
              </w:rPr>
            </w:pPr>
            <w:r>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65760D19"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32,15%</w:t>
            </w:r>
          </w:p>
        </w:tc>
      </w:tr>
      <w:tr w:rsidR="00AF6482" w:rsidRPr="00A075A1" w14:paraId="0A9C7116" w14:textId="77777777" w:rsidTr="00145E5A">
        <w:trPr>
          <w:trHeight w:val="1595"/>
        </w:trPr>
        <w:tc>
          <w:tcPr>
            <w:tcW w:w="1358" w:type="dxa"/>
            <w:vMerge/>
            <w:shd w:val="clear" w:color="auto" w:fill="auto"/>
            <w:tcMar>
              <w:top w:w="0" w:type="dxa"/>
              <w:left w:w="108" w:type="dxa"/>
              <w:bottom w:w="0" w:type="dxa"/>
              <w:right w:w="108" w:type="dxa"/>
            </w:tcMar>
            <w:vAlign w:val="center"/>
          </w:tcPr>
          <w:p w14:paraId="6C864B97" w14:textId="77777777" w:rsidR="00AF6482" w:rsidRPr="00A075A1" w:rsidRDefault="00AF6482" w:rsidP="00F86869">
            <w:pPr>
              <w:rPr>
                <w:rFonts w:ascii="Tahoma" w:hAnsi="Tahoma" w:cs="Tahoma"/>
                <w:sz w:val="19"/>
                <w:szCs w:val="19"/>
              </w:rPr>
            </w:pPr>
          </w:p>
        </w:tc>
        <w:tc>
          <w:tcPr>
            <w:tcW w:w="2181" w:type="dxa"/>
            <w:shd w:val="clear" w:color="auto" w:fill="auto"/>
            <w:tcMar>
              <w:top w:w="0" w:type="dxa"/>
              <w:left w:w="108" w:type="dxa"/>
              <w:bottom w:w="0" w:type="dxa"/>
              <w:right w:w="108" w:type="dxa"/>
            </w:tcMar>
            <w:vAlign w:val="center"/>
          </w:tcPr>
          <w:p w14:paraId="770EE0F4" w14:textId="77777777" w:rsidR="00AF6482" w:rsidRPr="00A075A1" w:rsidRDefault="00AF6482" w:rsidP="00F86869">
            <w:pPr>
              <w:rPr>
                <w:rFonts w:ascii="Tahoma" w:hAnsi="Tahoma" w:cs="Tahoma"/>
                <w:sz w:val="19"/>
                <w:szCs w:val="19"/>
              </w:rPr>
            </w:pPr>
            <w:r w:rsidRPr="00A075A1">
              <w:rPr>
                <w:rFonts w:ascii="Tahoma" w:hAnsi="Tahoma" w:cs="Tahoma"/>
                <w:sz w:val="19"/>
                <w:szCs w:val="19"/>
              </w:rPr>
              <w:t>Estimular o empreendedorismo e o desenvolvimento de inovações, especialmente em MPMEs</w:t>
            </w:r>
          </w:p>
        </w:tc>
        <w:tc>
          <w:tcPr>
            <w:tcW w:w="2552" w:type="dxa"/>
            <w:shd w:val="clear" w:color="auto" w:fill="auto"/>
            <w:tcMar>
              <w:top w:w="0" w:type="dxa"/>
              <w:left w:w="108" w:type="dxa"/>
              <w:bottom w:w="0" w:type="dxa"/>
              <w:right w:w="108" w:type="dxa"/>
            </w:tcMar>
            <w:vAlign w:val="center"/>
          </w:tcPr>
          <w:p w14:paraId="10D8EFA6" w14:textId="77777777" w:rsidR="00AF6482" w:rsidRPr="00A075A1" w:rsidRDefault="00AF6482" w:rsidP="00F86869">
            <w:pPr>
              <w:rPr>
                <w:rFonts w:ascii="Tahoma" w:hAnsi="Tahoma" w:cs="Tahoma"/>
                <w:sz w:val="19"/>
                <w:szCs w:val="19"/>
              </w:rPr>
            </w:pPr>
            <w:r w:rsidRPr="00A075A1">
              <w:rPr>
                <w:rFonts w:ascii="Tahoma" w:hAnsi="Tahoma" w:cs="Tahoma"/>
                <w:sz w:val="19"/>
                <w:szCs w:val="19"/>
              </w:rPr>
              <w:t>Taxa de contratação de micro, pequenas e médias empresas (TMPME)</w:t>
            </w:r>
          </w:p>
        </w:tc>
        <w:tc>
          <w:tcPr>
            <w:tcW w:w="1417" w:type="dxa"/>
            <w:shd w:val="clear" w:color="auto" w:fill="auto"/>
            <w:tcMar>
              <w:top w:w="0" w:type="dxa"/>
              <w:left w:w="108" w:type="dxa"/>
              <w:bottom w:w="0" w:type="dxa"/>
              <w:right w:w="108" w:type="dxa"/>
            </w:tcMar>
            <w:vAlign w:val="center"/>
          </w:tcPr>
          <w:p w14:paraId="6D6E6248"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91,2%</w:t>
            </w:r>
          </w:p>
        </w:tc>
        <w:tc>
          <w:tcPr>
            <w:tcW w:w="583" w:type="dxa"/>
            <w:gridSpan w:val="2"/>
            <w:shd w:val="clear" w:color="auto" w:fill="auto"/>
            <w:tcMar>
              <w:top w:w="0" w:type="dxa"/>
              <w:left w:w="10" w:type="dxa"/>
              <w:bottom w:w="0" w:type="dxa"/>
              <w:right w:w="10" w:type="dxa"/>
            </w:tcMar>
            <w:vAlign w:val="center"/>
          </w:tcPr>
          <w:p w14:paraId="3EBD6017" w14:textId="5C67C254" w:rsidR="00AF6482" w:rsidRPr="00A075A1" w:rsidRDefault="00A075A1" w:rsidP="00F86869">
            <w:pPr>
              <w:jc w:val="center"/>
              <w:rPr>
                <w:rFonts w:ascii="Tahoma" w:hAnsi="Tahoma" w:cs="Tahoma"/>
                <w:sz w:val="19"/>
                <w:szCs w:val="19"/>
              </w:rPr>
            </w:pPr>
            <w:r>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021C169F"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93,65%</w:t>
            </w:r>
          </w:p>
        </w:tc>
      </w:tr>
      <w:tr w:rsidR="00AF6482" w:rsidRPr="00A075A1" w14:paraId="5948413C" w14:textId="77777777" w:rsidTr="00145E5A">
        <w:trPr>
          <w:trHeight w:val="613"/>
        </w:trPr>
        <w:tc>
          <w:tcPr>
            <w:tcW w:w="1358" w:type="dxa"/>
            <w:vMerge w:val="restart"/>
            <w:shd w:val="clear" w:color="auto" w:fill="auto"/>
            <w:tcMar>
              <w:top w:w="0" w:type="dxa"/>
              <w:left w:w="108" w:type="dxa"/>
              <w:bottom w:w="0" w:type="dxa"/>
              <w:right w:w="108" w:type="dxa"/>
            </w:tcMar>
            <w:vAlign w:val="center"/>
          </w:tcPr>
          <w:p w14:paraId="2EAB09A0" w14:textId="77777777" w:rsidR="00AF6482" w:rsidRPr="00A075A1" w:rsidRDefault="00AF6482" w:rsidP="00F86869">
            <w:pPr>
              <w:rPr>
                <w:rFonts w:ascii="Tahoma" w:hAnsi="Tahoma" w:cs="Tahoma"/>
                <w:sz w:val="19"/>
                <w:szCs w:val="19"/>
              </w:rPr>
            </w:pPr>
            <w:r w:rsidRPr="00A075A1">
              <w:rPr>
                <w:rFonts w:ascii="Tahoma" w:hAnsi="Tahoma" w:cs="Tahoma"/>
                <w:sz w:val="19"/>
                <w:szCs w:val="19"/>
              </w:rPr>
              <w:t>Processos internos</w:t>
            </w:r>
          </w:p>
        </w:tc>
        <w:tc>
          <w:tcPr>
            <w:tcW w:w="2181" w:type="dxa"/>
            <w:vMerge w:val="restart"/>
            <w:shd w:val="clear" w:color="auto" w:fill="auto"/>
            <w:tcMar>
              <w:top w:w="0" w:type="dxa"/>
              <w:left w:w="108" w:type="dxa"/>
              <w:bottom w:w="0" w:type="dxa"/>
              <w:right w:w="108" w:type="dxa"/>
            </w:tcMar>
            <w:vAlign w:val="center"/>
          </w:tcPr>
          <w:p w14:paraId="729D052C" w14:textId="2625EF3D" w:rsidR="00AF6482" w:rsidRPr="00A075A1" w:rsidRDefault="00AF6482" w:rsidP="00F86869">
            <w:pPr>
              <w:rPr>
                <w:rFonts w:ascii="Tahoma" w:hAnsi="Tahoma" w:cs="Tahoma"/>
                <w:sz w:val="19"/>
                <w:szCs w:val="19"/>
              </w:rPr>
            </w:pPr>
            <w:r w:rsidRPr="00A075A1">
              <w:rPr>
                <w:rFonts w:ascii="Tahoma" w:hAnsi="Tahoma" w:cs="Tahoma"/>
                <w:sz w:val="19"/>
                <w:szCs w:val="19"/>
              </w:rPr>
              <w:t>Aprimorar a eficiência organizacional, racionalizando o uso dos recursos</w:t>
            </w:r>
          </w:p>
        </w:tc>
        <w:tc>
          <w:tcPr>
            <w:tcW w:w="2552" w:type="dxa"/>
            <w:shd w:val="clear" w:color="auto" w:fill="auto"/>
            <w:tcMar>
              <w:top w:w="0" w:type="dxa"/>
              <w:left w:w="108" w:type="dxa"/>
              <w:bottom w:w="0" w:type="dxa"/>
              <w:right w:w="108" w:type="dxa"/>
            </w:tcMar>
            <w:vAlign w:val="center"/>
          </w:tcPr>
          <w:p w14:paraId="0CDC5393" w14:textId="77777777" w:rsidR="00AF6482" w:rsidRPr="00A075A1" w:rsidRDefault="00AF6482" w:rsidP="00F86869">
            <w:pPr>
              <w:rPr>
                <w:rFonts w:ascii="Tahoma" w:hAnsi="Tahoma" w:cs="Tahoma"/>
                <w:sz w:val="19"/>
                <w:szCs w:val="19"/>
              </w:rPr>
            </w:pPr>
            <w:r w:rsidRPr="00A075A1">
              <w:rPr>
                <w:rFonts w:ascii="Tahoma" w:hAnsi="Tahoma" w:cs="Tahoma"/>
                <w:sz w:val="19"/>
                <w:szCs w:val="19"/>
              </w:rPr>
              <w:t>Contratações de projetos per Capita (CPC)</w:t>
            </w:r>
          </w:p>
        </w:tc>
        <w:tc>
          <w:tcPr>
            <w:tcW w:w="1417" w:type="dxa"/>
            <w:shd w:val="clear" w:color="auto" w:fill="auto"/>
            <w:tcMar>
              <w:top w:w="0" w:type="dxa"/>
              <w:left w:w="108" w:type="dxa"/>
              <w:bottom w:w="0" w:type="dxa"/>
              <w:right w:w="108" w:type="dxa"/>
            </w:tcMar>
            <w:vAlign w:val="center"/>
          </w:tcPr>
          <w:p w14:paraId="7B7EDD87"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1,13</w:t>
            </w:r>
          </w:p>
        </w:tc>
        <w:tc>
          <w:tcPr>
            <w:tcW w:w="583" w:type="dxa"/>
            <w:gridSpan w:val="2"/>
            <w:shd w:val="clear" w:color="auto" w:fill="auto"/>
            <w:tcMar>
              <w:top w:w="0" w:type="dxa"/>
              <w:left w:w="11" w:type="dxa"/>
              <w:bottom w:w="0" w:type="dxa"/>
              <w:right w:w="10" w:type="dxa"/>
            </w:tcMar>
            <w:vAlign w:val="center"/>
          </w:tcPr>
          <w:p w14:paraId="4D058DE9" w14:textId="1396EB42" w:rsidR="00AF6482" w:rsidRPr="00A075A1" w:rsidRDefault="00A075A1" w:rsidP="00F86869">
            <w:pPr>
              <w:jc w:val="center"/>
              <w:rPr>
                <w:rFonts w:ascii="Tahoma" w:hAnsi="Tahoma" w:cs="Tahoma"/>
                <w:sz w:val="19"/>
                <w:szCs w:val="19"/>
              </w:rPr>
            </w:pPr>
            <w:r>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692205E0"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3,42</w:t>
            </w:r>
          </w:p>
        </w:tc>
      </w:tr>
      <w:tr w:rsidR="00AF6482" w:rsidRPr="00A075A1" w14:paraId="070C58C5" w14:textId="77777777" w:rsidTr="00145E5A">
        <w:trPr>
          <w:trHeight w:val="551"/>
        </w:trPr>
        <w:tc>
          <w:tcPr>
            <w:tcW w:w="1358" w:type="dxa"/>
            <w:vMerge/>
            <w:shd w:val="clear" w:color="auto" w:fill="auto"/>
            <w:tcMar>
              <w:top w:w="0" w:type="dxa"/>
              <w:left w:w="108" w:type="dxa"/>
              <w:bottom w:w="0" w:type="dxa"/>
              <w:right w:w="108" w:type="dxa"/>
            </w:tcMar>
            <w:vAlign w:val="center"/>
          </w:tcPr>
          <w:p w14:paraId="43FB72FD" w14:textId="77777777" w:rsidR="00AF6482" w:rsidRPr="00A075A1" w:rsidRDefault="00AF6482"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207725BC" w14:textId="77777777" w:rsidR="00AF6482" w:rsidRPr="00A075A1" w:rsidRDefault="00AF6482"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15EF5E43" w14:textId="77777777" w:rsidR="00AF6482" w:rsidRPr="00A075A1" w:rsidRDefault="00AF6482" w:rsidP="00F86869">
            <w:pPr>
              <w:rPr>
                <w:rFonts w:ascii="Tahoma" w:hAnsi="Tahoma" w:cs="Tahoma"/>
                <w:sz w:val="19"/>
                <w:szCs w:val="19"/>
              </w:rPr>
            </w:pPr>
            <w:r w:rsidRPr="00A075A1">
              <w:rPr>
                <w:rFonts w:ascii="Tahoma" w:hAnsi="Tahoma" w:cs="Tahoma"/>
                <w:sz w:val="19"/>
                <w:szCs w:val="19"/>
              </w:rPr>
              <w:t>Tempo de contratação de projetos de crédito (TCC)</w:t>
            </w:r>
          </w:p>
        </w:tc>
        <w:tc>
          <w:tcPr>
            <w:tcW w:w="1417" w:type="dxa"/>
            <w:shd w:val="clear" w:color="auto" w:fill="auto"/>
            <w:tcMar>
              <w:top w:w="0" w:type="dxa"/>
              <w:left w:w="108" w:type="dxa"/>
              <w:bottom w:w="0" w:type="dxa"/>
              <w:right w:w="108" w:type="dxa"/>
            </w:tcMar>
            <w:vAlign w:val="center"/>
          </w:tcPr>
          <w:p w14:paraId="1AFFF653"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195 dias</w:t>
            </w:r>
          </w:p>
        </w:tc>
        <w:tc>
          <w:tcPr>
            <w:tcW w:w="583" w:type="dxa"/>
            <w:gridSpan w:val="2"/>
            <w:shd w:val="clear" w:color="auto" w:fill="auto"/>
            <w:tcMar>
              <w:top w:w="0" w:type="dxa"/>
              <w:left w:w="11" w:type="dxa"/>
              <w:bottom w:w="0" w:type="dxa"/>
              <w:right w:w="10" w:type="dxa"/>
            </w:tcMar>
            <w:vAlign w:val="center"/>
          </w:tcPr>
          <w:p w14:paraId="68999AA7" w14:textId="5B187CDD" w:rsidR="00AF6482" w:rsidRPr="00A075A1" w:rsidRDefault="00A075A1" w:rsidP="00F86869">
            <w:pPr>
              <w:jc w:val="center"/>
              <w:rPr>
                <w:rFonts w:ascii="Tahoma" w:hAnsi="Tahoma" w:cs="Tahoma"/>
                <w:sz w:val="19"/>
                <w:szCs w:val="19"/>
              </w:rPr>
            </w:pPr>
            <w:r>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67CEE3F7" w14:textId="77777777" w:rsidR="00AF6482" w:rsidRPr="002449EA" w:rsidRDefault="00AF6482" w:rsidP="00F86869">
            <w:pPr>
              <w:jc w:val="center"/>
              <w:rPr>
                <w:rFonts w:ascii="Tahoma" w:hAnsi="Tahoma" w:cs="Tahoma"/>
                <w:sz w:val="19"/>
                <w:szCs w:val="19"/>
              </w:rPr>
            </w:pPr>
            <w:r w:rsidRPr="002449EA">
              <w:rPr>
                <w:rFonts w:ascii="Tahoma" w:hAnsi="Tahoma" w:cs="Tahoma"/>
                <w:sz w:val="19"/>
                <w:szCs w:val="19"/>
              </w:rPr>
              <w:t>131 dias</w:t>
            </w:r>
          </w:p>
        </w:tc>
      </w:tr>
      <w:tr w:rsidR="00A075A1" w:rsidRPr="00A075A1" w14:paraId="2E3E20FF" w14:textId="77777777" w:rsidTr="00145E5A">
        <w:trPr>
          <w:trHeight w:val="560"/>
        </w:trPr>
        <w:tc>
          <w:tcPr>
            <w:tcW w:w="1358" w:type="dxa"/>
            <w:vMerge/>
            <w:shd w:val="clear" w:color="auto" w:fill="auto"/>
            <w:tcMar>
              <w:top w:w="0" w:type="dxa"/>
              <w:left w:w="108" w:type="dxa"/>
              <w:bottom w:w="0" w:type="dxa"/>
              <w:right w:w="108" w:type="dxa"/>
            </w:tcMar>
            <w:vAlign w:val="center"/>
          </w:tcPr>
          <w:p w14:paraId="1E4D3DDF" w14:textId="77777777" w:rsidR="00A075A1" w:rsidRPr="00A075A1" w:rsidRDefault="00A075A1"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144B5102" w14:textId="77777777" w:rsidR="00A075A1" w:rsidRPr="00A075A1" w:rsidRDefault="00A075A1"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286F67A9" w14:textId="16AA21FC" w:rsidR="00A075A1" w:rsidRPr="00A075A1" w:rsidRDefault="00A075A1" w:rsidP="00F86869">
            <w:pPr>
              <w:rPr>
                <w:rFonts w:ascii="Tahoma" w:hAnsi="Tahoma" w:cs="Tahoma"/>
                <w:sz w:val="19"/>
                <w:szCs w:val="19"/>
              </w:rPr>
            </w:pPr>
            <w:r w:rsidRPr="00A075A1">
              <w:rPr>
                <w:rFonts w:ascii="Tahoma" w:hAnsi="Tahoma" w:cs="Tahoma"/>
                <w:sz w:val="19"/>
                <w:szCs w:val="19"/>
              </w:rPr>
              <w:t xml:space="preserve">Produtividade per </w:t>
            </w:r>
            <w:r w:rsidR="00C34794">
              <w:rPr>
                <w:rFonts w:ascii="Tahoma" w:hAnsi="Tahoma" w:cs="Tahoma"/>
                <w:sz w:val="19"/>
                <w:szCs w:val="19"/>
              </w:rPr>
              <w:t>c</w:t>
            </w:r>
            <w:r w:rsidRPr="00A075A1">
              <w:rPr>
                <w:rFonts w:ascii="Tahoma" w:hAnsi="Tahoma" w:cs="Tahoma"/>
                <w:sz w:val="19"/>
                <w:szCs w:val="19"/>
              </w:rPr>
              <w:t>apita (PPC)</w:t>
            </w:r>
          </w:p>
        </w:tc>
        <w:tc>
          <w:tcPr>
            <w:tcW w:w="1417" w:type="dxa"/>
            <w:shd w:val="clear" w:color="auto" w:fill="auto"/>
            <w:tcMar>
              <w:top w:w="0" w:type="dxa"/>
              <w:left w:w="108" w:type="dxa"/>
              <w:bottom w:w="0" w:type="dxa"/>
              <w:right w:w="108" w:type="dxa"/>
            </w:tcMar>
            <w:vAlign w:val="center"/>
          </w:tcPr>
          <w:p w14:paraId="54E87F22" w14:textId="3EB1319A" w:rsidR="00A075A1" w:rsidRPr="00A075A1" w:rsidRDefault="00A075A1" w:rsidP="00F86869">
            <w:pPr>
              <w:jc w:val="center"/>
              <w:rPr>
                <w:rFonts w:ascii="Tahoma" w:hAnsi="Tahoma" w:cs="Tahoma"/>
                <w:sz w:val="19"/>
                <w:szCs w:val="19"/>
              </w:rPr>
            </w:pPr>
            <w:r w:rsidRPr="00A075A1">
              <w:rPr>
                <w:rFonts w:ascii="Tahoma" w:hAnsi="Tahoma" w:cs="Tahoma"/>
                <w:sz w:val="19"/>
                <w:szCs w:val="19"/>
              </w:rPr>
              <w:t>R$ 846,6 mil</w:t>
            </w:r>
          </w:p>
        </w:tc>
        <w:tc>
          <w:tcPr>
            <w:tcW w:w="583" w:type="dxa"/>
            <w:gridSpan w:val="2"/>
            <w:shd w:val="clear" w:color="auto" w:fill="auto"/>
            <w:tcMar>
              <w:top w:w="0" w:type="dxa"/>
              <w:left w:w="11" w:type="dxa"/>
              <w:bottom w:w="0" w:type="dxa"/>
              <w:right w:w="10" w:type="dxa"/>
            </w:tcMar>
            <w:vAlign w:val="center"/>
          </w:tcPr>
          <w:p w14:paraId="766212CA" w14:textId="0D2B8871" w:rsidR="00A075A1" w:rsidRPr="00A075A1" w:rsidRDefault="00A075A1" w:rsidP="00F86869">
            <w:pPr>
              <w:jc w:val="center"/>
              <w:rPr>
                <w:rFonts w:ascii="Tahoma" w:eastAsia="Wingdings" w:hAnsi="Tahoma" w:cs="Tahoma"/>
                <w:sz w:val="19"/>
                <w:szCs w:val="19"/>
              </w:rPr>
            </w:pPr>
            <w:r w:rsidRPr="00C210B7">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2B77CE9D" w14:textId="781ACCF7" w:rsidR="00A075A1" w:rsidRPr="002449EA" w:rsidRDefault="00A075A1" w:rsidP="00F86869">
            <w:pPr>
              <w:jc w:val="center"/>
              <w:rPr>
                <w:rFonts w:ascii="Tahoma" w:hAnsi="Tahoma" w:cs="Tahoma"/>
                <w:sz w:val="19"/>
                <w:szCs w:val="19"/>
              </w:rPr>
            </w:pPr>
            <w:r w:rsidRPr="002449EA">
              <w:rPr>
                <w:rFonts w:ascii="Tahoma" w:hAnsi="Tahoma" w:cs="Tahoma"/>
                <w:sz w:val="19"/>
                <w:szCs w:val="19"/>
              </w:rPr>
              <w:t>R$ 1.896,31 mil</w:t>
            </w:r>
          </w:p>
        </w:tc>
      </w:tr>
      <w:tr w:rsidR="00A075A1" w:rsidRPr="00A075A1" w14:paraId="591AD672" w14:textId="77777777" w:rsidTr="00145E5A">
        <w:trPr>
          <w:trHeight w:val="838"/>
        </w:trPr>
        <w:tc>
          <w:tcPr>
            <w:tcW w:w="1358" w:type="dxa"/>
            <w:vMerge/>
            <w:shd w:val="clear" w:color="auto" w:fill="auto"/>
            <w:tcMar>
              <w:top w:w="0" w:type="dxa"/>
              <w:left w:w="108" w:type="dxa"/>
              <w:bottom w:w="0" w:type="dxa"/>
              <w:right w:w="108" w:type="dxa"/>
            </w:tcMar>
            <w:vAlign w:val="center"/>
          </w:tcPr>
          <w:p w14:paraId="7FB62F77" w14:textId="77777777" w:rsidR="00A075A1" w:rsidRPr="00A075A1" w:rsidRDefault="00A075A1"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0B47E763" w14:textId="77777777" w:rsidR="00A075A1" w:rsidRPr="00A075A1" w:rsidRDefault="00A075A1"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60847DE1" w14:textId="77777777" w:rsidR="00A075A1" w:rsidRPr="00A075A1" w:rsidRDefault="00A075A1" w:rsidP="00F86869">
            <w:pPr>
              <w:rPr>
                <w:rFonts w:ascii="Tahoma" w:hAnsi="Tahoma" w:cs="Tahoma"/>
                <w:sz w:val="19"/>
                <w:szCs w:val="19"/>
              </w:rPr>
            </w:pPr>
            <w:r w:rsidRPr="00A075A1">
              <w:rPr>
                <w:rFonts w:ascii="Tahoma" w:hAnsi="Tahoma" w:cs="Tahoma"/>
                <w:sz w:val="19"/>
                <w:szCs w:val="19"/>
              </w:rPr>
              <w:t>Taxa de encerramento das operações não reembolsáveis (EINR)</w:t>
            </w:r>
          </w:p>
        </w:tc>
        <w:tc>
          <w:tcPr>
            <w:tcW w:w="1417" w:type="dxa"/>
            <w:shd w:val="clear" w:color="auto" w:fill="auto"/>
            <w:tcMar>
              <w:top w:w="0" w:type="dxa"/>
              <w:left w:w="108" w:type="dxa"/>
              <w:bottom w:w="0" w:type="dxa"/>
              <w:right w:w="108" w:type="dxa"/>
            </w:tcMar>
            <w:vAlign w:val="center"/>
          </w:tcPr>
          <w:p w14:paraId="55DE146D" w14:textId="77777777" w:rsidR="00A075A1" w:rsidRPr="00A075A1" w:rsidRDefault="00A075A1" w:rsidP="00F86869">
            <w:pPr>
              <w:jc w:val="center"/>
              <w:rPr>
                <w:rFonts w:ascii="Tahoma" w:hAnsi="Tahoma" w:cs="Tahoma"/>
                <w:sz w:val="19"/>
                <w:szCs w:val="19"/>
              </w:rPr>
            </w:pPr>
            <w:r w:rsidRPr="00A075A1">
              <w:rPr>
                <w:rFonts w:ascii="Tahoma" w:hAnsi="Tahoma" w:cs="Tahoma"/>
                <w:sz w:val="19"/>
                <w:szCs w:val="19"/>
              </w:rPr>
              <w:t>51,5%</w:t>
            </w:r>
          </w:p>
        </w:tc>
        <w:tc>
          <w:tcPr>
            <w:tcW w:w="583" w:type="dxa"/>
            <w:gridSpan w:val="2"/>
            <w:shd w:val="clear" w:color="auto" w:fill="auto"/>
            <w:tcMar>
              <w:top w:w="0" w:type="dxa"/>
              <w:left w:w="11" w:type="dxa"/>
              <w:bottom w:w="0" w:type="dxa"/>
              <w:right w:w="10" w:type="dxa"/>
            </w:tcMar>
            <w:vAlign w:val="center"/>
          </w:tcPr>
          <w:p w14:paraId="43C284D2" w14:textId="5A1E0608" w:rsidR="00A075A1" w:rsidRPr="00A075A1" w:rsidRDefault="00A075A1" w:rsidP="00F86869">
            <w:pPr>
              <w:jc w:val="center"/>
              <w:rPr>
                <w:rFonts w:ascii="Tahoma" w:hAnsi="Tahoma" w:cs="Tahoma"/>
                <w:sz w:val="19"/>
                <w:szCs w:val="19"/>
              </w:rPr>
            </w:pPr>
            <w:r w:rsidRPr="00C210B7">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186E435C" w14:textId="77777777" w:rsidR="00A075A1" w:rsidRPr="002449EA" w:rsidRDefault="00A075A1" w:rsidP="00F86869">
            <w:pPr>
              <w:jc w:val="center"/>
              <w:rPr>
                <w:rFonts w:ascii="Tahoma" w:hAnsi="Tahoma" w:cs="Tahoma"/>
                <w:sz w:val="19"/>
                <w:szCs w:val="19"/>
              </w:rPr>
            </w:pPr>
            <w:r w:rsidRPr="002449EA">
              <w:rPr>
                <w:rFonts w:ascii="Tahoma" w:hAnsi="Tahoma" w:cs="Tahoma"/>
                <w:sz w:val="19"/>
                <w:szCs w:val="19"/>
              </w:rPr>
              <w:t>54,94%</w:t>
            </w:r>
          </w:p>
        </w:tc>
      </w:tr>
      <w:tr w:rsidR="00AF6482" w:rsidRPr="00A075A1" w14:paraId="383D5807" w14:textId="77777777" w:rsidTr="00145E5A">
        <w:trPr>
          <w:trHeight w:val="850"/>
        </w:trPr>
        <w:tc>
          <w:tcPr>
            <w:tcW w:w="1358" w:type="dxa"/>
            <w:vMerge/>
            <w:shd w:val="clear" w:color="auto" w:fill="auto"/>
            <w:tcMar>
              <w:top w:w="0" w:type="dxa"/>
              <w:left w:w="108" w:type="dxa"/>
              <w:bottom w:w="0" w:type="dxa"/>
              <w:right w:w="108" w:type="dxa"/>
            </w:tcMar>
            <w:vAlign w:val="center"/>
          </w:tcPr>
          <w:p w14:paraId="75A1ABD4" w14:textId="77777777" w:rsidR="00AF6482" w:rsidRPr="00A075A1" w:rsidRDefault="00AF6482"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5649CABE" w14:textId="77777777" w:rsidR="00AF6482" w:rsidRPr="00A075A1" w:rsidRDefault="00AF6482"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67F3B60F" w14:textId="77777777" w:rsidR="00AF6482" w:rsidRPr="00A075A1" w:rsidRDefault="00AF6482" w:rsidP="00F86869">
            <w:pPr>
              <w:rPr>
                <w:rFonts w:ascii="Tahoma" w:hAnsi="Tahoma" w:cs="Tahoma"/>
                <w:sz w:val="19"/>
                <w:szCs w:val="19"/>
              </w:rPr>
            </w:pPr>
            <w:bookmarkStart w:id="54" w:name="_Hlk161719543"/>
            <w:r w:rsidRPr="00A075A1">
              <w:rPr>
                <w:rFonts w:ascii="Tahoma" w:hAnsi="Tahoma" w:cs="Tahoma"/>
                <w:sz w:val="19"/>
                <w:szCs w:val="19"/>
              </w:rPr>
              <w:t xml:space="preserve">Tempo médio de processamento não reembolsável </w:t>
            </w:r>
            <w:bookmarkEnd w:id="54"/>
            <w:r w:rsidRPr="00A075A1">
              <w:rPr>
                <w:rFonts w:ascii="Tahoma" w:hAnsi="Tahoma" w:cs="Tahoma"/>
                <w:sz w:val="19"/>
                <w:szCs w:val="19"/>
              </w:rPr>
              <w:t>(TMNR)</w:t>
            </w:r>
          </w:p>
        </w:tc>
        <w:tc>
          <w:tcPr>
            <w:tcW w:w="1417" w:type="dxa"/>
            <w:shd w:val="clear" w:color="auto" w:fill="auto"/>
            <w:tcMar>
              <w:top w:w="0" w:type="dxa"/>
              <w:left w:w="108" w:type="dxa"/>
              <w:bottom w:w="0" w:type="dxa"/>
              <w:right w:w="108" w:type="dxa"/>
            </w:tcMar>
            <w:vAlign w:val="center"/>
          </w:tcPr>
          <w:p w14:paraId="0B9C51E4"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154 dias</w:t>
            </w:r>
          </w:p>
        </w:tc>
        <w:tc>
          <w:tcPr>
            <w:tcW w:w="583" w:type="dxa"/>
            <w:gridSpan w:val="2"/>
            <w:shd w:val="clear" w:color="auto" w:fill="auto"/>
            <w:tcMar>
              <w:top w:w="0" w:type="dxa"/>
              <w:left w:w="11" w:type="dxa"/>
              <w:bottom w:w="0" w:type="dxa"/>
              <w:right w:w="10" w:type="dxa"/>
            </w:tcMar>
            <w:vAlign w:val="center"/>
          </w:tcPr>
          <w:p w14:paraId="06FE55A6" w14:textId="557B1A14" w:rsidR="00AF6482" w:rsidRPr="00A075A1" w:rsidRDefault="00A075A1" w:rsidP="00F86869">
            <w:pPr>
              <w:jc w:val="center"/>
              <w:rPr>
                <w:rFonts w:ascii="Tahoma" w:hAnsi="Tahoma" w:cs="Tahoma"/>
                <w:sz w:val="19"/>
                <w:szCs w:val="19"/>
              </w:rPr>
            </w:pPr>
            <w:r>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66286F29" w14:textId="77777777" w:rsidR="00AF6482" w:rsidRPr="002449EA" w:rsidRDefault="00AF6482" w:rsidP="00F86869">
            <w:pPr>
              <w:jc w:val="center"/>
              <w:rPr>
                <w:rFonts w:ascii="Tahoma" w:hAnsi="Tahoma" w:cs="Tahoma"/>
                <w:sz w:val="19"/>
                <w:szCs w:val="19"/>
              </w:rPr>
            </w:pPr>
            <w:r w:rsidRPr="002449EA">
              <w:rPr>
                <w:rFonts w:ascii="Tahoma" w:hAnsi="Tahoma" w:cs="Tahoma"/>
                <w:sz w:val="19"/>
                <w:szCs w:val="19"/>
              </w:rPr>
              <w:t>199 dias</w:t>
            </w:r>
          </w:p>
        </w:tc>
      </w:tr>
      <w:tr w:rsidR="00AF6482" w:rsidRPr="00A075A1" w14:paraId="7E55A35E" w14:textId="77777777" w:rsidTr="00145E5A">
        <w:trPr>
          <w:trHeight w:val="1116"/>
        </w:trPr>
        <w:tc>
          <w:tcPr>
            <w:tcW w:w="1358" w:type="dxa"/>
            <w:vMerge/>
            <w:shd w:val="clear" w:color="auto" w:fill="auto"/>
            <w:tcMar>
              <w:top w:w="0" w:type="dxa"/>
              <w:left w:w="108" w:type="dxa"/>
              <w:bottom w:w="0" w:type="dxa"/>
              <w:right w:w="108" w:type="dxa"/>
            </w:tcMar>
            <w:vAlign w:val="center"/>
          </w:tcPr>
          <w:p w14:paraId="2466E01B" w14:textId="77777777" w:rsidR="00AF6482" w:rsidRPr="00A075A1" w:rsidRDefault="00AF6482"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19B0444D" w14:textId="77777777" w:rsidR="00AF6482" w:rsidRPr="00A075A1" w:rsidRDefault="00AF6482"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1A39054F" w14:textId="77777777" w:rsidR="00AF6482" w:rsidRPr="00A075A1" w:rsidRDefault="00AF6482" w:rsidP="00F86869">
            <w:pPr>
              <w:rPr>
                <w:rFonts w:ascii="Tahoma" w:hAnsi="Tahoma" w:cs="Tahoma"/>
                <w:sz w:val="19"/>
                <w:szCs w:val="19"/>
              </w:rPr>
            </w:pPr>
            <w:r w:rsidRPr="00A075A1">
              <w:rPr>
                <w:rFonts w:ascii="Tahoma" w:hAnsi="Tahoma" w:cs="Tahoma"/>
                <w:sz w:val="19"/>
                <w:szCs w:val="19"/>
              </w:rPr>
              <w:t>Tempo médio de contratação de operações do Programa Finep Startup (TMC-S)</w:t>
            </w:r>
          </w:p>
        </w:tc>
        <w:tc>
          <w:tcPr>
            <w:tcW w:w="1417" w:type="dxa"/>
            <w:shd w:val="clear" w:color="auto" w:fill="auto"/>
            <w:tcMar>
              <w:top w:w="0" w:type="dxa"/>
              <w:left w:w="108" w:type="dxa"/>
              <w:bottom w:w="0" w:type="dxa"/>
              <w:right w:w="108" w:type="dxa"/>
            </w:tcMar>
            <w:vAlign w:val="center"/>
          </w:tcPr>
          <w:p w14:paraId="188D582E"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300 dias</w:t>
            </w:r>
          </w:p>
        </w:tc>
        <w:tc>
          <w:tcPr>
            <w:tcW w:w="583" w:type="dxa"/>
            <w:gridSpan w:val="2"/>
            <w:shd w:val="clear" w:color="auto" w:fill="auto"/>
            <w:tcMar>
              <w:top w:w="0" w:type="dxa"/>
              <w:left w:w="11" w:type="dxa"/>
              <w:bottom w:w="0" w:type="dxa"/>
              <w:right w:w="10" w:type="dxa"/>
            </w:tcMar>
            <w:vAlign w:val="center"/>
          </w:tcPr>
          <w:p w14:paraId="017CA432" w14:textId="6EA44B67" w:rsidR="00AF6482" w:rsidRPr="00A075A1" w:rsidRDefault="00A075A1" w:rsidP="00F86869">
            <w:pPr>
              <w:jc w:val="center"/>
              <w:rPr>
                <w:rFonts w:ascii="Tahoma" w:hAnsi="Tahoma" w:cs="Tahoma"/>
                <w:sz w:val="19"/>
                <w:szCs w:val="19"/>
              </w:rPr>
            </w:pPr>
            <w:r>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25B3D095" w14:textId="77777777" w:rsidR="00AF6482" w:rsidRPr="002449EA" w:rsidRDefault="00AF6482" w:rsidP="00F86869">
            <w:pPr>
              <w:jc w:val="center"/>
              <w:rPr>
                <w:rFonts w:ascii="Tahoma" w:hAnsi="Tahoma" w:cs="Tahoma"/>
                <w:sz w:val="19"/>
                <w:szCs w:val="19"/>
              </w:rPr>
            </w:pPr>
            <w:r w:rsidRPr="002449EA">
              <w:rPr>
                <w:rFonts w:ascii="Tahoma" w:hAnsi="Tahoma" w:cs="Tahoma"/>
                <w:sz w:val="19"/>
                <w:szCs w:val="19"/>
              </w:rPr>
              <w:t>317 dias</w:t>
            </w:r>
          </w:p>
        </w:tc>
      </w:tr>
      <w:tr w:rsidR="00AF6482" w:rsidRPr="00A075A1" w14:paraId="0A047B44" w14:textId="77777777" w:rsidTr="00145E5A">
        <w:trPr>
          <w:trHeight w:val="578"/>
        </w:trPr>
        <w:tc>
          <w:tcPr>
            <w:tcW w:w="1358" w:type="dxa"/>
            <w:vMerge/>
            <w:shd w:val="clear" w:color="auto" w:fill="auto"/>
            <w:tcMar>
              <w:top w:w="0" w:type="dxa"/>
              <w:left w:w="108" w:type="dxa"/>
              <w:bottom w:w="0" w:type="dxa"/>
              <w:right w:w="108" w:type="dxa"/>
            </w:tcMar>
            <w:vAlign w:val="center"/>
          </w:tcPr>
          <w:p w14:paraId="36693E2E" w14:textId="77777777" w:rsidR="00AF6482" w:rsidRPr="00A075A1" w:rsidRDefault="00AF6482" w:rsidP="00F86869">
            <w:pPr>
              <w:rPr>
                <w:rFonts w:ascii="Tahoma" w:hAnsi="Tahoma" w:cs="Tahoma"/>
                <w:sz w:val="19"/>
                <w:szCs w:val="19"/>
              </w:rPr>
            </w:pPr>
          </w:p>
        </w:tc>
        <w:tc>
          <w:tcPr>
            <w:tcW w:w="2181" w:type="dxa"/>
            <w:vMerge w:val="restart"/>
            <w:shd w:val="clear" w:color="auto" w:fill="auto"/>
            <w:tcMar>
              <w:top w:w="0" w:type="dxa"/>
              <w:left w:w="108" w:type="dxa"/>
              <w:bottom w:w="0" w:type="dxa"/>
              <w:right w:w="108" w:type="dxa"/>
            </w:tcMar>
            <w:vAlign w:val="center"/>
          </w:tcPr>
          <w:p w14:paraId="7E8331AA" w14:textId="1C39CD31" w:rsidR="00AF6482" w:rsidRPr="00A075A1" w:rsidRDefault="00AF6482" w:rsidP="00F86869">
            <w:pPr>
              <w:rPr>
                <w:rStyle w:val="markedcontent"/>
                <w:rFonts w:ascii="Tahoma" w:hAnsi="Tahoma" w:cs="Tahoma"/>
                <w:sz w:val="19"/>
                <w:szCs w:val="19"/>
              </w:rPr>
            </w:pPr>
            <w:r w:rsidRPr="00A075A1">
              <w:rPr>
                <w:rStyle w:val="markedcontent"/>
                <w:rFonts w:ascii="Tahoma" w:hAnsi="Tahoma" w:cs="Tahoma"/>
                <w:sz w:val="19"/>
                <w:szCs w:val="19"/>
              </w:rPr>
              <w:t>Promover a inovação corporativa e a</w:t>
            </w:r>
            <w:r w:rsidR="00314A0D" w:rsidRPr="00A075A1">
              <w:rPr>
                <w:rStyle w:val="markedcontent"/>
                <w:rFonts w:ascii="Tahoma" w:hAnsi="Tahoma" w:cs="Tahoma"/>
                <w:sz w:val="19"/>
                <w:szCs w:val="19"/>
              </w:rPr>
              <w:t xml:space="preserve"> maturidade</w:t>
            </w:r>
            <w:r w:rsidRPr="00A075A1">
              <w:rPr>
                <w:rStyle w:val="markedcontent"/>
                <w:rFonts w:ascii="Tahoma" w:hAnsi="Tahoma" w:cs="Tahoma"/>
                <w:sz w:val="19"/>
                <w:szCs w:val="19"/>
              </w:rPr>
              <w:t xml:space="preserve"> digital</w:t>
            </w:r>
            <w:r w:rsidR="00314A0D" w:rsidRPr="00A075A1">
              <w:rPr>
                <w:rStyle w:val="markedcontent"/>
                <w:rFonts w:ascii="Tahoma" w:hAnsi="Tahoma" w:cs="Tahoma"/>
                <w:sz w:val="19"/>
                <w:szCs w:val="19"/>
              </w:rPr>
              <w:t xml:space="preserve"> da Finep</w:t>
            </w:r>
          </w:p>
        </w:tc>
        <w:tc>
          <w:tcPr>
            <w:tcW w:w="2552" w:type="dxa"/>
            <w:shd w:val="clear" w:color="auto" w:fill="auto"/>
            <w:tcMar>
              <w:top w:w="0" w:type="dxa"/>
              <w:left w:w="108" w:type="dxa"/>
              <w:bottom w:w="0" w:type="dxa"/>
              <w:right w:w="108" w:type="dxa"/>
            </w:tcMar>
            <w:vAlign w:val="center"/>
          </w:tcPr>
          <w:p w14:paraId="0A15477D" w14:textId="77777777" w:rsidR="00AF6482" w:rsidRPr="00A075A1" w:rsidRDefault="00AF6482" w:rsidP="00F86869">
            <w:pPr>
              <w:rPr>
                <w:rFonts w:ascii="Tahoma" w:hAnsi="Tahoma" w:cs="Tahoma"/>
                <w:sz w:val="19"/>
                <w:szCs w:val="19"/>
              </w:rPr>
            </w:pPr>
            <w:r w:rsidRPr="00A075A1">
              <w:rPr>
                <w:rStyle w:val="markedcontent"/>
                <w:rFonts w:ascii="Tahoma" w:hAnsi="Tahoma" w:cs="Tahoma"/>
                <w:sz w:val="19"/>
                <w:szCs w:val="19"/>
              </w:rPr>
              <w:t>Taxa de execução das</w:t>
            </w:r>
            <w:r w:rsidRPr="00A075A1">
              <w:rPr>
                <w:rFonts w:ascii="Tahoma" w:hAnsi="Tahoma" w:cs="Tahoma"/>
                <w:sz w:val="19"/>
                <w:szCs w:val="19"/>
              </w:rPr>
              <w:t xml:space="preserve"> </w:t>
            </w:r>
            <w:r w:rsidRPr="00A075A1">
              <w:rPr>
                <w:rStyle w:val="markedcontent"/>
                <w:rFonts w:ascii="Tahoma" w:hAnsi="Tahoma" w:cs="Tahoma"/>
                <w:sz w:val="19"/>
                <w:szCs w:val="19"/>
              </w:rPr>
              <w:t>ações de TI (TETI)</w:t>
            </w:r>
          </w:p>
        </w:tc>
        <w:tc>
          <w:tcPr>
            <w:tcW w:w="1417" w:type="dxa"/>
            <w:shd w:val="clear" w:color="auto" w:fill="auto"/>
            <w:tcMar>
              <w:top w:w="0" w:type="dxa"/>
              <w:left w:w="108" w:type="dxa"/>
              <w:bottom w:w="0" w:type="dxa"/>
              <w:right w:w="108" w:type="dxa"/>
            </w:tcMar>
            <w:vAlign w:val="center"/>
          </w:tcPr>
          <w:p w14:paraId="6D643C48" w14:textId="77777777" w:rsidR="00AF6482" w:rsidRPr="00A075A1" w:rsidRDefault="00AF6482" w:rsidP="00F86869">
            <w:pPr>
              <w:jc w:val="center"/>
              <w:rPr>
                <w:rFonts w:ascii="Tahoma" w:hAnsi="Tahoma" w:cs="Tahoma"/>
                <w:sz w:val="19"/>
                <w:szCs w:val="19"/>
              </w:rPr>
            </w:pPr>
            <w:r w:rsidRPr="00A075A1">
              <w:rPr>
                <w:rStyle w:val="markedcontent"/>
                <w:rFonts w:ascii="Tahoma" w:hAnsi="Tahoma" w:cs="Tahoma"/>
                <w:sz w:val="19"/>
                <w:szCs w:val="19"/>
              </w:rPr>
              <w:t>90%</w:t>
            </w:r>
          </w:p>
        </w:tc>
        <w:tc>
          <w:tcPr>
            <w:tcW w:w="583" w:type="dxa"/>
            <w:gridSpan w:val="2"/>
            <w:shd w:val="clear" w:color="auto" w:fill="auto"/>
            <w:tcMar>
              <w:top w:w="0" w:type="dxa"/>
              <w:left w:w="11" w:type="dxa"/>
              <w:bottom w:w="0" w:type="dxa"/>
              <w:right w:w="10" w:type="dxa"/>
            </w:tcMar>
            <w:vAlign w:val="center"/>
          </w:tcPr>
          <w:p w14:paraId="39698700" w14:textId="4CDA3679" w:rsidR="00AF6482" w:rsidRPr="00A075A1" w:rsidRDefault="00A075A1" w:rsidP="00F86869">
            <w:pPr>
              <w:jc w:val="center"/>
              <w:rPr>
                <w:rFonts w:ascii="Tahoma" w:hAnsi="Tahoma" w:cs="Tahoma"/>
                <w:sz w:val="19"/>
                <w:szCs w:val="19"/>
              </w:rPr>
            </w:pPr>
            <w:r>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206CD3C2" w14:textId="77777777" w:rsidR="00AF6482" w:rsidRPr="00A075A1" w:rsidRDefault="00AF6482" w:rsidP="00F86869">
            <w:pPr>
              <w:jc w:val="center"/>
              <w:rPr>
                <w:rFonts w:ascii="Tahoma" w:hAnsi="Tahoma" w:cs="Tahoma"/>
                <w:sz w:val="19"/>
                <w:szCs w:val="19"/>
              </w:rPr>
            </w:pPr>
            <w:r w:rsidRPr="00A075A1">
              <w:rPr>
                <w:rFonts w:ascii="Tahoma" w:hAnsi="Tahoma" w:cs="Tahoma"/>
                <w:sz w:val="19"/>
                <w:szCs w:val="19"/>
              </w:rPr>
              <w:t>98,11%</w:t>
            </w:r>
          </w:p>
        </w:tc>
      </w:tr>
      <w:tr w:rsidR="00AF6482" w:rsidRPr="00A075A1" w14:paraId="189E7C20" w14:textId="77777777" w:rsidTr="00145E5A">
        <w:trPr>
          <w:trHeight w:val="827"/>
        </w:trPr>
        <w:tc>
          <w:tcPr>
            <w:tcW w:w="1358" w:type="dxa"/>
            <w:vMerge/>
            <w:shd w:val="clear" w:color="auto" w:fill="auto"/>
            <w:tcMar>
              <w:top w:w="0" w:type="dxa"/>
              <w:left w:w="108" w:type="dxa"/>
              <w:bottom w:w="0" w:type="dxa"/>
              <w:right w:w="108" w:type="dxa"/>
            </w:tcMar>
            <w:vAlign w:val="center"/>
          </w:tcPr>
          <w:p w14:paraId="68F9A59C" w14:textId="77777777" w:rsidR="00AF6482" w:rsidRPr="00A075A1" w:rsidRDefault="00AF6482"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4C533D91" w14:textId="77777777" w:rsidR="00AF6482" w:rsidRPr="00A075A1" w:rsidRDefault="00AF6482" w:rsidP="00F86869">
            <w:pPr>
              <w:rPr>
                <w:rStyle w:val="markedcontent"/>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306DD318" w14:textId="77777777" w:rsidR="00AF6482" w:rsidRPr="00A075A1" w:rsidRDefault="00AF6482" w:rsidP="00F86869">
            <w:pPr>
              <w:rPr>
                <w:rStyle w:val="markedcontent"/>
                <w:rFonts w:ascii="Tahoma" w:hAnsi="Tahoma" w:cs="Tahoma"/>
                <w:sz w:val="19"/>
                <w:szCs w:val="19"/>
              </w:rPr>
            </w:pPr>
            <w:r w:rsidRPr="00A075A1">
              <w:rPr>
                <w:rStyle w:val="markedcontent"/>
                <w:rFonts w:ascii="Tahoma" w:hAnsi="Tahoma" w:cs="Tahoma"/>
                <w:sz w:val="19"/>
                <w:szCs w:val="19"/>
              </w:rPr>
              <w:t>Taxa de execução do roadmap da estratégia digital (TERED)</w:t>
            </w:r>
          </w:p>
        </w:tc>
        <w:tc>
          <w:tcPr>
            <w:tcW w:w="1417" w:type="dxa"/>
            <w:shd w:val="clear" w:color="auto" w:fill="auto"/>
            <w:tcMar>
              <w:top w:w="0" w:type="dxa"/>
              <w:left w:w="108" w:type="dxa"/>
              <w:bottom w:w="0" w:type="dxa"/>
              <w:right w:w="108" w:type="dxa"/>
            </w:tcMar>
            <w:vAlign w:val="center"/>
          </w:tcPr>
          <w:p w14:paraId="00481D62" w14:textId="2D06EB3C" w:rsidR="00AF6482" w:rsidRPr="00A075A1" w:rsidRDefault="00813547" w:rsidP="00F86869">
            <w:pPr>
              <w:jc w:val="center"/>
              <w:rPr>
                <w:rStyle w:val="markedcontent"/>
                <w:rFonts w:ascii="Tahoma" w:hAnsi="Tahoma" w:cs="Tahoma"/>
                <w:sz w:val="19"/>
                <w:szCs w:val="19"/>
              </w:rPr>
            </w:pPr>
            <w:r>
              <w:rPr>
                <w:rStyle w:val="markedcontent"/>
                <w:rFonts w:ascii="Tahoma" w:hAnsi="Tahoma" w:cs="Tahoma"/>
                <w:sz w:val="19"/>
                <w:szCs w:val="19"/>
              </w:rPr>
              <w:t>em estruturação</w:t>
            </w:r>
            <w:r w:rsidR="00314A0D" w:rsidRPr="00A075A1">
              <w:rPr>
                <w:rStyle w:val="markedcontent"/>
                <w:rFonts w:ascii="Tahoma" w:hAnsi="Tahoma" w:cs="Tahoma"/>
                <w:sz w:val="19"/>
                <w:szCs w:val="19"/>
              </w:rPr>
              <w:t>-</w:t>
            </w:r>
          </w:p>
        </w:tc>
        <w:tc>
          <w:tcPr>
            <w:tcW w:w="583" w:type="dxa"/>
            <w:gridSpan w:val="2"/>
            <w:shd w:val="clear" w:color="auto" w:fill="auto"/>
            <w:tcMar>
              <w:top w:w="0" w:type="dxa"/>
              <w:left w:w="11" w:type="dxa"/>
              <w:bottom w:w="0" w:type="dxa"/>
              <w:right w:w="10" w:type="dxa"/>
            </w:tcMar>
            <w:vAlign w:val="center"/>
          </w:tcPr>
          <w:p w14:paraId="699BEE06" w14:textId="2DC43037" w:rsidR="00AF6482" w:rsidRPr="00A075A1" w:rsidRDefault="00D06B42" w:rsidP="00F86869">
            <w:pPr>
              <w:jc w:val="center"/>
              <w:rPr>
                <w:rFonts w:ascii="Tahoma" w:eastAsia="Wingdings" w:hAnsi="Tahoma" w:cs="Tahoma"/>
                <w:sz w:val="19"/>
                <w:szCs w:val="19"/>
              </w:rPr>
            </w:pPr>
            <w:r>
              <w:rPr>
                <w:rFonts w:ascii="Tahoma" w:eastAsia="Wingdings" w:hAnsi="Tahoma" w:cs="Tahoma"/>
                <w:sz w:val="19"/>
                <w:szCs w:val="19"/>
              </w:rPr>
              <w:t>-</w:t>
            </w:r>
          </w:p>
        </w:tc>
        <w:tc>
          <w:tcPr>
            <w:tcW w:w="1543" w:type="dxa"/>
            <w:shd w:val="clear" w:color="auto" w:fill="auto"/>
            <w:tcMar>
              <w:top w:w="0" w:type="dxa"/>
              <w:left w:w="11" w:type="dxa"/>
              <w:bottom w:w="0" w:type="dxa"/>
              <w:right w:w="10" w:type="dxa"/>
            </w:tcMar>
            <w:vAlign w:val="center"/>
          </w:tcPr>
          <w:p w14:paraId="1E074994" w14:textId="5A7A7F6D" w:rsidR="00AF6482" w:rsidRPr="00A075A1" w:rsidRDefault="00D06B42" w:rsidP="00F86869">
            <w:pPr>
              <w:jc w:val="center"/>
              <w:rPr>
                <w:rFonts w:ascii="Tahoma" w:hAnsi="Tahoma" w:cs="Tahoma"/>
                <w:sz w:val="19"/>
                <w:szCs w:val="19"/>
              </w:rPr>
            </w:pPr>
            <w:r>
              <w:rPr>
                <w:rFonts w:ascii="Tahoma" w:hAnsi="Tahoma" w:cs="Tahoma"/>
                <w:sz w:val="19"/>
                <w:szCs w:val="19"/>
              </w:rPr>
              <w:t>-</w:t>
            </w:r>
          </w:p>
        </w:tc>
      </w:tr>
      <w:tr w:rsidR="00A075A1" w:rsidRPr="00A075A1" w14:paraId="6D14BC40" w14:textId="77777777" w:rsidTr="00145E5A">
        <w:trPr>
          <w:trHeight w:val="1263"/>
        </w:trPr>
        <w:tc>
          <w:tcPr>
            <w:tcW w:w="1358" w:type="dxa"/>
            <w:vMerge/>
            <w:shd w:val="clear" w:color="auto" w:fill="auto"/>
            <w:tcMar>
              <w:top w:w="0" w:type="dxa"/>
              <w:left w:w="108" w:type="dxa"/>
              <w:bottom w:w="0" w:type="dxa"/>
              <w:right w:w="108" w:type="dxa"/>
            </w:tcMar>
            <w:vAlign w:val="center"/>
          </w:tcPr>
          <w:p w14:paraId="130C846F" w14:textId="77777777" w:rsidR="00A075A1" w:rsidRPr="00A075A1" w:rsidRDefault="00A075A1" w:rsidP="00F86869">
            <w:pPr>
              <w:rPr>
                <w:rFonts w:ascii="Tahoma" w:hAnsi="Tahoma" w:cs="Tahoma"/>
                <w:sz w:val="19"/>
                <w:szCs w:val="19"/>
              </w:rPr>
            </w:pPr>
          </w:p>
        </w:tc>
        <w:tc>
          <w:tcPr>
            <w:tcW w:w="2181" w:type="dxa"/>
            <w:shd w:val="clear" w:color="auto" w:fill="auto"/>
            <w:tcMar>
              <w:top w:w="0" w:type="dxa"/>
              <w:left w:w="108" w:type="dxa"/>
              <w:bottom w:w="0" w:type="dxa"/>
              <w:right w:w="108" w:type="dxa"/>
            </w:tcMar>
            <w:vAlign w:val="center"/>
          </w:tcPr>
          <w:p w14:paraId="624161A0" w14:textId="77777777"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Estabelecer novas formas</w:t>
            </w:r>
            <w:r w:rsidRPr="00A075A1">
              <w:rPr>
                <w:rFonts w:ascii="Tahoma" w:hAnsi="Tahoma" w:cs="Tahoma"/>
                <w:sz w:val="19"/>
                <w:szCs w:val="19"/>
              </w:rPr>
              <w:t xml:space="preserve"> </w:t>
            </w:r>
            <w:r w:rsidRPr="00A075A1">
              <w:rPr>
                <w:rStyle w:val="markedcontent"/>
                <w:rFonts w:ascii="Tahoma" w:hAnsi="Tahoma" w:cs="Tahoma"/>
                <w:sz w:val="19"/>
                <w:szCs w:val="19"/>
              </w:rPr>
              <w:t>de programas, produtos e</w:t>
            </w:r>
            <w:r w:rsidRPr="00A075A1">
              <w:rPr>
                <w:rFonts w:ascii="Tahoma" w:hAnsi="Tahoma" w:cs="Tahoma"/>
                <w:sz w:val="19"/>
                <w:szCs w:val="19"/>
              </w:rPr>
              <w:t xml:space="preserve"> </w:t>
            </w:r>
            <w:r w:rsidRPr="00A075A1">
              <w:rPr>
                <w:rStyle w:val="markedcontent"/>
                <w:rFonts w:ascii="Tahoma" w:hAnsi="Tahoma" w:cs="Tahoma"/>
                <w:sz w:val="19"/>
                <w:szCs w:val="19"/>
              </w:rPr>
              <w:t>serviços para atender aos</w:t>
            </w:r>
            <w:r w:rsidRPr="00A075A1">
              <w:rPr>
                <w:rFonts w:ascii="Tahoma" w:hAnsi="Tahoma" w:cs="Tahoma"/>
                <w:sz w:val="19"/>
                <w:szCs w:val="19"/>
              </w:rPr>
              <w:t xml:space="preserve"> </w:t>
            </w:r>
            <w:r w:rsidRPr="00A075A1">
              <w:rPr>
                <w:rStyle w:val="markedcontent"/>
                <w:rFonts w:ascii="Tahoma" w:hAnsi="Tahoma" w:cs="Tahoma"/>
                <w:sz w:val="19"/>
                <w:szCs w:val="19"/>
              </w:rPr>
              <w:t>desafios da sociedade</w:t>
            </w:r>
          </w:p>
        </w:tc>
        <w:tc>
          <w:tcPr>
            <w:tcW w:w="2552" w:type="dxa"/>
            <w:shd w:val="clear" w:color="auto" w:fill="auto"/>
            <w:tcMar>
              <w:top w:w="0" w:type="dxa"/>
              <w:left w:w="108" w:type="dxa"/>
              <w:bottom w:w="0" w:type="dxa"/>
              <w:right w:w="108" w:type="dxa"/>
            </w:tcMar>
            <w:vAlign w:val="center"/>
          </w:tcPr>
          <w:p w14:paraId="014B2606" w14:textId="77777777"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Número de produtos</w:t>
            </w:r>
            <w:r w:rsidRPr="00A075A1">
              <w:rPr>
                <w:rFonts w:ascii="Tahoma" w:hAnsi="Tahoma" w:cs="Tahoma"/>
                <w:sz w:val="19"/>
                <w:szCs w:val="19"/>
              </w:rPr>
              <w:t xml:space="preserve"> </w:t>
            </w:r>
            <w:r w:rsidRPr="00A075A1">
              <w:rPr>
                <w:rStyle w:val="markedcontent"/>
                <w:rFonts w:ascii="Tahoma" w:hAnsi="Tahoma" w:cs="Tahoma"/>
                <w:sz w:val="19"/>
                <w:szCs w:val="19"/>
              </w:rPr>
              <w:t>significativamente</w:t>
            </w:r>
            <w:r w:rsidRPr="00A075A1">
              <w:rPr>
                <w:rFonts w:ascii="Tahoma" w:hAnsi="Tahoma" w:cs="Tahoma"/>
                <w:sz w:val="19"/>
                <w:szCs w:val="19"/>
              </w:rPr>
              <w:t xml:space="preserve"> </w:t>
            </w:r>
            <w:r w:rsidRPr="00A075A1">
              <w:rPr>
                <w:rStyle w:val="markedcontent"/>
                <w:rFonts w:ascii="Tahoma" w:hAnsi="Tahoma" w:cs="Tahoma"/>
                <w:sz w:val="19"/>
                <w:szCs w:val="19"/>
              </w:rPr>
              <w:t>aprimorados ou</w:t>
            </w:r>
            <w:r w:rsidRPr="00A075A1">
              <w:rPr>
                <w:rFonts w:ascii="Tahoma" w:hAnsi="Tahoma" w:cs="Tahoma"/>
                <w:sz w:val="19"/>
                <w:szCs w:val="19"/>
              </w:rPr>
              <w:t xml:space="preserve"> </w:t>
            </w:r>
            <w:r w:rsidRPr="00A075A1">
              <w:rPr>
                <w:rStyle w:val="markedcontent"/>
                <w:rFonts w:ascii="Tahoma" w:hAnsi="Tahoma" w:cs="Tahoma"/>
                <w:sz w:val="19"/>
                <w:szCs w:val="19"/>
              </w:rPr>
              <w:t>desenvolvidos (NPA)</w:t>
            </w:r>
          </w:p>
        </w:tc>
        <w:tc>
          <w:tcPr>
            <w:tcW w:w="1417" w:type="dxa"/>
            <w:shd w:val="clear" w:color="auto" w:fill="auto"/>
            <w:tcMar>
              <w:top w:w="0" w:type="dxa"/>
              <w:left w:w="108" w:type="dxa"/>
              <w:bottom w:w="0" w:type="dxa"/>
              <w:right w:w="108" w:type="dxa"/>
            </w:tcMar>
            <w:vAlign w:val="center"/>
          </w:tcPr>
          <w:p w14:paraId="3AFE6110" w14:textId="77777777" w:rsidR="00A075A1" w:rsidRPr="00A075A1" w:rsidRDefault="00A075A1" w:rsidP="00F86869">
            <w:pPr>
              <w:jc w:val="center"/>
              <w:rPr>
                <w:rFonts w:ascii="Tahoma" w:hAnsi="Tahoma" w:cs="Tahoma"/>
                <w:sz w:val="19"/>
                <w:szCs w:val="19"/>
              </w:rPr>
            </w:pPr>
            <w:r w:rsidRPr="00A075A1">
              <w:rPr>
                <w:rStyle w:val="markedcontent"/>
                <w:rFonts w:ascii="Tahoma" w:hAnsi="Tahoma" w:cs="Tahoma"/>
                <w:sz w:val="19"/>
                <w:szCs w:val="19"/>
              </w:rPr>
              <w:t>4 produtos</w:t>
            </w:r>
          </w:p>
        </w:tc>
        <w:tc>
          <w:tcPr>
            <w:tcW w:w="583" w:type="dxa"/>
            <w:gridSpan w:val="2"/>
            <w:shd w:val="clear" w:color="auto" w:fill="auto"/>
            <w:tcMar>
              <w:top w:w="0" w:type="dxa"/>
              <w:left w:w="11" w:type="dxa"/>
              <w:bottom w:w="0" w:type="dxa"/>
              <w:right w:w="10" w:type="dxa"/>
            </w:tcMar>
            <w:vAlign w:val="center"/>
          </w:tcPr>
          <w:p w14:paraId="4BDE7516" w14:textId="46EFAD59" w:rsidR="00A075A1" w:rsidRPr="00A075A1" w:rsidRDefault="00A075A1" w:rsidP="00F86869">
            <w:pPr>
              <w:jc w:val="center"/>
              <w:rPr>
                <w:rFonts w:ascii="Tahoma" w:hAnsi="Tahoma" w:cs="Tahoma"/>
                <w:sz w:val="19"/>
                <w:szCs w:val="19"/>
              </w:rPr>
            </w:pPr>
            <w:r w:rsidRPr="00B01495">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303E9CDE" w14:textId="77777777" w:rsidR="00A075A1" w:rsidRPr="00A075A1" w:rsidRDefault="00A075A1" w:rsidP="00F86869">
            <w:pPr>
              <w:jc w:val="center"/>
              <w:rPr>
                <w:rFonts w:ascii="Tahoma" w:hAnsi="Tahoma" w:cs="Tahoma"/>
                <w:sz w:val="19"/>
                <w:szCs w:val="19"/>
              </w:rPr>
            </w:pPr>
            <w:r w:rsidRPr="00A075A1">
              <w:rPr>
                <w:rFonts w:ascii="Tahoma" w:hAnsi="Tahoma" w:cs="Tahoma"/>
                <w:sz w:val="19"/>
                <w:szCs w:val="19"/>
              </w:rPr>
              <w:t>5 produtos</w:t>
            </w:r>
          </w:p>
        </w:tc>
      </w:tr>
      <w:tr w:rsidR="00A075A1" w:rsidRPr="00A075A1" w14:paraId="5D5402D4" w14:textId="77777777" w:rsidTr="00145E5A">
        <w:tc>
          <w:tcPr>
            <w:tcW w:w="1358" w:type="dxa"/>
            <w:vMerge/>
            <w:shd w:val="clear" w:color="auto" w:fill="auto"/>
            <w:tcMar>
              <w:top w:w="0" w:type="dxa"/>
              <w:left w:w="108" w:type="dxa"/>
              <w:bottom w:w="0" w:type="dxa"/>
              <w:right w:w="108" w:type="dxa"/>
            </w:tcMar>
            <w:vAlign w:val="center"/>
          </w:tcPr>
          <w:p w14:paraId="4F86C7A7" w14:textId="77777777" w:rsidR="00A075A1" w:rsidRPr="00A075A1" w:rsidRDefault="00A075A1" w:rsidP="00F86869">
            <w:pPr>
              <w:rPr>
                <w:rFonts w:ascii="Tahoma" w:hAnsi="Tahoma" w:cs="Tahoma"/>
                <w:sz w:val="19"/>
                <w:szCs w:val="19"/>
              </w:rPr>
            </w:pPr>
          </w:p>
        </w:tc>
        <w:tc>
          <w:tcPr>
            <w:tcW w:w="2181" w:type="dxa"/>
            <w:vMerge w:val="restart"/>
            <w:shd w:val="clear" w:color="auto" w:fill="auto"/>
            <w:tcMar>
              <w:top w:w="0" w:type="dxa"/>
              <w:left w:w="108" w:type="dxa"/>
              <w:bottom w:w="0" w:type="dxa"/>
              <w:right w:w="108" w:type="dxa"/>
            </w:tcMar>
            <w:vAlign w:val="center"/>
          </w:tcPr>
          <w:p w14:paraId="00A63ACC" w14:textId="69E5E570"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Fortalecer arranjos de</w:t>
            </w:r>
            <w:r w:rsidRPr="00A075A1">
              <w:rPr>
                <w:rFonts w:ascii="Tahoma" w:hAnsi="Tahoma" w:cs="Tahoma"/>
                <w:sz w:val="19"/>
                <w:szCs w:val="19"/>
              </w:rPr>
              <w:t xml:space="preserve"> </w:t>
            </w:r>
            <w:r w:rsidRPr="00A075A1">
              <w:rPr>
                <w:rStyle w:val="markedcontent"/>
                <w:rFonts w:ascii="Tahoma" w:hAnsi="Tahoma" w:cs="Tahoma"/>
                <w:sz w:val="19"/>
                <w:szCs w:val="19"/>
              </w:rPr>
              <w:t>cooperação, alianças e</w:t>
            </w:r>
            <w:r w:rsidRPr="00A075A1">
              <w:rPr>
                <w:rFonts w:ascii="Tahoma" w:hAnsi="Tahoma" w:cs="Tahoma"/>
                <w:sz w:val="19"/>
                <w:szCs w:val="19"/>
              </w:rPr>
              <w:t xml:space="preserve"> </w:t>
            </w:r>
            <w:r w:rsidRPr="00A075A1">
              <w:rPr>
                <w:rStyle w:val="markedcontent"/>
                <w:rFonts w:ascii="Tahoma" w:hAnsi="Tahoma" w:cs="Tahoma"/>
                <w:sz w:val="19"/>
                <w:szCs w:val="19"/>
              </w:rPr>
              <w:t>parcerias estratégicas voltadas</w:t>
            </w:r>
            <w:r w:rsidRPr="00A075A1">
              <w:rPr>
                <w:rFonts w:ascii="Tahoma" w:hAnsi="Tahoma" w:cs="Tahoma"/>
                <w:sz w:val="19"/>
                <w:szCs w:val="19"/>
              </w:rPr>
              <w:t xml:space="preserve"> </w:t>
            </w:r>
            <w:r w:rsidRPr="00A075A1">
              <w:rPr>
                <w:rStyle w:val="markedcontent"/>
                <w:rFonts w:ascii="Tahoma" w:hAnsi="Tahoma" w:cs="Tahoma"/>
                <w:sz w:val="19"/>
                <w:szCs w:val="19"/>
              </w:rPr>
              <w:t>ao fomento de atividades de</w:t>
            </w:r>
            <w:r w:rsidRPr="00A075A1">
              <w:rPr>
                <w:rFonts w:ascii="Tahoma" w:hAnsi="Tahoma" w:cs="Tahoma"/>
                <w:sz w:val="19"/>
                <w:szCs w:val="19"/>
              </w:rPr>
              <w:t xml:space="preserve"> </w:t>
            </w:r>
            <w:bookmarkStart w:id="55" w:name="_Int_5dgBp6MH"/>
            <w:r w:rsidRPr="00A075A1">
              <w:rPr>
                <w:rStyle w:val="markedcontent"/>
                <w:rFonts w:ascii="Tahoma" w:hAnsi="Tahoma" w:cs="Tahoma"/>
                <w:sz w:val="19"/>
                <w:szCs w:val="19"/>
              </w:rPr>
              <w:t>CT</w:t>
            </w:r>
            <w:bookmarkEnd w:id="55"/>
            <w:r w:rsidRPr="00A075A1">
              <w:rPr>
                <w:rStyle w:val="markedcontent"/>
                <w:rFonts w:ascii="Tahoma" w:hAnsi="Tahoma" w:cs="Tahoma"/>
                <w:sz w:val="19"/>
                <w:szCs w:val="19"/>
              </w:rPr>
              <w:t>&amp;I que contribuam para o</w:t>
            </w:r>
            <w:r w:rsidRPr="00A075A1">
              <w:rPr>
                <w:rFonts w:ascii="Tahoma" w:hAnsi="Tahoma" w:cs="Tahoma"/>
                <w:sz w:val="19"/>
                <w:szCs w:val="19"/>
              </w:rPr>
              <w:t xml:space="preserve"> </w:t>
            </w:r>
            <w:r w:rsidRPr="00A075A1">
              <w:rPr>
                <w:rStyle w:val="markedcontent"/>
                <w:rFonts w:ascii="Tahoma" w:hAnsi="Tahoma" w:cs="Tahoma"/>
                <w:sz w:val="19"/>
                <w:szCs w:val="19"/>
              </w:rPr>
              <w:t>desenvolvimento do País</w:t>
            </w:r>
          </w:p>
        </w:tc>
        <w:tc>
          <w:tcPr>
            <w:tcW w:w="2552" w:type="dxa"/>
            <w:shd w:val="clear" w:color="auto" w:fill="auto"/>
            <w:tcMar>
              <w:top w:w="0" w:type="dxa"/>
              <w:left w:w="108" w:type="dxa"/>
              <w:bottom w:w="0" w:type="dxa"/>
              <w:right w:w="108" w:type="dxa"/>
            </w:tcMar>
            <w:vAlign w:val="center"/>
          </w:tcPr>
          <w:p w14:paraId="042A5185" w14:textId="77777777"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Taxa de chamadas</w:t>
            </w:r>
            <w:r w:rsidRPr="00A075A1">
              <w:rPr>
                <w:rFonts w:ascii="Tahoma" w:hAnsi="Tahoma" w:cs="Tahoma"/>
                <w:sz w:val="19"/>
                <w:szCs w:val="19"/>
              </w:rPr>
              <w:t xml:space="preserve"> </w:t>
            </w:r>
            <w:r w:rsidRPr="00A075A1">
              <w:rPr>
                <w:rStyle w:val="markedcontent"/>
                <w:rFonts w:ascii="Tahoma" w:hAnsi="Tahoma" w:cs="Tahoma"/>
                <w:sz w:val="19"/>
                <w:szCs w:val="19"/>
              </w:rPr>
              <w:t>públicas lançadas em</w:t>
            </w:r>
            <w:r w:rsidRPr="00A075A1">
              <w:rPr>
                <w:rFonts w:ascii="Tahoma" w:hAnsi="Tahoma" w:cs="Tahoma"/>
                <w:sz w:val="19"/>
                <w:szCs w:val="19"/>
              </w:rPr>
              <w:t xml:space="preserve"> </w:t>
            </w:r>
            <w:r w:rsidRPr="00A075A1">
              <w:rPr>
                <w:rStyle w:val="markedcontent"/>
                <w:rFonts w:ascii="Tahoma" w:hAnsi="Tahoma" w:cs="Tahoma"/>
                <w:sz w:val="19"/>
                <w:szCs w:val="19"/>
              </w:rPr>
              <w:t>parceria (TCPP)</w:t>
            </w:r>
          </w:p>
        </w:tc>
        <w:tc>
          <w:tcPr>
            <w:tcW w:w="1417" w:type="dxa"/>
            <w:shd w:val="clear" w:color="auto" w:fill="auto"/>
            <w:tcMar>
              <w:top w:w="0" w:type="dxa"/>
              <w:left w:w="108" w:type="dxa"/>
              <w:bottom w:w="0" w:type="dxa"/>
              <w:right w:w="108" w:type="dxa"/>
            </w:tcMar>
            <w:vAlign w:val="center"/>
          </w:tcPr>
          <w:p w14:paraId="668611A3" w14:textId="77777777" w:rsidR="00A075A1" w:rsidRPr="00A075A1" w:rsidRDefault="00A075A1" w:rsidP="00F86869">
            <w:pPr>
              <w:jc w:val="center"/>
              <w:rPr>
                <w:rFonts w:ascii="Tahoma" w:hAnsi="Tahoma" w:cs="Tahoma"/>
                <w:sz w:val="19"/>
                <w:szCs w:val="19"/>
              </w:rPr>
            </w:pPr>
            <w:r w:rsidRPr="00A075A1">
              <w:rPr>
                <w:rStyle w:val="markedcontent"/>
                <w:rFonts w:ascii="Tahoma" w:hAnsi="Tahoma" w:cs="Tahoma"/>
                <w:sz w:val="19"/>
                <w:szCs w:val="19"/>
              </w:rPr>
              <w:t>40%</w:t>
            </w:r>
          </w:p>
        </w:tc>
        <w:tc>
          <w:tcPr>
            <w:tcW w:w="583" w:type="dxa"/>
            <w:gridSpan w:val="2"/>
            <w:shd w:val="clear" w:color="auto" w:fill="auto"/>
            <w:tcMar>
              <w:top w:w="0" w:type="dxa"/>
              <w:left w:w="11" w:type="dxa"/>
              <w:bottom w:w="0" w:type="dxa"/>
              <w:right w:w="10" w:type="dxa"/>
            </w:tcMar>
            <w:vAlign w:val="center"/>
          </w:tcPr>
          <w:p w14:paraId="405F9A00" w14:textId="73DA11A3" w:rsidR="00A075A1" w:rsidRPr="00A075A1" w:rsidRDefault="00A075A1" w:rsidP="00F86869">
            <w:pPr>
              <w:jc w:val="center"/>
              <w:rPr>
                <w:rFonts w:ascii="Tahoma" w:hAnsi="Tahoma" w:cs="Tahoma"/>
                <w:sz w:val="19"/>
                <w:szCs w:val="19"/>
              </w:rPr>
            </w:pPr>
            <w:r w:rsidRPr="00B01495">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2EA3CF49" w14:textId="77777777" w:rsidR="00A075A1" w:rsidRPr="00A075A1" w:rsidRDefault="00A075A1" w:rsidP="00F86869">
            <w:pPr>
              <w:jc w:val="center"/>
              <w:rPr>
                <w:rFonts w:ascii="Tahoma" w:hAnsi="Tahoma" w:cs="Tahoma"/>
                <w:sz w:val="19"/>
                <w:szCs w:val="19"/>
              </w:rPr>
            </w:pPr>
            <w:r w:rsidRPr="00A075A1">
              <w:rPr>
                <w:rFonts w:ascii="Tahoma" w:hAnsi="Tahoma" w:cs="Tahoma"/>
                <w:sz w:val="19"/>
                <w:szCs w:val="19"/>
              </w:rPr>
              <w:t>33,33%</w:t>
            </w:r>
          </w:p>
        </w:tc>
      </w:tr>
      <w:tr w:rsidR="00A075A1" w:rsidRPr="00A075A1" w14:paraId="4BC037F3" w14:textId="77777777" w:rsidTr="00145E5A">
        <w:trPr>
          <w:trHeight w:val="1278"/>
        </w:trPr>
        <w:tc>
          <w:tcPr>
            <w:tcW w:w="1358" w:type="dxa"/>
            <w:vMerge/>
            <w:shd w:val="clear" w:color="auto" w:fill="auto"/>
            <w:tcMar>
              <w:top w:w="0" w:type="dxa"/>
              <w:left w:w="108" w:type="dxa"/>
              <w:bottom w:w="0" w:type="dxa"/>
              <w:right w:w="108" w:type="dxa"/>
            </w:tcMar>
            <w:vAlign w:val="center"/>
          </w:tcPr>
          <w:p w14:paraId="7AFD5AA6" w14:textId="77777777" w:rsidR="00A075A1" w:rsidRPr="00A075A1" w:rsidRDefault="00A075A1"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648B9820" w14:textId="77777777" w:rsidR="00A075A1" w:rsidRPr="00A075A1" w:rsidRDefault="00A075A1"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5A57ED59" w14:textId="364346F9"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Agentes do financiamento</w:t>
            </w:r>
            <w:r w:rsidRPr="00A075A1">
              <w:rPr>
                <w:rFonts w:ascii="Tahoma" w:hAnsi="Tahoma" w:cs="Tahoma"/>
                <w:sz w:val="19"/>
                <w:szCs w:val="19"/>
              </w:rPr>
              <w:t xml:space="preserve"> </w:t>
            </w:r>
            <w:r w:rsidRPr="00A075A1">
              <w:rPr>
                <w:rStyle w:val="markedcontent"/>
                <w:rFonts w:ascii="Tahoma" w:hAnsi="Tahoma" w:cs="Tahoma"/>
                <w:sz w:val="19"/>
                <w:szCs w:val="19"/>
              </w:rPr>
              <w:t>reembolsável descentralizado</w:t>
            </w:r>
            <w:r w:rsidRPr="00A075A1">
              <w:rPr>
                <w:rFonts w:ascii="Tahoma" w:hAnsi="Tahoma" w:cs="Tahoma"/>
                <w:sz w:val="19"/>
                <w:szCs w:val="19"/>
              </w:rPr>
              <w:t xml:space="preserve"> </w:t>
            </w:r>
            <w:r w:rsidRPr="00A075A1">
              <w:rPr>
                <w:rStyle w:val="markedcontent"/>
                <w:rFonts w:ascii="Tahoma" w:hAnsi="Tahoma" w:cs="Tahoma"/>
                <w:sz w:val="19"/>
                <w:szCs w:val="19"/>
              </w:rPr>
              <w:t>ativos (AFRD)</w:t>
            </w:r>
          </w:p>
        </w:tc>
        <w:tc>
          <w:tcPr>
            <w:tcW w:w="1417" w:type="dxa"/>
            <w:shd w:val="clear" w:color="auto" w:fill="auto"/>
            <w:tcMar>
              <w:top w:w="0" w:type="dxa"/>
              <w:left w:w="108" w:type="dxa"/>
              <w:bottom w:w="0" w:type="dxa"/>
              <w:right w:w="108" w:type="dxa"/>
            </w:tcMar>
            <w:vAlign w:val="center"/>
          </w:tcPr>
          <w:p w14:paraId="7A39547B" w14:textId="77777777" w:rsidR="00A075A1" w:rsidRPr="00A075A1" w:rsidRDefault="00A075A1" w:rsidP="00F86869">
            <w:pPr>
              <w:jc w:val="center"/>
              <w:rPr>
                <w:rFonts w:ascii="Tahoma" w:hAnsi="Tahoma" w:cs="Tahoma"/>
                <w:sz w:val="19"/>
                <w:szCs w:val="19"/>
              </w:rPr>
            </w:pPr>
            <w:r w:rsidRPr="00A075A1">
              <w:rPr>
                <w:rStyle w:val="markedcontent"/>
                <w:rFonts w:ascii="Tahoma" w:hAnsi="Tahoma" w:cs="Tahoma"/>
                <w:sz w:val="19"/>
                <w:szCs w:val="19"/>
              </w:rPr>
              <w:t>54,55%</w:t>
            </w:r>
          </w:p>
        </w:tc>
        <w:tc>
          <w:tcPr>
            <w:tcW w:w="583" w:type="dxa"/>
            <w:gridSpan w:val="2"/>
            <w:shd w:val="clear" w:color="auto" w:fill="auto"/>
            <w:tcMar>
              <w:top w:w="0" w:type="dxa"/>
              <w:left w:w="11" w:type="dxa"/>
              <w:bottom w:w="0" w:type="dxa"/>
              <w:right w:w="10" w:type="dxa"/>
            </w:tcMar>
            <w:vAlign w:val="center"/>
          </w:tcPr>
          <w:p w14:paraId="046AFB22" w14:textId="0FE3800C" w:rsidR="00A075A1" w:rsidRPr="00A075A1" w:rsidRDefault="00A075A1" w:rsidP="00F86869">
            <w:pPr>
              <w:jc w:val="center"/>
              <w:rPr>
                <w:rFonts w:ascii="Tahoma" w:hAnsi="Tahoma" w:cs="Tahoma"/>
                <w:sz w:val="19"/>
                <w:szCs w:val="19"/>
              </w:rPr>
            </w:pPr>
            <w:r w:rsidRPr="00B01495">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1730F1FD" w14:textId="77777777" w:rsidR="00A075A1" w:rsidRPr="00A075A1" w:rsidRDefault="00A075A1" w:rsidP="00F86869">
            <w:pPr>
              <w:jc w:val="center"/>
              <w:rPr>
                <w:rFonts w:ascii="Tahoma" w:hAnsi="Tahoma" w:cs="Tahoma"/>
                <w:sz w:val="19"/>
                <w:szCs w:val="19"/>
              </w:rPr>
            </w:pPr>
            <w:r w:rsidRPr="00A075A1">
              <w:rPr>
                <w:rFonts w:ascii="Tahoma" w:hAnsi="Tahoma" w:cs="Tahoma"/>
                <w:sz w:val="19"/>
                <w:szCs w:val="19"/>
              </w:rPr>
              <w:t>53,57%</w:t>
            </w:r>
          </w:p>
        </w:tc>
      </w:tr>
      <w:tr w:rsidR="00AF6482" w:rsidRPr="00A075A1" w14:paraId="7C5D779B" w14:textId="77777777" w:rsidTr="00145E5A">
        <w:trPr>
          <w:trHeight w:val="1706"/>
        </w:trPr>
        <w:tc>
          <w:tcPr>
            <w:tcW w:w="1358" w:type="dxa"/>
            <w:vMerge/>
            <w:shd w:val="clear" w:color="auto" w:fill="auto"/>
            <w:tcMar>
              <w:top w:w="0" w:type="dxa"/>
              <w:left w:w="108" w:type="dxa"/>
              <w:bottom w:w="0" w:type="dxa"/>
              <w:right w:w="108" w:type="dxa"/>
            </w:tcMar>
            <w:vAlign w:val="center"/>
          </w:tcPr>
          <w:p w14:paraId="282F323B" w14:textId="77777777" w:rsidR="00AF6482" w:rsidRPr="00A075A1" w:rsidRDefault="00AF6482" w:rsidP="00F86869">
            <w:pPr>
              <w:rPr>
                <w:rFonts w:ascii="Tahoma" w:hAnsi="Tahoma" w:cs="Tahoma"/>
                <w:sz w:val="19"/>
                <w:szCs w:val="19"/>
              </w:rPr>
            </w:pPr>
          </w:p>
        </w:tc>
        <w:tc>
          <w:tcPr>
            <w:tcW w:w="2181" w:type="dxa"/>
            <w:shd w:val="clear" w:color="auto" w:fill="auto"/>
            <w:tcMar>
              <w:top w:w="0" w:type="dxa"/>
              <w:left w:w="108" w:type="dxa"/>
              <w:bottom w:w="0" w:type="dxa"/>
              <w:right w:w="108" w:type="dxa"/>
            </w:tcMar>
            <w:vAlign w:val="center"/>
          </w:tcPr>
          <w:p w14:paraId="35A6C9D1" w14:textId="77777777" w:rsidR="00AF6482" w:rsidRPr="00A075A1" w:rsidRDefault="00AF6482" w:rsidP="00F86869">
            <w:pPr>
              <w:rPr>
                <w:rFonts w:ascii="Tahoma" w:hAnsi="Tahoma" w:cs="Tahoma"/>
                <w:sz w:val="19"/>
                <w:szCs w:val="19"/>
              </w:rPr>
            </w:pPr>
            <w:r w:rsidRPr="00A075A1">
              <w:rPr>
                <w:rStyle w:val="markedcontent"/>
                <w:rFonts w:ascii="Tahoma" w:hAnsi="Tahoma" w:cs="Tahoma"/>
                <w:sz w:val="19"/>
                <w:szCs w:val="19"/>
              </w:rPr>
              <w:t>Aperfeiçoar mecanismos</w:t>
            </w:r>
            <w:r w:rsidRPr="00A075A1">
              <w:rPr>
                <w:rFonts w:ascii="Tahoma" w:hAnsi="Tahoma" w:cs="Tahoma"/>
                <w:sz w:val="19"/>
                <w:szCs w:val="19"/>
              </w:rPr>
              <w:t xml:space="preserve"> </w:t>
            </w:r>
            <w:r w:rsidRPr="00A075A1">
              <w:rPr>
                <w:rStyle w:val="markedcontent"/>
                <w:rFonts w:ascii="Tahoma" w:hAnsi="Tahoma" w:cs="Tahoma"/>
                <w:sz w:val="19"/>
                <w:szCs w:val="19"/>
              </w:rPr>
              <w:t>de transparência,</w:t>
            </w:r>
            <w:r w:rsidRPr="00A075A1">
              <w:rPr>
                <w:rFonts w:ascii="Tahoma" w:hAnsi="Tahoma" w:cs="Tahoma"/>
                <w:sz w:val="19"/>
                <w:szCs w:val="19"/>
              </w:rPr>
              <w:t xml:space="preserve"> </w:t>
            </w:r>
            <w:r w:rsidRPr="00A075A1">
              <w:rPr>
                <w:rStyle w:val="markedcontent"/>
                <w:rFonts w:ascii="Tahoma" w:hAnsi="Tahoma" w:cs="Tahoma"/>
                <w:sz w:val="19"/>
                <w:szCs w:val="19"/>
              </w:rPr>
              <w:t>conformidade, integridade e</w:t>
            </w:r>
            <w:r w:rsidRPr="00A075A1">
              <w:rPr>
                <w:rFonts w:ascii="Tahoma" w:hAnsi="Tahoma" w:cs="Tahoma"/>
                <w:sz w:val="19"/>
                <w:szCs w:val="19"/>
              </w:rPr>
              <w:t xml:space="preserve"> </w:t>
            </w:r>
            <w:r w:rsidRPr="00A075A1">
              <w:rPr>
                <w:rStyle w:val="markedcontent"/>
                <w:rFonts w:ascii="Tahoma" w:hAnsi="Tahoma" w:cs="Tahoma"/>
                <w:sz w:val="19"/>
                <w:szCs w:val="19"/>
              </w:rPr>
              <w:t>comunicação institucional</w:t>
            </w:r>
          </w:p>
        </w:tc>
        <w:tc>
          <w:tcPr>
            <w:tcW w:w="2552" w:type="dxa"/>
            <w:shd w:val="clear" w:color="auto" w:fill="auto"/>
            <w:tcMar>
              <w:top w:w="0" w:type="dxa"/>
              <w:left w:w="108" w:type="dxa"/>
              <w:bottom w:w="0" w:type="dxa"/>
              <w:right w:w="108" w:type="dxa"/>
            </w:tcMar>
            <w:vAlign w:val="center"/>
          </w:tcPr>
          <w:p w14:paraId="5A991C3C" w14:textId="546A4545" w:rsidR="00AF6482" w:rsidRPr="00A075A1" w:rsidRDefault="00AF6482" w:rsidP="00F86869">
            <w:pPr>
              <w:rPr>
                <w:rFonts w:ascii="Tahoma" w:hAnsi="Tahoma" w:cs="Tahoma"/>
                <w:sz w:val="19"/>
                <w:szCs w:val="19"/>
              </w:rPr>
            </w:pPr>
            <w:r w:rsidRPr="00A075A1">
              <w:rPr>
                <w:rStyle w:val="markedcontent"/>
                <w:rFonts w:ascii="Tahoma" w:hAnsi="Tahoma" w:cs="Tahoma"/>
                <w:sz w:val="19"/>
                <w:szCs w:val="19"/>
              </w:rPr>
              <w:t>Indicador de conformidade SEST (IC-SEST)</w:t>
            </w:r>
            <w:r w:rsidR="00722982">
              <w:rPr>
                <w:rStyle w:val="markedcontent"/>
                <w:rFonts w:ascii="Tahoma" w:hAnsi="Tahoma" w:cs="Tahoma"/>
                <w:sz w:val="19"/>
                <w:szCs w:val="19"/>
              </w:rPr>
              <w:t>*</w:t>
            </w:r>
          </w:p>
        </w:tc>
        <w:tc>
          <w:tcPr>
            <w:tcW w:w="1417" w:type="dxa"/>
            <w:shd w:val="clear" w:color="auto" w:fill="auto"/>
            <w:tcMar>
              <w:top w:w="0" w:type="dxa"/>
              <w:left w:w="108" w:type="dxa"/>
              <w:bottom w:w="0" w:type="dxa"/>
              <w:right w:w="108" w:type="dxa"/>
            </w:tcMar>
            <w:vAlign w:val="center"/>
          </w:tcPr>
          <w:p w14:paraId="3EDD0450" w14:textId="77777777" w:rsidR="00AF6482" w:rsidRPr="00A075A1" w:rsidRDefault="00AF6482" w:rsidP="00F86869">
            <w:pPr>
              <w:jc w:val="center"/>
              <w:rPr>
                <w:rFonts w:ascii="Tahoma" w:hAnsi="Tahoma" w:cs="Tahoma"/>
                <w:sz w:val="19"/>
                <w:szCs w:val="19"/>
              </w:rPr>
            </w:pPr>
            <w:r w:rsidRPr="00A075A1">
              <w:rPr>
                <w:rStyle w:val="markedcontent"/>
                <w:rFonts w:ascii="Tahoma" w:hAnsi="Tahoma" w:cs="Tahoma"/>
                <w:sz w:val="19"/>
                <w:szCs w:val="19"/>
              </w:rPr>
              <w:t>1.000 pontos</w:t>
            </w:r>
          </w:p>
        </w:tc>
        <w:tc>
          <w:tcPr>
            <w:tcW w:w="583" w:type="dxa"/>
            <w:gridSpan w:val="2"/>
            <w:shd w:val="clear" w:color="auto" w:fill="auto"/>
            <w:tcMar>
              <w:top w:w="0" w:type="dxa"/>
              <w:left w:w="11" w:type="dxa"/>
              <w:bottom w:w="0" w:type="dxa"/>
              <w:right w:w="10" w:type="dxa"/>
            </w:tcMar>
            <w:vAlign w:val="center"/>
          </w:tcPr>
          <w:p w14:paraId="3FFB34B9" w14:textId="4FE8B713" w:rsidR="00AF6482" w:rsidRPr="00A075A1" w:rsidRDefault="00D06B42" w:rsidP="00F86869">
            <w:pPr>
              <w:jc w:val="center"/>
              <w:rPr>
                <w:rFonts w:ascii="Tahoma" w:hAnsi="Tahoma" w:cs="Tahoma"/>
                <w:sz w:val="19"/>
                <w:szCs w:val="19"/>
              </w:rPr>
            </w:pPr>
            <w:r w:rsidRPr="00B01495">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232277DF" w14:textId="28776372" w:rsidR="00AF6482" w:rsidRPr="00A075A1" w:rsidRDefault="00D06B42" w:rsidP="00F86869">
            <w:pPr>
              <w:jc w:val="center"/>
              <w:rPr>
                <w:rFonts w:ascii="Tahoma" w:hAnsi="Tahoma" w:cs="Tahoma"/>
                <w:sz w:val="19"/>
                <w:szCs w:val="19"/>
              </w:rPr>
            </w:pPr>
            <w:r>
              <w:rPr>
                <w:rFonts w:ascii="Tahoma" w:hAnsi="Tahoma" w:cs="Tahoma"/>
                <w:sz w:val="19"/>
                <w:szCs w:val="19"/>
              </w:rPr>
              <w:t>-</w:t>
            </w:r>
          </w:p>
        </w:tc>
      </w:tr>
      <w:tr w:rsidR="00A075A1" w:rsidRPr="00A075A1" w14:paraId="6C9A0CA3" w14:textId="77777777" w:rsidTr="00145E5A">
        <w:trPr>
          <w:trHeight w:val="1688"/>
        </w:trPr>
        <w:tc>
          <w:tcPr>
            <w:tcW w:w="1358" w:type="dxa"/>
            <w:vMerge w:val="restart"/>
            <w:shd w:val="clear" w:color="auto" w:fill="auto"/>
            <w:tcMar>
              <w:top w:w="0" w:type="dxa"/>
              <w:left w:w="108" w:type="dxa"/>
              <w:bottom w:w="0" w:type="dxa"/>
              <w:right w:w="108" w:type="dxa"/>
            </w:tcMar>
            <w:vAlign w:val="center"/>
          </w:tcPr>
          <w:p w14:paraId="28C26E18" w14:textId="77777777" w:rsidR="00A075A1" w:rsidRPr="00A075A1" w:rsidRDefault="00A075A1" w:rsidP="00F86869">
            <w:pPr>
              <w:rPr>
                <w:rFonts w:ascii="Tahoma" w:hAnsi="Tahoma" w:cs="Tahoma"/>
                <w:sz w:val="19"/>
                <w:szCs w:val="19"/>
              </w:rPr>
            </w:pPr>
            <w:r w:rsidRPr="00A075A1">
              <w:rPr>
                <w:rFonts w:ascii="Tahoma" w:hAnsi="Tahoma" w:cs="Tahoma"/>
                <w:sz w:val="19"/>
                <w:szCs w:val="19"/>
              </w:rPr>
              <w:t>Recursos e competências</w:t>
            </w:r>
          </w:p>
        </w:tc>
        <w:tc>
          <w:tcPr>
            <w:tcW w:w="2181" w:type="dxa"/>
            <w:shd w:val="clear" w:color="auto" w:fill="auto"/>
            <w:tcMar>
              <w:top w:w="0" w:type="dxa"/>
              <w:left w:w="108" w:type="dxa"/>
              <w:bottom w:w="0" w:type="dxa"/>
              <w:right w:w="108" w:type="dxa"/>
            </w:tcMar>
            <w:vAlign w:val="center"/>
          </w:tcPr>
          <w:p w14:paraId="46066111" w14:textId="77777777"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Desenvolver práticas de</w:t>
            </w:r>
            <w:r w:rsidRPr="00A075A1">
              <w:rPr>
                <w:rFonts w:ascii="Tahoma" w:hAnsi="Tahoma" w:cs="Tahoma"/>
                <w:sz w:val="19"/>
                <w:szCs w:val="19"/>
              </w:rPr>
              <w:t xml:space="preserve"> </w:t>
            </w:r>
            <w:r w:rsidRPr="00A075A1">
              <w:rPr>
                <w:rStyle w:val="markedcontent"/>
                <w:rFonts w:ascii="Tahoma" w:hAnsi="Tahoma" w:cs="Tahoma"/>
                <w:sz w:val="19"/>
                <w:szCs w:val="19"/>
              </w:rPr>
              <w:t>gestão de pessoas,</w:t>
            </w:r>
            <w:r w:rsidRPr="00A075A1">
              <w:rPr>
                <w:rFonts w:ascii="Tahoma" w:hAnsi="Tahoma" w:cs="Tahoma"/>
                <w:sz w:val="19"/>
                <w:szCs w:val="19"/>
              </w:rPr>
              <w:t xml:space="preserve"> </w:t>
            </w:r>
            <w:r w:rsidRPr="00A075A1">
              <w:rPr>
                <w:rStyle w:val="markedcontent"/>
                <w:rFonts w:ascii="Tahoma" w:hAnsi="Tahoma" w:cs="Tahoma"/>
                <w:sz w:val="19"/>
                <w:szCs w:val="19"/>
              </w:rPr>
              <w:t>competências e cultura</w:t>
            </w:r>
            <w:r w:rsidRPr="00A075A1">
              <w:rPr>
                <w:rFonts w:ascii="Tahoma" w:hAnsi="Tahoma" w:cs="Tahoma"/>
                <w:sz w:val="19"/>
                <w:szCs w:val="19"/>
              </w:rPr>
              <w:t xml:space="preserve"> </w:t>
            </w:r>
            <w:r w:rsidRPr="00A075A1">
              <w:rPr>
                <w:rStyle w:val="markedcontent"/>
                <w:rFonts w:ascii="Tahoma" w:hAnsi="Tahoma" w:cs="Tahoma"/>
                <w:sz w:val="19"/>
                <w:szCs w:val="19"/>
              </w:rPr>
              <w:t>organizacional com foco</w:t>
            </w:r>
            <w:r w:rsidRPr="00A075A1">
              <w:rPr>
                <w:rFonts w:ascii="Tahoma" w:hAnsi="Tahoma" w:cs="Tahoma"/>
                <w:sz w:val="19"/>
                <w:szCs w:val="19"/>
              </w:rPr>
              <w:t xml:space="preserve"> </w:t>
            </w:r>
            <w:r w:rsidRPr="00A075A1">
              <w:rPr>
                <w:rStyle w:val="markedcontent"/>
                <w:rFonts w:ascii="Tahoma" w:hAnsi="Tahoma" w:cs="Tahoma"/>
                <w:sz w:val="19"/>
                <w:szCs w:val="19"/>
              </w:rPr>
              <w:t>em resultados e valorização</w:t>
            </w:r>
            <w:r w:rsidRPr="00A075A1">
              <w:rPr>
                <w:rFonts w:ascii="Tahoma" w:hAnsi="Tahoma" w:cs="Tahoma"/>
                <w:sz w:val="19"/>
                <w:szCs w:val="19"/>
              </w:rPr>
              <w:t xml:space="preserve"> </w:t>
            </w:r>
            <w:r w:rsidRPr="00A075A1">
              <w:rPr>
                <w:rStyle w:val="markedcontent"/>
                <w:rFonts w:ascii="Tahoma" w:hAnsi="Tahoma" w:cs="Tahoma"/>
                <w:sz w:val="19"/>
                <w:szCs w:val="19"/>
              </w:rPr>
              <w:t>do corpo funcional</w:t>
            </w:r>
          </w:p>
        </w:tc>
        <w:tc>
          <w:tcPr>
            <w:tcW w:w="2552" w:type="dxa"/>
            <w:shd w:val="clear" w:color="auto" w:fill="auto"/>
            <w:tcMar>
              <w:top w:w="0" w:type="dxa"/>
              <w:left w:w="108" w:type="dxa"/>
              <w:bottom w:w="0" w:type="dxa"/>
              <w:right w:w="108" w:type="dxa"/>
            </w:tcMar>
            <w:vAlign w:val="center"/>
          </w:tcPr>
          <w:p w14:paraId="7DC6948D" w14:textId="4D370FE9"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Taxa de execução do plano</w:t>
            </w:r>
            <w:r w:rsidRPr="00A075A1">
              <w:rPr>
                <w:rFonts w:ascii="Tahoma" w:hAnsi="Tahoma" w:cs="Tahoma"/>
                <w:sz w:val="19"/>
                <w:szCs w:val="19"/>
              </w:rPr>
              <w:t xml:space="preserve"> </w:t>
            </w:r>
            <w:r w:rsidRPr="00A075A1">
              <w:rPr>
                <w:rStyle w:val="markedcontent"/>
                <w:rFonts w:ascii="Tahoma" w:hAnsi="Tahoma" w:cs="Tahoma"/>
                <w:sz w:val="19"/>
                <w:szCs w:val="19"/>
              </w:rPr>
              <w:t>de capacitação (TEPC)</w:t>
            </w:r>
          </w:p>
        </w:tc>
        <w:tc>
          <w:tcPr>
            <w:tcW w:w="1417" w:type="dxa"/>
            <w:shd w:val="clear" w:color="auto" w:fill="auto"/>
            <w:tcMar>
              <w:top w:w="0" w:type="dxa"/>
              <w:left w:w="108" w:type="dxa"/>
              <w:bottom w:w="0" w:type="dxa"/>
              <w:right w:w="108" w:type="dxa"/>
            </w:tcMar>
            <w:vAlign w:val="center"/>
          </w:tcPr>
          <w:p w14:paraId="463DDB16" w14:textId="77777777" w:rsidR="00A075A1" w:rsidRPr="00A075A1" w:rsidRDefault="00A075A1" w:rsidP="00F86869">
            <w:pPr>
              <w:jc w:val="center"/>
              <w:rPr>
                <w:rFonts w:ascii="Tahoma" w:hAnsi="Tahoma" w:cs="Tahoma"/>
                <w:sz w:val="19"/>
                <w:szCs w:val="19"/>
              </w:rPr>
            </w:pPr>
            <w:r w:rsidRPr="00A075A1">
              <w:rPr>
                <w:rStyle w:val="markedcontent"/>
                <w:rFonts w:ascii="Tahoma" w:hAnsi="Tahoma" w:cs="Tahoma"/>
                <w:sz w:val="19"/>
                <w:szCs w:val="19"/>
              </w:rPr>
              <w:t>90%</w:t>
            </w:r>
          </w:p>
        </w:tc>
        <w:tc>
          <w:tcPr>
            <w:tcW w:w="583" w:type="dxa"/>
            <w:gridSpan w:val="2"/>
            <w:shd w:val="clear" w:color="auto" w:fill="auto"/>
            <w:tcMar>
              <w:top w:w="0" w:type="dxa"/>
              <w:left w:w="11" w:type="dxa"/>
              <w:bottom w:w="0" w:type="dxa"/>
              <w:right w:w="10" w:type="dxa"/>
            </w:tcMar>
            <w:vAlign w:val="center"/>
          </w:tcPr>
          <w:p w14:paraId="4E0AAA31" w14:textId="7823C223" w:rsidR="00A075A1" w:rsidRPr="00A075A1" w:rsidRDefault="00A075A1" w:rsidP="00F86869">
            <w:pPr>
              <w:jc w:val="center"/>
              <w:rPr>
                <w:rFonts w:ascii="Tahoma" w:hAnsi="Tahoma" w:cs="Tahoma"/>
                <w:sz w:val="19"/>
                <w:szCs w:val="19"/>
              </w:rPr>
            </w:pPr>
            <w:r w:rsidRPr="004A5236">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0A2FF36B" w14:textId="77777777" w:rsidR="00A075A1" w:rsidRPr="00A075A1" w:rsidRDefault="00A075A1" w:rsidP="00F86869">
            <w:pPr>
              <w:jc w:val="center"/>
              <w:rPr>
                <w:rFonts w:ascii="Tahoma" w:hAnsi="Tahoma" w:cs="Tahoma"/>
                <w:sz w:val="19"/>
                <w:szCs w:val="19"/>
              </w:rPr>
            </w:pPr>
            <w:r w:rsidRPr="00A075A1">
              <w:rPr>
                <w:rFonts w:ascii="Tahoma" w:hAnsi="Tahoma" w:cs="Tahoma"/>
                <w:sz w:val="19"/>
                <w:szCs w:val="19"/>
              </w:rPr>
              <w:t>96,15%</w:t>
            </w:r>
          </w:p>
        </w:tc>
      </w:tr>
      <w:tr w:rsidR="00A075A1" w:rsidRPr="00A075A1" w14:paraId="7E3F7394" w14:textId="77777777" w:rsidTr="00145E5A">
        <w:trPr>
          <w:trHeight w:val="624"/>
        </w:trPr>
        <w:tc>
          <w:tcPr>
            <w:tcW w:w="1358" w:type="dxa"/>
            <w:vMerge/>
            <w:shd w:val="clear" w:color="auto" w:fill="auto"/>
            <w:tcMar>
              <w:top w:w="0" w:type="dxa"/>
              <w:left w:w="108" w:type="dxa"/>
              <w:bottom w:w="0" w:type="dxa"/>
              <w:right w:w="108" w:type="dxa"/>
            </w:tcMar>
            <w:vAlign w:val="center"/>
          </w:tcPr>
          <w:p w14:paraId="6DE6BD76" w14:textId="77777777" w:rsidR="00A075A1" w:rsidRPr="00A075A1" w:rsidRDefault="00A075A1" w:rsidP="00F86869">
            <w:pPr>
              <w:rPr>
                <w:rFonts w:ascii="Tahoma" w:hAnsi="Tahoma" w:cs="Tahoma"/>
                <w:sz w:val="19"/>
                <w:szCs w:val="19"/>
              </w:rPr>
            </w:pPr>
          </w:p>
        </w:tc>
        <w:tc>
          <w:tcPr>
            <w:tcW w:w="2181" w:type="dxa"/>
            <w:vMerge w:val="restart"/>
            <w:shd w:val="clear" w:color="auto" w:fill="auto"/>
            <w:tcMar>
              <w:top w:w="0" w:type="dxa"/>
              <w:left w:w="108" w:type="dxa"/>
              <w:bottom w:w="0" w:type="dxa"/>
              <w:right w:w="108" w:type="dxa"/>
            </w:tcMar>
            <w:vAlign w:val="center"/>
          </w:tcPr>
          <w:p w14:paraId="47FF4650" w14:textId="5F838471" w:rsidR="00A075A1" w:rsidRPr="00A075A1" w:rsidRDefault="00A075A1" w:rsidP="00F86869">
            <w:pPr>
              <w:rPr>
                <w:rStyle w:val="markedcontent"/>
                <w:rFonts w:ascii="Tahoma" w:hAnsi="Tahoma" w:cs="Tahoma"/>
                <w:sz w:val="19"/>
                <w:szCs w:val="19"/>
              </w:rPr>
            </w:pPr>
            <w:r w:rsidRPr="00A075A1">
              <w:rPr>
                <w:rStyle w:val="markedcontent"/>
                <w:rFonts w:ascii="Tahoma" w:hAnsi="Tahoma" w:cs="Tahoma"/>
                <w:sz w:val="19"/>
                <w:szCs w:val="19"/>
              </w:rPr>
              <w:t>Aprimorar as práticas de gestão e infraestrutura tecnológica para atender as necessidades da estratégia</w:t>
            </w:r>
          </w:p>
        </w:tc>
        <w:tc>
          <w:tcPr>
            <w:tcW w:w="2552" w:type="dxa"/>
            <w:shd w:val="clear" w:color="auto" w:fill="auto"/>
            <w:tcMar>
              <w:top w:w="0" w:type="dxa"/>
              <w:left w:w="108" w:type="dxa"/>
              <w:bottom w:w="0" w:type="dxa"/>
              <w:right w:w="108" w:type="dxa"/>
            </w:tcMar>
            <w:vAlign w:val="center"/>
          </w:tcPr>
          <w:p w14:paraId="75195245" w14:textId="0BF049ED"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Índice de maturidade de</w:t>
            </w:r>
            <w:r w:rsidRPr="00A075A1">
              <w:rPr>
                <w:rFonts w:ascii="Tahoma" w:hAnsi="Tahoma" w:cs="Tahoma"/>
                <w:sz w:val="19"/>
                <w:szCs w:val="19"/>
              </w:rPr>
              <w:t xml:space="preserve"> </w:t>
            </w:r>
            <w:r w:rsidRPr="00A075A1">
              <w:rPr>
                <w:rStyle w:val="markedcontent"/>
                <w:rFonts w:ascii="Tahoma" w:hAnsi="Tahoma" w:cs="Tahoma"/>
                <w:sz w:val="19"/>
                <w:szCs w:val="19"/>
              </w:rPr>
              <w:t>gestão (IMG)*</w:t>
            </w:r>
            <w:r w:rsidR="00722982">
              <w:rPr>
                <w:rStyle w:val="markedcontent"/>
                <w:rFonts w:ascii="Tahoma" w:hAnsi="Tahoma" w:cs="Tahoma"/>
                <w:sz w:val="19"/>
                <w:szCs w:val="19"/>
              </w:rPr>
              <w:t>*</w:t>
            </w:r>
          </w:p>
        </w:tc>
        <w:tc>
          <w:tcPr>
            <w:tcW w:w="1417" w:type="dxa"/>
            <w:shd w:val="clear" w:color="auto" w:fill="auto"/>
            <w:vAlign w:val="center"/>
          </w:tcPr>
          <w:p w14:paraId="6776155A" w14:textId="16247E76" w:rsidR="00A075A1" w:rsidRPr="00A075A1" w:rsidRDefault="00A075A1" w:rsidP="00F86869">
            <w:pPr>
              <w:jc w:val="center"/>
              <w:rPr>
                <w:rFonts w:ascii="Tahoma" w:hAnsi="Tahoma" w:cs="Tahoma"/>
                <w:sz w:val="19"/>
                <w:szCs w:val="19"/>
              </w:rPr>
            </w:pPr>
            <w:r w:rsidRPr="00A075A1">
              <w:rPr>
                <w:rStyle w:val="markedcontent"/>
                <w:rFonts w:ascii="Tahoma" w:hAnsi="Tahoma" w:cs="Tahoma"/>
                <w:sz w:val="19"/>
                <w:szCs w:val="19"/>
              </w:rPr>
              <w:t>A ser definida após 1ª apuração</w:t>
            </w:r>
          </w:p>
        </w:tc>
        <w:tc>
          <w:tcPr>
            <w:tcW w:w="583" w:type="dxa"/>
            <w:gridSpan w:val="2"/>
            <w:shd w:val="clear" w:color="auto" w:fill="auto"/>
            <w:vAlign w:val="center"/>
          </w:tcPr>
          <w:p w14:paraId="381E1A4D" w14:textId="0EDBB0D4" w:rsidR="00A075A1" w:rsidRPr="00A075A1" w:rsidRDefault="00A075A1" w:rsidP="00F86869">
            <w:pPr>
              <w:jc w:val="center"/>
              <w:rPr>
                <w:rFonts w:ascii="Tahoma" w:hAnsi="Tahoma" w:cs="Tahoma"/>
                <w:sz w:val="19"/>
                <w:szCs w:val="19"/>
              </w:rPr>
            </w:pPr>
            <w:r w:rsidRPr="004A5236">
              <w:rPr>
                <w:rFonts w:ascii="Wingdings" w:eastAsia="Wingdings" w:hAnsi="Wingdings" w:cs="Wingdings"/>
                <w:sz w:val="18"/>
                <w:szCs w:val="18"/>
              </w:rPr>
              <w:t></w:t>
            </w:r>
          </w:p>
        </w:tc>
        <w:tc>
          <w:tcPr>
            <w:tcW w:w="1543" w:type="dxa"/>
            <w:shd w:val="clear" w:color="auto" w:fill="auto"/>
            <w:vAlign w:val="center"/>
          </w:tcPr>
          <w:p w14:paraId="432BB159" w14:textId="505EE6FB" w:rsidR="00A075A1" w:rsidRPr="00A075A1" w:rsidRDefault="00A075A1" w:rsidP="00F86869">
            <w:pPr>
              <w:jc w:val="center"/>
              <w:rPr>
                <w:rFonts w:ascii="Tahoma" w:hAnsi="Tahoma" w:cs="Tahoma"/>
                <w:sz w:val="19"/>
                <w:szCs w:val="19"/>
              </w:rPr>
            </w:pPr>
            <w:r w:rsidRPr="00A075A1">
              <w:rPr>
                <w:rFonts w:ascii="Tahoma" w:hAnsi="Tahoma" w:cs="Tahoma"/>
                <w:sz w:val="19"/>
                <w:szCs w:val="19"/>
              </w:rPr>
              <w:t>-</w:t>
            </w:r>
          </w:p>
        </w:tc>
      </w:tr>
      <w:tr w:rsidR="00A075A1" w:rsidRPr="00A075A1" w14:paraId="3F4B2137" w14:textId="77777777" w:rsidTr="00145E5A">
        <w:trPr>
          <w:trHeight w:val="856"/>
        </w:trPr>
        <w:tc>
          <w:tcPr>
            <w:tcW w:w="1358" w:type="dxa"/>
            <w:vMerge/>
            <w:shd w:val="clear" w:color="auto" w:fill="auto"/>
            <w:tcMar>
              <w:top w:w="0" w:type="dxa"/>
              <w:left w:w="108" w:type="dxa"/>
              <w:bottom w:w="0" w:type="dxa"/>
              <w:right w:w="108" w:type="dxa"/>
            </w:tcMar>
            <w:vAlign w:val="center"/>
          </w:tcPr>
          <w:p w14:paraId="28D02A0B" w14:textId="77777777" w:rsidR="00A075A1" w:rsidRPr="00A075A1" w:rsidRDefault="00A075A1"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54E9A9A2" w14:textId="77777777" w:rsidR="00A075A1" w:rsidRPr="00A075A1" w:rsidRDefault="00A075A1" w:rsidP="00F86869">
            <w:pPr>
              <w:rPr>
                <w:rStyle w:val="markedcontent"/>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6C497B64" w14:textId="63D00CAA"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Taxa de execução do</w:t>
            </w:r>
            <w:r w:rsidRPr="00A075A1">
              <w:rPr>
                <w:rFonts w:ascii="Tahoma" w:hAnsi="Tahoma" w:cs="Tahoma"/>
                <w:sz w:val="19"/>
                <w:szCs w:val="19"/>
              </w:rPr>
              <w:t xml:space="preserve"> </w:t>
            </w:r>
            <w:r w:rsidRPr="00A075A1">
              <w:rPr>
                <w:rStyle w:val="markedcontent"/>
                <w:rFonts w:ascii="Tahoma" w:hAnsi="Tahoma" w:cs="Tahoma"/>
                <w:sz w:val="19"/>
                <w:szCs w:val="19"/>
              </w:rPr>
              <w:t>portfólio de iniciativas</w:t>
            </w:r>
            <w:r w:rsidRPr="00A075A1">
              <w:rPr>
                <w:rFonts w:ascii="Tahoma" w:hAnsi="Tahoma" w:cs="Tahoma"/>
                <w:sz w:val="19"/>
                <w:szCs w:val="19"/>
              </w:rPr>
              <w:t xml:space="preserve"> </w:t>
            </w:r>
            <w:r w:rsidRPr="00A075A1">
              <w:rPr>
                <w:rStyle w:val="markedcontent"/>
                <w:rFonts w:ascii="Tahoma" w:hAnsi="Tahoma" w:cs="Tahoma"/>
                <w:sz w:val="19"/>
                <w:szCs w:val="19"/>
              </w:rPr>
              <w:t>estratégicas (TEIE)</w:t>
            </w:r>
            <w:r w:rsidRPr="00A075A1">
              <w:rPr>
                <w:rFonts w:ascii="Tahoma" w:hAnsi="Tahoma" w:cs="Tahoma"/>
                <w:sz w:val="19"/>
                <w:szCs w:val="19"/>
              </w:rPr>
              <w:t xml:space="preserve"> </w:t>
            </w:r>
          </w:p>
        </w:tc>
        <w:tc>
          <w:tcPr>
            <w:tcW w:w="1417" w:type="dxa"/>
            <w:shd w:val="clear" w:color="auto" w:fill="auto"/>
            <w:vAlign w:val="center"/>
          </w:tcPr>
          <w:p w14:paraId="5A0F9161" w14:textId="3F82BBA9" w:rsidR="00A075A1" w:rsidRPr="00A075A1" w:rsidRDefault="00A075A1" w:rsidP="00F86869">
            <w:pPr>
              <w:jc w:val="center"/>
              <w:rPr>
                <w:rFonts w:ascii="Tahoma" w:hAnsi="Tahoma" w:cs="Tahoma"/>
                <w:sz w:val="19"/>
                <w:szCs w:val="19"/>
              </w:rPr>
            </w:pPr>
            <w:r w:rsidRPr="00A075A1">
              <w:rPr>
                <w:rStyle w:val="markedcontent"/>
                <w:rFonts w:ascii="Tahoma" w:hAnsi="Tahoma" w:cs="Tahoma"/>
                <w:sz w:val="19"/>
                <w:szCs w:val="19"/>
              </w:rPr>
              <w:t>90%</w:t>
            </w:r>
          </w:p>
        </w:tc>
        <w:tc>
          <w:tcPr>
            <w:tcW w:w="583" w:type="dxa"/>
            <w:gridSpan w:val="2"/>
            <w:shd w:val="clear" w:color="auto" w:fill="auto"/>
            <w:vAlign w:val="center"/>
          </w:tcPr>
          <w:p w14:paraId="22491F5D" w14:textId="1D1B6F16" w:rsidR="00A075A1" w:rsidRPr="00A075A1" w:rsidRDefault="00A075A1" w:rsidP="00F86869">
            <w:pPr>
              <w:jc w:val="center"/>
              <w:rPr>
                <w:rFonts w:ascii="Tahoma" w:hAnsi="Tahoma" w:cs="Tahoma"/>
                <w:sz w:val="19"/>
                <w:szCs w:val="19"/>
              </w:rPr>
            </w:pPr>
            <w:r w:rsidRPr="004A5236">
              <w:rPr>
                <w:rFonts w:ascii="Wingdings" w:eastAsia="Wingdings" w:hAnsi="Wingdings" w:cs="Wingdings"/>
                <w:sz w:val="18"/>
                <w:szCs w:val="18"/>
              </w:rPr>
              <w:t></w:t>
            </w:r>
          </w:p>
        </w:tc>
        <w:tc>
          <w:tcPr>
            <w:tcW w:w="1543" w:type="dxa"/>
            <w:shd w:val="clear" w:color="auto" w:fill="auto"/>
            <w:vAlign w:val="center"/>
          </w:tcPr>
          <w:p w14:paraId="231D8A30" w14:textId="481EE043" w:rsidR="00A075A1" w:rsidRPr="00A075A1" w:rsidRDefault="00A075A1" w:rsidP="00F86869">
            <w:pPr>
              <w:jc w:val="center"/>
              <w:rPr>
                <w:rFonts w:ascii="Tahoma" w:hAnsi="Tahoma" w:cs="Tahoma"/>
                <w:sz w:val="19"/>
                <w:szCs w:val="19"/>
              </w:rPr>
            </w:pPr>
            <w:r w:rsidRPr="00A075A1">
              <w:rPr>
                <w:rFonts w:ascii="Tahoma" w:hAnsi="Tahoma" w:cs="Tahoma"/>
                <w:sz w:val="19"/>
                <w:szCs w:val="19"/>
              </w:rPr>
              <w:t>82,12%</w:t>
            </w:r>
          </w:p>
        </w:tc>
      </w:tr>
      <w:tr w:rsidR="00A075A1" w:rsidRPr="00A075A1" w14:paraId="55246441" w14:textId="77777777" w:rsidTr="00145E5A">
        <w:trPr>
          <w:trHeight w:val="567"/>
        </w:trPr>
        <w:tc>
          <w:tcPr>
            <w:tcW w:w="1358" w:type="dxa"/>
            <w:vMerge/>
            <w:shd w:val="clear" w:color="auto" w:fill="auto"/>
            <w:tcMar>
              <w:top w:w="0" w:type="dxa"/>
              <w:left w:w="108" w:type="dxa"/>
              <w:bottom w:w="0" w:type="dxa"/>
              <w:right w:w="108" w:type="dxa"/>
            </w:tcMar>
            <w:vAlign w:val="center"/>
          </w:tcPr>
          <w:p w14:paraId="40460349" w14:textId="77777777" w:rsidR="00A075A1" w:rsidRPr="00A075A1" w:rsidRDefault="00A075A1"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58F8EC39" w14:textId="77777777" w:rsidR="00A075A1" w:rsidRPr="00A075A1" w:rsidRDefault="00A075A1" w:rsidP="00F86869">
            <w:pPr>
              <w:rPr>
                <w:rStyle w:val="markedcontent"/>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52D4D010" w14:textId="2703A23C" w:rsidR="00A075A1" w:rsidRPr="00A075A1" w:rsidRDefault="00A075A1" w:rsidP="00F86869">
            <w:pPr>
              <w:rPr>
                <w:rFonts w:ascii="Tahoma" w:hAnsi="Tahoma" w:cs="Tahoma"/>
                <w:sz w:val="19"/>
                <w:szCs w:val="19"/>
              </w:rPr>
            </w:pPr>
            <w:r w:rsidRPr="00A075A1">
              <w:rPr>
                <w:rFonts w:ascii="Tahoma" w:hAnsi="Tahoma" w:cs="Tahoma"/>
                <w:sz w:val="19"/>
                <w:szCs w:val="19"/>
              </w:rPr>
              <w:t>Índice DADM (iDADM)</w:t>
            </w:r>
          </w:p>
        </w:tc>
        <w:tc>
          <w:tcPr>
            <w:tcW w:w="1417" w:type="dxa"/>
            <w:shd w:val="clear" w:color="auto" w:fill="auto"/>
            <w:vAlign w:val="center"/>
          </w:tcPr>
          <w:p w14:paraId="493ED32C" w14:textId="5173AC04" w:rsidR="00A075A1" w:rsidRPr="00A075A1" w:rsidRDefault="00A075A1" w:rsidP="00F86869">
            <w:pPr>
              <w:jc w:val="center"/>
              <w:rPr>
                <w:rFonts w:ascii="Tahoma" w:hAnsi="Tahoma" w:cs="Tahoma"/>
                <w:sz w:val="19"/>
                <w:szCs w:val="19"/>
              </w:rPr>
            </w:pPr>
            <w:r w:rsidRPr="00A075A1">
              <w:rPr>
                <w:rFonts w:ascii="Tahoma" w:hAnsi="Tahoma" w:cs="Tahoma"/>
                <w:sz w:val="19"/>
                <w:szCs w:val="19"/>
              </w:rPr>
              <w:t>91,5%</w:t>
            </w:r>
          </w:p>
        </w:tc>
        <w:tc>
          <w:tcPr>
            <w:tcW w:w="583" w:type="dxa"/>
            <w:gridSpan w:val="2"/>
            <w:shd w:val="clear" w:color="auto" w:fill="auto"/>
            <w:vAlign w:val="center"/>
          </w:tcPr>
          <w:p w14:paraId="0A382544" w14:textId="40817011" w:rsidR="00A075A1" w:rsidRPr="00A075A1" w:rsidRDefault="00A075A1" w:rsidP="00F86869">
            <w:pPr>
              <w:jc w:val="center"/>
              <w:rPr>
                <w:rFonts w:ascii="Tahoma" w:hAnsi="Tahoma" w:cs="Tahoma"/>
                <w:sz w:val="19"/>
                <w:szCs w:val="19"/>
              </w:rPr>
            </w:pPr>
            <w:r w:rsidRPr="004A5236">
              <w:rPr>
                <w:rFonts w:ascii="Wingdings" w:eastAsia="Wingdings" w:hAnsi="Wingdings" w:cs="Wingdings"/>
                <w:sz w:val="18"/>
                <w:szCs w:val="18"/>
              </w:rPr>
              <w:t></w:t>
            </w:r>
          </w:p>
        </w:tc>
        <w:tc>
          <w:tcPr>
            <w:tcW w:w="1543" w:type="dxa"/>
            <w:shd w:val="clear" w:color="auto" w:fill="auto"/>
            <w:vAlign w:val="center"/>
          </w:tcPr>
          <w:p w14:paraId="608B2557" w14:textId="1CCC570F" w:rsidR="00A075A1" w:rsidRPr="00A075A1" w:rsidRDefault="00A075A1" w:rsidP="00F86869">
            <w:pPr>
              <w:jc w:val="center"/>
              <w:rPr>
                <w:rFonts w:ascii="Tahoma" w:hAnsi="Tahoma" w:cs="Tahoma"/>
                <w:sz w:val="19"/>
                <w:szCs w:val="19"/>
              </w:rPr>
            </w:pPr>
            <w:r w:rsidRPr="00A075A1">
              <w:rPr>
                <w:rFonts w:ascii="Tahoma" w:hAnsi="Tahoma" w:cs="Tahoma"/>
                <w:sz w:val="19"/>
                <w:szCs w:val="19"/>
              </w:rPr>
              <w:t>98,52%</w:t>
            </w:r>
          </w:p>
        </w:tc>
      </w:tr>
      <w:tr w:rsidR="00A075A1" w:rsidRPr="00A075A1" w14:paraId="0CD1FADF" w14:textId="77777777" w:rsidTr="00145E5A">
        <w:trPr>
          <w:trHeight w:val="582"/>
        </w:trPr>
        <w:tc>
          <w:tcPr>
            <w:tcW w:w="1358" w:type="dxa"/>
            <w:vMerge w:val="restart"/>
            <w:shd w:val="clear" w:color="auto" w:fill="auto"/>
            <w:tcMar>
              <w:top w:w="0" w:type="dxa"/>
              <w:left w:w="108" w:type="dxa"/>
              <w:bottom w:w="0" w:type="dxa"/>
              <w:right w:w="108" w:type="dxa"/>
            </w:tcMar>
            <w:vAlign w:val="center"/>
          </w:tcPr>
          <w:p w14:paraId="33A875CC" w14:textId="77777777" w:rsidR="00A075A1" w:rsidRPr="00A075A1" w:rsidRDefault="00A075A1" w:rsidP="00F86869">
            <w:pPr>
              <w:rPr>
                <w:rFonts w:ascii="Tahoma" w:hAnsi="Tahoma" w:cs="Tahoma"/>
                <w:sz w:val="19"/>
                <w:szCs w:val="19"/>
              </w:rPr>
            </w:pPr>
            <w:r w:rsidRPr="00A075A1">
              <w:rPr>
                <w:rFonts w:ascii="Tahoma" w:hAnsi="Tahoma" w:cs="Tahoma"/>
                <w:sz w:val="19"/>
                <w:szCs w:val="19"/>
              </w:rPr>
              <w:lastRenderedPageBreak/>
              <w:t>Perspectivas financeiras</w:t>
            </w:r>
          </w:p>
        </w:tc>
        <w:tc>
          <w:tcPr>
            <w:tcW w:w="2181" w:type="dxa"/>
            <w:vMerge w:val="restart"/>
            <w:shd w:val="clear" w:color="auto" w:fill="auto"/>
            <w:tcMar>
              <w:top w:w="0" w:type="dxa"/>
              <w:left w:w="108" w:type="dxa"/>
              <w:bottom w:w="0" w:type="dxa"/>
              <w:right w:w="108" w:type="dxa"/>
            </w:tcMar>
            <w:vAlign w:val="center"/>
          </w:tcPr>
          <w:p w14:paraId="60BBDDD0" w14:textId="77777777"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Assegurar o equilíbrio</w:t>
            </w:r>
            <w:r w:rsidRPr="00A075A1">
              <w:rPr>
                <w:rFonts w:ascii="Tahoma" w:hAnsi="Tahoma" w:cs="Tahoma"/>
                <w:sz w:val="19"/>
                <w:szCs w:val="19"/>
              </w:rPr>
              <w:t xml:space="preserve"> </w:t>
            </w:r>
            <w:r w:rsidRPr="00A075A1">
              <w:rPr>
                <w:rStyle w:val="markedcontent"/>
                <w:rFonts w:ascii="Tahoma" w:hAnsi="Tahoma" w:cs="Tahoma"/>
                <w:sz w:val="19"/>
                <w:szCs w:val="19"/>
              </w:rPr>
              <w:t>entre fontes e uso de</w:t>
            </w:r>
            <w:r w:rsidRPr="00A075A1">
              <w:rPr>
                <w:rFonts w:ascii="Tahoma" w:hAnsi="Tahoma" w:cs="Tahoma"/>
                <w:sz w:val="19"/>
                <w:szCs w:val="19"/>
              </w:rPr>
              <w:t xml:space="preserve"> </w:t>
            </w:r>
            <w:r w:rsidRPr="00A075A1">
              <w:rPr>
                <w:rStyle w:val="markedcontent"/>
                <w:rFonts w:ascii="Tahoma" w:hAnsi="Tahoma" w:cs="Tahoma"/>
                <w:sz w:val="19"/>
                <w:szCs w:val="19"/>
              </w:rPr>
              <w:t>recursos financeiros em</w:t>
            </w:r>
            <w:r w:rsidRPr="00A075A1">
              <w:rPr>
                <w:rFonts w:ascii="Tahoma" w:hAnsi="Tahoma" w:cs="Tahoma"/>
                <w:sz w:val="19"/>
                <w:szCs w:val="19"/>
              </w:rPr>
              <w:t xml:space="preserve"> </w:t>
            </w:r>
            <w:r w:rsidRPr="00A075A1">
              <w:rPr>
                <w:rStyle w:val="markedcontent"/>
                <w:rFonts w:ascii="Tahoma" w:hAnsi="Tahoma" w:cs="Tahoma"/>
                <w:sz w:val="19"/>
                <w:szCs w:val="19"/>
              </w:rPr>
              <w:t>prol da sustentabilidade</w:t>
            </w:r>
            <w:r w:rsidRPr="00A075A1">
              <w:rPr>
                <w:rFonts w:ascii="Tahoma" w:hAnsi="Tahoma" w:cs="Tahoma"/>
                <w:sz w:val="19"/>
                <w:szCs w:val="19"/>
              </w:rPr>
              <w:t xml:space="preserve"> </w:t>
            </w:r>
            <w:r w:rsidRPr="00A075A1">
              <w:rPr>
                <w:rStyle w:val="markedcontent"/>
                <w:rFonts w:ascii="Tahoma" w:hAnsi="Tahoma" w:cs="Tahoma"/>
                <w:sz w:val="19"/>
                <w:szCs w:val="19"/>
              </w:rPr>
              <w:t>financeira da empresa</w:t>
            </w:r>
          </w:p>
        </w:tc>
        <w:tc>
          <w:tcPr>
            <w:tcW w:w="2552" w:type="dxa"/>
            <w:shd w:val="clear" w:color="auto" w:fill="auto"/>
            <w:tcMar>
              <w:top w:w="0" w:type="dxa"/>
              <w:left w:w="108" w:type="dxa"/>
              <w:bottom w:w="0" w:type="dxa"/>
              <w:right w:w="108" w:type="dxa"/>
            </w:tcMar>
            <w:vAlign w:val="center"/>
          </w:tcPr>
          <w:p w14:paraId="22395213" w14:textId="77777777"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Cobertura de despesas</w:t>
            </w:r>
            <w:r w:rsidRPr="00A075A1">
              <w:rPr>
                <w:rFonts w:ascii="Tahoma" w:hAnsi="Tahoma" w:cs="Tahoma"/>
                <w:sz w:val="19"/>
                <w:szCs w:val="19"/>
              </w:rPr>
              <w:t xml:space="preserve"> </w:t>
            </w:r>
            <w:r w:rsidRPr="00A075A1">
              <w:rPr>
                <w:rStyle w:val="markedcontent"/>
                <w:rFonts w:ascii="Tahoma" w:hAnsi="Tahoma" w:cs="Tahoma"/>
                <w:sz w:val="19"/>
                <w:szCs w:val="19"/>
              </w:rPr>
              <w:t>Administrativas (CDA)</w:t>
            </w:r>
            <w:r w:rsidRPr="00A075A1">
              <w:rPr>
                <w:rFonts w:ascii="Tahoma" w:hAnsi="Tahoma" w:cs="Tahoma"/>
                <w:sz w:val="19"/>
                <w:szCs w:val="19"/>
              </w:rPr>
              <w:t xml:space="preserve"> </w:t>
            </w:r>
          </w:p>
        </w:tc>
        <w:tc>
          <w:tcPr>
            <w:tcW w:w="1417" w:type="dxa"/>
            <w:shd w:val="clear" w:color="auto" w:fill="auto"/>
            <w:tcMar>
              <w:top w:w="0" w:type="dxa"/>
              <w:left w:w="108" w:type="dxa"/>
              <w:bottom w:w="0" w:type="dxa"/>
              <w:right w:w="108" w:type="dxa"/>
            </w:tcMar>
            <w:vAlign w:val="center"/>
          </w:tcPr>
          <w:p w14:paraId="0C0E70C2" w14:textId="77777777" w:rsidR="00A075A1" w:rsidRPr="00A075A1" w:rsidRDefault="00A075A1" w:rsidP="00F86869">
            <w:pPr>
              <w:jc w:val="center"/>
              <w:rPr>
                <w:rFonts w:ascii="Tahoma" w:hAnsi="Tahoma" w:cs="Tahoma"/>
                <w:sz w:val="19"/>
                <w:szCs w:val="19"/>
              </w:rPr>
            </w:pPr>
            <w:r w:rsidRPr="00A075A1">
              <w:rPr>
                <w:rStyle w:val="markedcontent"/>
                <w:rFonts w:ascii="Tahoma" w:hAnsi="Tahoma" w:cs="Tahoma"/>
                <w:sz w:val="19"/>
                <w:szCs w:val="19"/>
              </w:rPr>
              <w:t>149,5%</w:t>
            </w:r>
          </w:p>
        </w:tc>
        <w:tc>
          <w:tcPr>
            <w:tcW w:w="583" w:type="dxa"/>
            <w:gridSpan w:val="2"/>
            <w:shd w:val="clear" w:color="auto" w:fill="auto"/>
            <w:tcMar>
              <w:top w:w="0" w:type="dxa"/>
              <w:left w:w="11" w:type="dxa"/>
              <w:bottom w:w="0" w:type="dxa"/>
              <w:right w:w="10" w:type="dxa"/>
            </w:tcMar>
            <w:vAlign w:val="center"/>
          </w:tcPr>
          <w:p w14:paraId="21086B64" w14:textId="40B5042F" w:rsidR="00A075A1" w:rsidRPr="00A075A1" w:rsidRDefault="00A075A1" w:rsidP="00F86869">
            <w:pPr>
              <w:jc w:val="center"/>
              <w:rPr>
                <w:rFonts w:ascii="Tahoma" w:hAnsi="Tahoma" w:cs="Tahoma"/>
                <w:sz w:val="19"/>
                <w:szCs w:val="19"/>
              </w:rPr>
            </w:pPr>
            <w:r w:rsidRPr="004A5236">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5B0C958C" w14:textId="77777777" w:rsidR="00A075A1" w:rsidRPr="00A075A1" w:rsidRDefault="00A075A1" w:rsidP="00F86869">
            <w:pPr>
              <w:jc w:val="center"/>
              <w:rPr>
                <w:rFonts w:ascii="Tahoma" w:hAnsi="Tahoma" w:cs="Tahoma"/>
                <w:sz w:val="19"/>
                <w:szCs w:val="19"/>
              </w:rPr>
            </w:pPr>
            <w:r w:rsidRPr="00A075A1">
              <w:rPr>
                <w:rFonts w:ascii="Tahoma" w:hAnsi="Tahoma" w:cs="Tahoma"/>
                <w:sz w:val="19"/>
                <w:szCs w:val="19"/>
              </w:rPr>
              <w:t>293,65%</w:t>
            </w:r>
          </w:p>
        </w:tc>
      </w:tr>
      <w:tr w:rsidR="00A075A1" w:rsidRPr="00A075A1" w14:paraId="02432CBA" w14:textId="77777777" w:rsidTr="00145E5A">
        <w:trPr>
          <w:trHeight w:val="532"/>
        </w:trPr>
        <w:tc>
          <w:tcPr>
            <w:tcW w:w="1358" w:type="dxa"/>
            <w:vMerge/>
            <w:shd w:val="clear" w:color="auto" w:fill="auto"/>
            <w:tcMar>
              <w:top w:w="0" w:type="dxa"/>
              <w:left w:w="108" w:type="dxa"/>
              <w:bottom w:w="0" w:type="dxa"/>
              <w:right w:w="108" w:type="dxa"/>
            </w:tcMar>
            <w:vAlign w:val="center"/>
          </w:tcPr>
          <w:p w14:paraId="6E91FCC6" w14:textId="77777777" w:rsidR="00A075A1" w:rsidRPr="00A075A1" w:rsidRDefault="00A075A1"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719B27DF" w14:textId="77777777" w:rsidR="00A075A1" w:rsidRPr="00A075A1" w:rsidRDefault="00A075A1"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68557E3C" w14:textId="77777777" w:rsidR="00A075A1" w:rsidRPr="00A075A1" w:rsidRDefault="00A075A1" w:rsidP="00F86869">
            <w:pPr>
              <w:rPr>
                <w:rFonts w:ascii="Tahoma" w:hAnsi="Tahoma" w:cs="Tahoma"/>
                <w:sz w:val="19"/>
                <w:szCs w:val="19"/>
              </w:rPr>
            </w:pPr>
            <w:r w:rsidRPr="00A075A1">
              <w:rPr>
                <w:rStyle w:val="markedcontent"/>
                <w:rFonts w:ascii="Tahoma" w:hAnsi="Tahoma" w:cs="Tahoma"/>
                <w:sz w:val="19"/>
                <w:szCs w:val="19"/>
              </w:rPr>
              <w:t>Índice de qualidade da</w:t>
            </w:r>
            <w:r w:rsidRPr="00A075A1">
              <w:rPr>
                <w:rFonts w:ascii="Tahoma" w:hAnsi="Tahoma" w:cs="Tahoma"/>
                <w:sz w:val="19"/>
                <w:szCs w:val="19"/>
              </w:rPr>
              <w:t xml:space="preserve"> </w:t>
            </w:r>
            <w:r w:rsidRPr="00A075A1">
              <w:rPr>
                <w:rStyle w:val="markedcontent"/>
                <w:rFonts w:ascii="Tahoma" w:hAnsi="Tahoma" w:cs="Tahoma"/>
                <w:sz w:val="19"/>
                <w:szCs w:val="19"/>
              </w:rPr>
              <w:t>carteira de crédito (IQC)</w:t>
            </w:r>
            <w:r w:rsidRPr="00A075A1">
              <w:rPr>
                <w:rFonts w:ascii="Tahoma" w:hAnsi="Tahoma" w:cs="Tahoma"/>
                <w:sz w:val="19"/>
                <w:szCs w:val="19"/>
              </w:rPr>
              <w:t xml:space="preserve"> </w:t>
            </w:r>
          </w:p>
        </w:tc>
        <w:tc>
          <w:tcPr>
            <w:tcW w:w="1417" w:type="dxa"/>
            <w:shd w:val="clear" w:color="auto" w:fill="auto"/>
            <w:tcMar>
              <w:top w:w="0" w:type="dxa"/>
              <w:left w:w="108" w:type="dxa"/>
              <w:bottom w:w="0" w:type="dxa"/>
              <w:right w:w="108" w:type="dxa"/>
            </w:tcMar>
            <w:vAlign w:val="center"/>
          </w:tcPr>
          <w:p w14:paraId="32D8B71D" w14:textId="77777777" w:rsidR="00A075A1" w:rsidRPr="00A075A1" w:rsidRDefault="00A075A1" w:rsidP="00F86869">
            <w:pPr>
              <w:jc w:val="center"/>
              <w:rPr>
                <w:rFonts w:ascii="Tahoma" w:hAnsi="Tahoma" w:cs="Tahoma"/>
                <w:sz w:val="19"/>
                <w:szCs w:val="19"/>
              </w:rPr>
            </w:pPr>
            <w:r w:rsidRPr="00A075A1">
              <w:rPr>
                <w:rStyle w:val="markedcontent"/>
                <w:rFonts w:ascii="Tahoma" w:hAnsi="Tahoma" w:cs="Tahoma"/>
                <w:sz w:val="19"/>
                <w:szCs w:val="19"/>
              </w:rPr>
              <w:t>79,41%</w:t>
            </w:r>
          </w:p>
        </w:tc>
        <w:tc>
          <w:tcPr>
            <w:tcW w:w="583" w:type="dxa"/>
            <w:gridSpan w:val="2"/>
            <w:shd w:val="clear" w:color="auto" w:fill="auto"/>
            <w:tcMar>
              <w:top w:w="0" w:type="dxa"/>
              <w:left w:w="11" w:type="dxa"/>
              <w:bottom w:w="0" w:type="dxa"/>
              <w:right w:w="10" w:type="dxa"/>
            </w:tcMar>
            <w:vAlign w:val="center"/>
          </w:tcPr>
          <w:p w14:paraId="3EF59BEB" w14:textId="7B6E47E7" w:rsidR="00A075A1" w:rsidRPr="00A075A1" w:rsidRDefault="00A075A1" w:rsidP="00F86869">
            <w:pPr>
              <w:jc w:val="center"/>
              <w:rPr>
                <w:rFonts w:ascii="Tahoma" w:hAnsi="Tahoma" w:cs="Tahoma"/>
                <w:sz w:val="19"/>
                <w:szCs w:val="19"/>
              </w:rPr>
            </w:pPr>
            <w:r w:rsidRPr="004A5236">
              <w:rPr>
                <w:rFonts w:ascii="Wingdings" w:eastAsia="Wingdings" w:hAnsi="Wingdings" w:cs="Wingdings"/>
                <w:sz w:val="18"/>
                <w:szCs w:val="18"/>
              </w:rPr>
              <w:t></w:t>
            </w:r>
          </w:p>
        </w:tc>
        <w:tc>
          <w:tcPr>
            <w:tcW w:w="1543" w:type="dxa"/>
            <w:shd w:val="clear" w:color="auto" w:fill="auto"/>
            <w:tcMar>
              <w:top w:w="0" w:type="dxa"/>
              <w:left w:w="11" w:type="dxa"/>
              <w:bottom w:w="0" w:type="dxa"/>
              <w:right w:w="10" w:type="dxa"/>
            </w:tcMar>
            <w:vAlign w:val="center"/>
          </w:tcPr>
          <w:p w14:paraId="6F6B4BAD" w14:textId="77777777" w:rsidR="00A075A1" w:rsidRPr="00A075A1" w:rsidRDefault="00A075A1" w:rsidP="00F86869">
            <w:pPr>
              <w:jc w:val="center"/>
              <w:rPr>
                <w:rFonts w:ascii="Tahoma" w:hAnsi="Tahoma" w:cs="Tahoma"/>
                <w:sz w:val="19"/>
                <w:szCs w:val="19"/>
              </w:rPr>
            </w:pPr>
            <w:r w:rsidRPr="00A075A1">
              <w:rPr>
                <w:rFonts w:ascii="Tahoma" w:hAnsi="Tahoma" w:cs="Tahoma"/>
                <w:sz w:val="19"/>
                <w:szCs w:val="19"/>
              </w:rPr>
              <w:t>85,03%</w:t>
            </w:r>
          </w:p>
        </w:tc>
      </w:tr>
      <w:tr w:rsidR="00A075A1" w:rsidRPr="00A075A1" w14:paraId="75FFE7CD" w14:textId="77777777" w:rsidTr="00145E5A">
        <w:trPr>
          <w:trHeight w:val="624"/>
        </w:trPr>
        <w:tc>
          <w:tcPr>
            <w:tcW w:w="1358" w:type="dxa"/>
            <w:vMerge/>
            <w:shd w:val="clear" w:color="auto" w:fill="auto"/>
            <w:tcMar>
              <w:top w:w="0" w:type="dxa"/>
              <w:left w:w="108" w:type="dxa"/>
              <w:bottom w:w="0" w:type="dxa"/>
              <w:right w:w="108" w:type="dxa"/>
            </w:tcMar>
            <w:vAlign w:val="center"/>
          </w:tcPr>
          <w:p w14:paraId="66179F3B" w14:textId="77777777" w:rsidR="00A075A1" w:rsidRPr="00A075A1" w:rsidRDefault="00A075A1" w:rsidP="00F86869">
            <w:pPr>
              <w:rPr>
                <w:rFonts w:ascii="Tahoma" w:hAnsi="Tahoma" w:cs="Tahoma"/>
                <w:sz w:val="19"/>
                <w:szCs w:val="19"/>
              </w:rPr>
            </w:pPr>
          </w:p>
        </w:tc>
        <w:tc>
          <w:tcPr>
            <w:tcW w:w="2181" w:type="dxa"/>
            <w:vMerge/>
            <w:shd w:val="clear" w:color="auto" w:fill="auto"/>
            <w:tcMar>
              <w:top w:w="0" w:type="dxa"/>
              <w:left w:w="108" w:type="dxa"/>
              <w:bottom w:w="0" w:type="dxa"/>
              <w:right w:w="108" w:type="dxa"/>
            </w:tcMar>
            <w:vAlign w:val="center"/>
          </w:tcPr>
          <w:p w14:paraId="3344751A" w14:textId="77777777" w:rsidR="00A075A1" w:rsidRPr="00A075A1" w:rsidRDefault="00A075A1" w:rsidP="00F86869">
            <w:pPr>
              <w:rPr>
                <w:rFonts w:ascii="Tahoma" w:hAnsi="Tahoma" w:cs="Tahoma"/>
                <w:sz w:val="19"/>
                <w:szCs w:val="19"/>
              </w:rPr>
            </w:pPr>
          </w:p>
        </w:tc>
        <w:tc>
          <w:tcPr>
            <w:tcW w:w="2552" w:type="dxa"/>
            <w:shd w:val="clear" w:color="auto" w:fill="auto"/>
            <w:tcMar>
              <w:top w:w="0" w:type="dxa"/>
              <w:left w:w="108" w:type="dxa"/>
              <w:bottom w:w="0" w:type="dxa"/>
              <w:right w:w="108" w:type="dxa"/>
            </w:tcMar>
            <w:vAlign w:val="center"/>
          </w:tcPr>
          <w:p w14:paraId="644D28AE" w14:textId="77777777" w:rsidR="00A075A1" w:rsidRPr="00A075A1" w:rsidRDefault="00A075A1" w:rsidP="00F86869">
            <w:pPr>
              <w:rPr>
                <w:rStyle w:val="markedcontent"/>
                <w:rFonts w:ascii="Tahoma" w:hAnsi="Tahoma" w:cs="Tahoma"/>
                <w:sz w:val="19"/>
                <w:szCs w:val="19"/>
              </w:rPr>
            </w:pPr>
            <w:r w:rsidRPr="00A075A1">
              <w:rPr>
                <w:rStyle w:val="markedcontent"/>
                <w:rFonts w:ascii="Tahoma" w:hAnsi="Tahoma" w:cs="Tahoma"/>
                <w:sz w:val="19"/>
                <w:szCs w:val="19"/>
              </w:rPr>
              <w:t>Margem do faturamento operacional líquido (MFOL)</w:t>
            </w:r>
          </w:p>
        </w:tc>
        <w:tc>
          <w:tcPr>
            <w:tcW w:w="1417" w:type="dxa"/>
            <w:shd w:val="clear" w:color="auto" w:fill="auto"/>
            <w:tcMar>
              <w:top w:w="0" w:type="dxa"/>
              <w:left w:w="108" w:type="dxa"/>
              <w:bottom w:w="0" w:type="dxa"/>
              <w:right w:w="108" w:type="dxa"/>
            </w:tcMar>
            <w:vAlign w:val="center"/>
          </w:tcPr>
          <w:p w14:paraId="7F1E8AED" w14:textId="77777777" w:rsidR="00A075A1" w:rsidRPr="00A075A1" w:rsidRDefault="00A075A1" w:rsidP="00F86869">
            <w:pPr>
              <w:jc w:val="center"/>
              <w:rPr>
                <w:rStyle w:val="markedcontent"/>
                <w:rFonts w:ascii="Tahoma" w:hAnsi="Tahoma" w:cs="Tahoma"/>
                <w:sz w:val="19"/>
                <w:szCs w:val="19"/>
              </w:rPr>
            </w:pPr>
            <w:r w:rsidRPr="00A075A1">
              <w:rPr>
                <w:rStyle w:val="markedcontent"/>
                <w:rFonts w:ascii="Tahoma" w:hAnsi="Tahoma" w:cs="Tahoma"/>
                <w:sz w:val="19"/>
                <w:szCs w:val="19"/>
              </w:rPr>
              <w:t>48,2%</w:t>
            </w:r>
          </w:p>
        </w:tc>
        <w:tc>
          <w:tcPr>
            <w:tcW w:w="567" w:type="dxa"/>
            <w:shd w:val="clear" w:color="auto" w:fill="auto"/>
            <w:tcMar>
              <w:top w:w="0" w:type="dxa"/>
              <w:left w:w="11" w:type="dxa"/>
              <w:bottom w:w="0" w:type="dxa"/>
              <w:right w:w="10" w:type="dxa"/>
            </w:tcMar>
            <w:vAlign w:val="center"/>
          </w:tcPr>
          <w:p w14:paraId="51C49FA1" w14:textId="50C95809" w:rsidR="00A075A1" w:rsidRPr="00A075A1" w:rsidRDefault="00A075A1" w:rsidP="00F86869">
            <w:pPr>
              <w:jc w:val="center"/>
              <w:rPr>
                <w:rFonts w:ascii="Tahoma" w:eastAsia="Wingdings" w:hAnsi="Tahoma" w:cs="Tahoma"/>
                <w:sz w:val="19"/>
                <w:szCs w:val="19"/>
              </w:rPr>
            </w:pPr>
            <w:r w:rsidRPr="004A5236">
              <w:rPr>
                <w:rFonts w:ascii="Wingdings" w:eastAsia="Wingdings" w:hAnsi="Wingdings" w:cs="Wingdings"/>
                <w:sz w:val="18"/>
                <w:szCs w:val="18"/>
              </w:rPr>
              <w:t></w:t>
            </w:r>
          </w:p>
        </w:tc>
        <w:tc>
          <w:tcPr>
            <w:tcW w:w="1559" w:type="dxa"/>
            <w:gridSpan w:val="2"/>
            <w:shd w:val="clear" w:color="auto" w:fill="auto"/>
            <w:tcMar>
              <w:top w:w="0" w:type="dxa"/>
              <w:left w:w="11" w:type="dxa"/>
              <w:bottom w:w="0" w:type="dxa"/>
              <w:right w:w="10" w:type="dxa"/>
            </w:tcMar>
            <w:vAlign w:val="center"/>
          </w:tcPr>
          <w:p w14:paraId="7F2CD54D" w14:textId="77777777" w:rsidR="00A075A1" w:rsidRPr="00A075A1" w:rsidRDefault="00A075A1" w:rsidP="00F86869">
            <w:pPr>
              <w:jc w:val="center"/>
              <w:rPr>
                <w:rFonts w:ascii="Tahoma" w:hAnsi="Tahoma" w:cs="Tahoma"/>
                <w:sz w:val="19"/>
                <w:szCs w:val="19"/>
              </w:rPr>
            </w:pPr>
            <w:r w:rsidRPr="00A075A1">
              <w:rPr>
                <w:rFonts w:ascii="Tahoma" w:hAnsi="Tahoma" w:cs="Tahoma"/>
                <w:sz w:val="19"/>
                <w:szCs w:val="19"/>
              </w:rPr>
              <w:t>88,42%</w:t>
            </w:r>
          </w:p>
        </w:tc>
      </w:tr>
    </w:tbl>
    <w:p w14:paraId="756C94FC" w14:textId="50293BFA" w:rsidR="00AF6482" w:rsidRPr="00F86869" w:rsidRDefault="00AF6482" w:rsidP="00F86869">
      <w:pPr>
        <w:spacing w:before="60" w:after="60"/>
        <w:jc w:val="both"/>
        <w:rPr>
          <w:rFonts w:ascii="Tahoma" w:hAnsi="Tahoma" w:cs="Tahoma"/>
          <w:sz w:val="18"/>
          <w:szCs w:val="18"/>
        </w:rPr>
      </w:pPr>
      <w:r w:rsidRPr="00F86869">
        <w:rPr>
          <w:rFonts w:ascii="Tahoma" w:hAnsi="Tahoma" w:cs="Tahoma"/>
          <w:sz w:val="18"/>
          <w:szCs w:val="18"/>
        </w:rPr>
        <w:t xml:space="preserve">Nota: </w:t>
      </w:r>
      <w:r w:rsidR="00F86869" w:rsidRPr="004A5236">
        <w:rPr>
          <w:rFonts w:ascii="Wingdings" w:eastAsia="Wingdings" w:hAnsi="Wingdings" w:cs="Wingdings"/>
          <w:sz w:val="18"/>
          <w:szCs w:val="18"/>
        </w:rPr>
        <w:t></w:t>
      </w:r>
      <w:r w:rsidRPr="00F86869">
        <w:rPr>
          <w:rFonts w:ascii="Tahoma" w:hAnsi="Tahoma" w:cs="Tahoma"/>
          <w:sz w:val="18"/>
          <w:szCs w:val="18"/>
        </w:rPr>
        <w:t xml:space="preserve"> - quanto maior, melhor e </w:t>
      </w:r>
      <w:r w:rsidR="00F86869">
        <w:rPr>
          <w:rFonts w:ascii="Wingdings" w:eastAsia="Wingdings" w:hAnsi="Wingdings" w:cs="Wingdings"/>
          <w:sz w:val="18"/>
          <w:szCs w:val="18"/>
        </w:rPr>
        <w:t></w:t>
      </w:r>
      <w:r w:rsidRPr="00F86869">
        <w:rPr>
          <w:rFonts w:ascii="Tahoma" w:hAnsi="Tahoma" w:cs="Tahoma"/>
          <w:sz w:val="18"/>
          <w:szCs w:val="18"/>
        </w:rPr>
        <w:t xml:space="preserve"> - quanto menor, melhor.</w:t>
      </w:r>
    </w:p>
    <w:p w14:paraId="75C81CF1" w14:textId="11F5E758" w:rsidR="00107542" w:rsidRPr="00107542" w:rsidRDefault="00AF6482" w:rsidP="00107542">
      <w:pPr>
        <w:spacing w:before="60" w:after="60"/>
        <w:jc w:val="both"/>
        <w:rPr>
          <w:rFonts w:ascii="Tahoma" w:hAnsi="Tahoma" w:cs="Tahoma"/>
          <w:sz w:val="18"/>
          <w:szCs w:val="18"/>
        </w:rPr>
      </w:pPr>
      <w:r w:rsidRPr="00F86869">
        <w:rPr>
          <w:rFonts w:ascii="Tahoma" w:hAnsi="Tahoma" w:cs="Tahoma"/>
          <w:sz w:val="18"/>
          <w:szCs w:val="18"/>
        </w:rPr>
        <w:t xml:space="preserve">* </w:t>
      </w:r>
      <w:r w:rsidR="00107542" w:rsidRPr="00107542">
        <w:rPr>
          <w:rFonts w:ascii="Tahoma" w:hAnsi="Tahoma" w:cs="Tahoma"/>
          <w:sz w:val="18"/>
          <w:szCs w:val="18"/>
        </w:rPr>
        <w:t xml:space="preserve">O resultado deste indicador é apurado diretamente pela </w:t>
      </w:r>
      <w:r w:rsidR="00B1420E" w:rsidRPr="00B1420E">
        <w:rPr>
          <w:rFonts w:ascii="Tahoma" w:hAnsi="Tahoma" w:cs="Tahoma"/>
          <w:sz w:val="18"/>
          <w:szCs w:val="18"/>
        </w:rPr>
        <w:t>Secretaria de Coordenação e Governança das Empresas Estatais (S</w:t>
      </w:r>
      <w:r w:rsidR="00D06B42">
        <w:rPr>
          <w:rFonts w:ascii="Tahoma" w:hAnsi="Tahoma" w:cs="Tahoma"/>
          <w:sz w:val="18"/>
          <w:szCs w:val="18"/>
        </w:rPr>
        <w:t>est</w:t>
      </w:r>
      <w:r w:rsidR="00B1420E" w:rsidRPr="00B1420E">
        <w:rPr>
          <w:rFonts w:ascii="Tahoma" w:hAnsi="Tahoma" w:cs="Tahoma"/>
          <w:sz w:val="18"/>
          <w:szCs w:val="18"/>
        </w:rPr>
        <w:t>)</w:t>
      </w:r>
      <w:r w:rsidR="00B1420E">
        <w:rPr>
          <w:rFonts w:ascii="Tahoma" w:hAnsi="Tahoma" w:cs="Tahoma"/>
          <w:sz w:val="18"/>
          <w:szCs w:val="18"/>
        </w:rPr>
        <w:t xml:space="preserve">. Ele afere a </w:t>
      </w:r>
      <w:r w:rsidR="00B1420E" w:rsidRPr="00B1420E">
        <w:rPr>
          <w:rFonts w:ascii="Tahoma" w:hAnsi="Tahoma" w:cs="Tahoma"/>
          <w:sz w:val="18"/>
          <w:szCs w:val="18"/>
        </w:rPr>
        <w:t>dimensão de governança, conformidade e transparênci</w:t>
      </w:r>
      <w:r w:rsidR="00B1420E">
        <w:rPr>
          <w:rFonts w:ascii="Tahoma" w:hAnsi="Tahoma" w:cs="Tahoma"/>
          <w:sz w:val="18"/>
          <w:szCs w:val="18"/>
        </w:rPr>
        <w:t>a do Programa de Remuneração Variável Anual (RVA) dos dirigentes</w:t>
      </w:r>
      <w:r w:rsidR="00107542" w:rsidRPr="00107542">
        <w:rPr>
          <w:rFonts w:ascii="Tahoma" w:hAnsi="Tahoma" w:cs="Tahoma"/>
          <w:sz w:val="18"/>
          <w:szCs w:val="18"/>
        </w:rPr>
        <w:t>.</w:t>
      </w:r>
    </w:p>
    <w:p w14:paraId="4B36A03D" w14:textId="15158590" w:rsidR="00722982" w:rsidRPr="00F86869" w:rsidRDefault="00722982" w:rsidP="00722982">
      <w:pPr>
        <w:spacing w:before="60" w:after="60"/>
        <w:jc w:val="both"/>
        <w:rPr>
          <w:rFonts w:ascii="Tahoma" w:hAnsi="Tahoma" w:cs="Tahoma"/>
          <w:sz w:val="18"/>
          <w:szCs w:val="18"/>
        </w:rPr>
      </w:pPr>
      <w:r>
        <w:rPr>
          <w:rFonts w:ascii="Tahoma" w:hAnsi="Tahoma" w:cs="Tahoma"/>
          <w:sz w:val="18"/>
          <w:szCs w:val="18"/>
        </w:rPr>
        <w:t>** Esse</w:t>
      </w:r>
      <w:r w:rsidRPr="00F86869">
        <w:rPr>
          <w:rFonts w:ascii="Tahoma" w:hAnsi="Tahoma" w:cs="Tahoma"/>
          <w:sz w:val="18"/>
          <w:szCs w:val="18"/>
        </w:rPr>
        <w:t xml:space="preserve"> indicador ainda está em estruturação pois depende da finalização d</w:t>
      </w:r>
      <w:r>
        <w:rPr>
          <w:rFonts w:ascii="Tahoma" w:hAnsi="Tahoma" w:cs="Tahoma"/>
          <w:sz w:val="18"/>
          <w:szCs w:val="18"/>
        </w:rPr>
        <w:t>e</w:t>
      </w:r>
      <w:r w:rsidRPr="00F86869">
        <w:rPr>
          <w:rFonts w:ascii="Tahoma" w:hAnsi="Tahoma" w:cs="Tahoma"/>
          <w:sz w:val="18"/>
          <w:szCs w:val="18"/>
        </w:rPr>
        <w:t xml:space="preserve"> atividades </w:t>
      </w:r>
      <w:r>
        <w:rPr>
          <w:rFonts w:ascii="Tahoma" w:hAnsi="Tahoma" w:cs="Tahoma"/>
          <w:sz w:val="18"/>
          <w:szCs w:val="18"/>
        </w:rPr>
        <w:t xml:space="preserve">da </w:t>
      </w:r>
      <w:r w:rsidRPr="00F86869">
        <w:rPr>
          <w:rFonts w:ascii="Tahoma" w:hAnsi="Tahoma" w:cs="Tahoma"/>
          <w:sz w:val="18"/>
          <w:szCs w:val="18"/>
        </w:rPr>
        <w:t>Fundação Nacional de Qualidade para a primeira medição.</w:t>
      </w:r>
    </w:p>
    <w:p w14:paraId="14D25310" w14:textId="2EC116FB" w:rsidR="00C50A95" w:rsidRDefault="00C50A95" w:rsidP="00722982">
      <w:pPr>
        <w:spacing w:before="120" w:after="120" w:line="360" w:lineRule="auto"/>
        <w:rPr>
          <w:rFonts w:ascii="Tahoma" w:eastAsiaTheme="minorHAnsi" w:hAnsi="Tahoma" w:cs="Tahoma"/>
          <w:sz w:val="19"/>
          <w:szCs w:val="19"/>
          <w:lang w:eastAsia="en-US"/>
        </w:rPr>
      </w:pPr>
      <w:r w:rsidRPr="00F86869">
        <w:rPr>
          <w:rFonts w:ascii="Tahoma" w:hAnsi="Tahoma" w:cs="Tahoma"/>
          <w:noProof/>
          <w:sz w:val="18"/>
          <w:szCs w:val="18"/>
        </w:rPr>
        <mc:AlternateContent>
          <mc:Choice Requires="wps">
            <w:drawing>
              <wp:anchor distT="0" distB="0" distL="114300" distR="114300" simplePos="0" relativeHeight="251812864" behindDoc="0" locked="0" layoutInCell="1" allowOverlap="1" wp14:anchorId="408ED38B" wp14:editId="6CB62AB4">
                <wp:simplePos x="0" y="0"/>
                <wp:positionH relativeFrom="column">
                  <wp:posOffset>1917700</wp:posOffset>
                </wp:positionH>
                <wp:positionV relativeFrom="paragraph">
                  <wp:posOffset>46330</wp:posOffset>
                </wp:positionV>
                <wp:extent cx="4219575" cy="336550"/>
                <wp:effectExtent l="0" t="0" r="9525" b="6350"/>
                <wp:wrapNone/>
                <wp:docPr id="347103241" name="Text Box 237"/>
                <wp:cNvGraphicFramePr/>
                <a:graphic xmlns:a="http://schemas.openxmlformats.org/drawingml/2006/main">
                  <a:graphicData uri="http://schemas.microsoft.com/office/word/2010/wordprocessingShape">
                    <wps:wsp>
                      <wps:cNvSpPr txBox="1"/>
                      <wps:spPr>
                        <a:xfrm>
                          <a:off x="0" y="0"/>
                          <a:ext cx="4219575" cy="336550"/>
                        </a:xfrm>
                        <a:prstGeom prst="rect">
                          <a:avLst/>
                        </a:prstGeom>
                        <a:solidFill>
                          <a:srgbClr val="0098BA">
                            <a:alpha val="25098"/>
                          </a:srgbClr>
                        </a:solidFill>
                        <a:ln w="6345">
                          <a:noFill/>
                          <a:prstDash val="dash"/>
                        </a:ln>
                      </wps:spPr>
                      <wps:txbx>
                        <w:txbxContent>
                          <w:p w14:paraId="0B103CA0" w14:textId="77777777" w:rsidR="00AF6482" w:rsidRPr="00F86869" w:rsidRDefault="00AF6482" w:rsidP="00AF6482">
                            <w:pPr>
                              <w:jc w:val="right"/>
                              <w:rPr>
                                <w:rFonts w:ascii="Tahoma" w:hAnsi="Tahoma" w:cs="Tahoma"/>
                                <w:sz w:val="16"/>
                                <w:szCs w:val="16"/>
                              </w:rPr>
                            </w:pPr>
                            <w:r w:rsidRPr="00F86869">
                              <w:rPr>
                                <w:rFonts w:ascii="Tahoma" w:hAnsi="Tahoma" w:cs="Tahoma"/>
                                <w:sz w:val="16"/>
                                <w:szCs w:val="16"/>
                              </w:rPr>
                              <w:t xml:space="preserve">Mais informações sobre nossos resultados podem ser encontradas em </w:t>
                            </w:r>
                            <w:hyperlink r:id="rId105" w:history="1">
                              <w:r w:rsidRPr="00F86869">
                                <w:rPr>
                                  <w:rStyle w:val="Hyperlink"/>
                                  <w:rFonts w:ascii="Tahoma" w:hAnsi="Tahoma" w:cs="Tahoma"/>
                                  <w:sz w:val="16"/>
                                  <w:szCs w:val="16"/>
                                </w:rPr>
                                <w:t>http://www.finep.gov.br/transparencia-finep/objetivos-metas-e-resultados</w:t>
                              </w:r>
                            </w:hyperlink>
                            <w:r w:rsidRPr="00F86869">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08ED38B" id="_x0000_s1038" type="#_x0000_t202" style="position:absolute;margin-left:151pt;margin-top:3.65pt;width:332.25pt;height:2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" fillcolor="#0098ba" stroked="f" strokeweight=".17625mm">
                <v:fill opacity="16448f"/>
                <v:stroke dashstyle="dash"/>
                <v:textbox>
                  <w:txbxContent>
                    <w:p w14:paraId="0B103CA0" w14:textId="77777777" w:rsidR="00AF6482" w:rsidRPr="00F86869" w:rsidRDefault="00AF6482" w:rsidP="00AF6482">
                      <w:pPr>
                        <w:jc w:val="right"/>
                        <w:rPr>
                          <w:rFonts w:ascii="Tahoma" w:hAnsi="Tahoma" w:cs="Tahoma"/>
                          <w:sz w:val="16"/>
                          <w:szCs w:val="16"/>
                        </w:rPr>
                      </w:pPr>
                      <w:r w:rsidRPr="00F86869">
                        <w:rPr>
                          <w:rFonts w:ascii="Tahoma" w:hAnsi="Tahoma" w:cs="Tahoma"/>
                          <w:sz w:val="16"/>
                          <w:szCs w:val="16"/>
                        </w:rPr>
                        <w:t xml:space="preserve">Mais informações sobre nossos resultados podem ser encontradas em </w:t>
                      </w:r>
                      <w:hyperlink r:id="rId106" w:history="1">
                        <w:r w:rsidRPr="00F86869">
                          <w:rPr>
                            <w:rStyle w:val="Hyperlink"/>
                            <w:rFonts w:ascii="Tahoma" w:hAnsi="Tahoma" w:cs="Tahoma"/>
                            <w:sz w:val="16"/>
                            <w:szCs w:val="16"/>
                          </w:rPr>
                          <w:t>http://www.finep.gov.br/transparencia-finep/objetivos-metas-e-resultados</w:t>
                        </w:r>
                      </w:hyperlink>
                      <w:r w:rsidRPr="00F86869">
                        <w:rPr>
                          <w:rFonts w:ascii="Tahoma" w:hAnsi="Tahoma" w:cs="Tahoma"/>
                          <w:sz w:val="16"/>
                          <w:szCs w:val="16"/>
                        </w:rPr>
                        <w:t>.</w:t>
                      </w:r>
                    </w:p>
                  </w:txbxContent>
                </v:textbox>
              </v:shape>
            </w:pict>
          </mc:Fallback>
        </mc:AlternateContent>
      </w:r>
    </w:p>
    <w:p w14:paraId="3E0CC204" w14:textId="77777777" w:rsidR="00C50A95" w:rsidRPr="00C50A95" w:rsidRDefault="00C50A95" w:rsidP="00722982">
      <w:pPr>
        <w:spacing w:before="120" w:after="120" w:line="360" w:lineRule="auto"/>
        <w:rPr>
          <w:rFonts w:ascii="Tahoma" w:eastAsiaTheme="minorHAnsi" w:hAnsi="Tahoma" w:cs="Tahoma"/>
          <w:sz w:val="19"/>
          <w:szCs w:val="19"/>
          <w:lang w:eastAsia="en-US"/>
        </w:rPr>
      </w:pPr>
    </w:p>
    <w:bookmarkEnd w:id="53"/>
    <w:p w14:paraId="235A7627" w14:textId="1D886689" w:rsidR="00AF6482" w:rsidRPr="00722982" w:rsidRDefault="00AF6482" w:rsidP="00722982">
      <w:pPr>
        <w:spacing w:before="120" w:after="120" w:line="360" w:lineRule="auto"/>
        <w:rPr>
          <w:rFonts w:ascii="Tahoma" w:eastAsiaTheme="minorHAnsi" w:hAnsi="Tahoma" w:cs="Tahoma"/>
          <w:color w:val="0098BA"/>
          <w:sz w:val="19"/>
          <w:szCs w:val="19"/>
          <w:lang w:eastAsia="en-US"/>
        </w:rPr>
      </w:pPr>
      <w:r w:rsidRPr="00722982">
        <w:rPr>
          <w:rFonts w:ascii="Tahoma" w:eastAsiaTheme="minorHAnsi" w:hAnsi="Tahoma" w:cs="Tahoma"/>
          <w:color w:val="0098BA"/>
          <w:sz w:val="19"/>
          <w:szCs w:val="19"/>
          <w:lang w:eastAsia="en-US"/>
        </w:rPr>
        <w:t>Análise da Execução da Estratégia e Plano de Negócios 202</w:t>
      </w:r>
      <w:r w:rsidR="00CE268E" w:rsidRPr="00722982">
        <w:rPr>
          <w:rFonts w:ascii="Tahoma" w:eastAsiaTheme="minorHAnsi" w:hAnsi="Tahoma" w:cs="Tahoma"/>
          <w:color w:val="0098BA"/>
          <w:sz w:val="19"/>
          <w:szCs w:val="19"/>
          <w:lang w:eastAsia="en-US"/>
        </w:rPr>
        <w:t>3</w:t>
      </w:r>
    </w:p>
    <w:p w14:paraId="3FF23774" w14:textId="0AD14D0F"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t xml:space="preserve">O plano estratégico institucional tem o propósito de orientar </w:t>
      </w:r>
      <w:r w:rsidR="00383AB1" w:rsidRPr="00442376">
        <w:rPr>
          <w:rFonts w:ascii="Tahoma" w:hAnsi="Tahoma" w:cs="Tahoma"/>
          <w:sz w:val="19"/>
          <w:szCs w:val="19"/>
        </w:rPr>
        <w:t>noss</w:t>
      </w:r>
      <w:r w:rsidRPr="00442376">
        <w:rPr>
          <w:rFonts w:ascii="Tahoma" w:hAnsi="Tahoma" w:cs="Tahoma"/>
          <w:sz w:val="19"/>
          <w:szCs w:val="19"/>
        </w:rPr>
        <w:t>a atuação e processo decisório interno, promovendo a integração e a convergência de esforços entre os diversos níveis da organização, além de servir como instrumento para dar transparência às partes interessadas sobre os planos organizacionais e metas definidas para o período.</w:t>
      </w:r>
    </w:p>
    <w:p w14:paraId="4A46387A" w14:textId="75B1A992"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t xml:space="preserve">Tivemos um desempenho satisfatório na execução da estratégia, conforme apresentado no item </w:t>
      </w:r>
      <w:r w:rsidR="00383AB1" w:rsidRPr="00442376">
        <w:rPr>
          <w:rFonts w:ascii="Tahoma" w:hAnsi="Tahoma" w:cs="Tahoma"/>
          <w:sz w:val="19"/>
          <w:szCs w:val="19"/>
        </w:rPr>
        <w:t>Indicadores estratégicos e resultados</w:t>
      </w:r>
      <w:r w:rsidRPr="00442376">
        <w:rPr>
          <w:rFonts w:ascii="Tahoma" w:hAnsi="Tahoma" w:cs="Tahoma"/>
          <w:sz w:val="19"/>
          <w:szCs w:val="19"/>
        </w:rPr>
        <w:t xml:space="preserve">. Do total de indicadores estratégicos, </w:t>
      </w:r>
      <w:r w:rsidR="00D44613" w:rsidRPr="00442376">
        <w:rPr>
          <w:rFonts w:ascii="Tahoma" w:hAnsi="Tahoma" w:cs="Tahoma"/>
          <w:sz w:val="19"/>
          <w:szCs w:val="19"/>
        </w:rPr>
        <w:t>65</w:t>
      </w:r>
      <w:r w:rsidRPr="00442376">
        <w:rPr>
          <w:rFonts w:ascii="Tahoma" w:hAnsi="Tahoma" w:cs="Tahoma"/>
          <w:sz w:val="19"/>
          <w:szCs w:val="19"/>
        </w:rPr>
        <w:t xml:space="preserve">% tiveram suas metas superadas. O percentual médio de atendimento de metas como um todo foi de </w:t>
      </w:r>
      <w:r w:rsidR="00D44613" w:rsidRPr="00442376">
        <w:rPr>
          <w:rFonts w:ascii="Tahoma" w:hAnsi="Tahoma" w:cs="Tahoma"/>
          <w:sz w:val="19"/>
          <w:szCs w:val="19"/>
        </w:rPr>
        <w:t>131</w:t>
      </w:r>
      <w:r w:rsidRPr="00442376">
        <w:rPr>
          <w:rFonts w:ascii="Tahoma" w:hAnsi="Tahoma" w:cs="Tahoma"/>
          <w:sz w:val="19"/>
          <w:szCs w:val="19"/>
        </w:rPr>
        <w:t xml:space="preserve">%. O resultado positivo é resultante da efetividade das medidas adotadas nos últimos anos, com foco no aumento da nossa eficiência e de aspectos relevantes relacionados ao orçamento disponibilizado para a Finep e </w:t>
      </w:r>
      <w:r w:rsidR="00847174">
        <w:rPr>
          <w:rFonts w:ascii="Tahoma" w:hAnsi="Tahoma" w:cs="Tahoma"/>
          <w:sz w:val="19"/>
          <w:szCs w:val="19"/>
        </w:rPr>
        <w:t>à</w:t>
      </w:r>
      <w:r w:rsidRPr="00442376">
        <w:rPr>
          <w:rFonts w:ascii="Tahoma" w:hAnsi="Tahoma" w:cs="Tahoma"/>
          <w:sz w:val="19"/>
          <w:szCs w:val="19"/>
        </w:rPr>
        <w:t xml:space="preserve"> atratividade das nossas linhas de financiamento.</w:t>
      </w:r>
    </w:p>
    <w:p w14:paraId="02F18A46" w14:textId="77777777" w:rsidR="00327EC8" w:rsidRPr="00442376" w:rsidRDefault="00327EC8" w:rsidP="00BF5DA8">
      <w:pPr>
        <w:shd w:val="clear" w:color="auto" w:fill="FFFFFF" w:themeFill="background1"/>
        <w:spacing w:before="120" w:after="120" w:line="360" w:lineRule="auto"/>
        <w:jc w:val="both"/>
        <w:rPr>
          <w:rFonts w:ascii="Tahoma" w:hAnsi="Tahoma" w:cs="Tahoma"/>
          <w:sz w:val="19"/>
          <w:szCs w:val="19"/>
        </w:rPr>
      </w:pPr>
      <w:r w:rsidRPr="00442376">
        <w:rPr>
          <w:rFonts w:ascii="Tahoma" w:hAnsi="Tahoma" w:cs="Tahoma"/>
          <w:sz w:val="19"/>
          <w:szCs w:val="19"/>
        </w:rPr>
        <w:t>O descontingenciamento dos recursos do Fundo Nacional de Desenvolvimento Científico de Tecnológico (FNDCT), devido aos efeitos da Lei Complementar 177, de 12 de janeiro de 2021, propiciou um importante aumento de recursos e previsibilidade orçamentária para o financiamento de pesquisa, desenvolvimento e inovação em 2023. Ainda, a Lei 14.554, de 20 de abril de 2023 estabilizou a taxa referencial como taxa de juros remuneratórios do FNDCT, consolidando a atratividade das nossas linhas de financiamento reembolsável.</w:t>
      </w:r>
    </w:p>
    <w:p w14:paraId="07524CC4" w14:textId="77777777"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t xml:space="preserve">Os fatores mencionados resultaram no aumento da demanda por recursos reembolsáveis e na operacionalização de um elevado número de ações com recursos não reembolsáveis, que impactaram positivamente os indicadores na </w:t>
      </w:r>
      <w:r w:rsidRPr="00442376">
        <w:rPr>
          <w:rFonts w:ascii="Tahoma" w:eastAsiaTheme="minorHAnsi" w:hAnsi="Tahoma" w:cs="Tahoma"/>
          <w:color w:val="0098BA"/>
          <w:sz w:val="19"/>
          <w:szCs w:val="19"/>
          <w:lang w:eastAsia="en-US"/>
        </w:rPr>
        <w:t>Dimensão Resultados Institucionais da Estratégia</w:t>
      </w:r>
      <w:r w:rsidRPr="00442376">
        <w:rPr>
          <w:rFonts w:ascii="Tahoma" w:hAnsi="Tahoma" w:cs="Tahoma"/>
          <w:sz w:val="19"/>
          <w:szCs w:val="19"/>
        </w:rPr>
        <w:t>, na qual estão agrupados os objetivos relacionados com a missão da empresa de promover o desenvolvimento econômico e social do Brasil por meio do fomento público à Ciência, Tecnologia e Inovação em empresas, universidades, institutos tecnológicos e outras instituições públicas ou privadas.</w:t>
      </w:r>
    </w:p>
    <w:p w14:paraId="7B57AA8F" w14:textId="62B38F96"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lastRenderedPageBreak/>
        <w:t xml:space="preserve">O aumento dos recursos para ações não reembolsáveis em 2023 foi da ordem </w:t>
      </w:r>
      <w:r w:rsidRPr="00442376">
        <w:rPr>
          <w:rFonts w:ascii="Tahoma" w:hAnsi="Tahoma" w:cs="Tahoma"/>
          <w:sz w:val="19"/>
          <w:szCs w:val="19"/>
          <w:shd w:val="clear" w:color="auto" w:fill="FFFFFF" w:themeFill="background1"/>
        </w:rPr>
        <w:t>de 80%</w:t>
      </w:r>
      <w:r w:rsidRPr="00442376">
        <w:rPr>
          <w:rFonts w:ascii="Tahoma" w:hAnsi="Tahoma" w:cs="Tahoma"/>
          <w:sz w:val="19"/>
          <w:szCs w:val="19"/>
        </w:rPr>
        <w:t>, totalizando R$ 4,9</w:t>
      </w:r>
      <w:r w:rsidR="009E11D7" w:rsidRPr="00442376">
        <w:rPr>
          <w:rFonts w:ascii="Tahoma" w:hAnsi="Tahoma" w:cs="Tahoma"/>
          <w:sz w:val="19"/>
          <w:szCs w:val="19"/>
        </w:rPr>
        <w:t>8</w:t>
      </w:r>
      <w:r w:rsidRPr="00442376">
        <w:rPr>
          <w:rFonts w:ascii="Tahoma" w:hAnsi="Tahoma" w:cs="Tahoma"/>
          <w:sz w:val="19"/>
          <w:szCs w:val="19"/>
        </w:rPr>
        <w:t xml:space="preserve"> bilhões. Os recursos foram executados em sua plenitude, como mostra o indicador de execução do FNDCT e possibilitaram a articulação de ações de grande </w:t>
      </w:r>
      <w:r w:rsidR="00597D55">
        <w:rPr>
          <w:rFonts w:ascii="Tahoma" w:hAnsi="Tahoma" w:cs="Tahoma"/>
          <w:sz w:val="19"/>
          <w:szCs w:val="19"/>
        </w:rPr>
        <w:t>relevância</w:t>
      </w:r>
      <w:r w:rsidRPr="00442376">
        <w:rPr>
          <w:rFonts w:ascii="Tahoma" w:hAnsi="Tahoma" w:cs="Tahoma"/>
          <w:sz w:val="19"/>
          <w:szCs w:val="19"/>
        </w:rPr>
        <w:t xml:space="preserve"> por meio de instrumentos não-reembolsáveis</w:t>
      </w:r>
      <w:r w:rsidR="006C2218">
        <w:rPr>
          <w:rFonts w:ascii="Tahoma" w:hAnsi="Tahoma" w:cs="Tahoma"/>
          <w:sz w:val="19"/>
          <w:szCs w:val="19"/>
        </w:rPr>
        <w:t>.</w:t>
      </w:r>
    </w:p>
    <w:p w14:paraId="6D3718FD" w14:textId="2E5DBF28"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t>A efetividade da atuação da Finep se dá através da sua capacidade de apoiar projetos de elevado impacto tecnológico, econômico e social e em diversas regiões do país. O aumento no número de ações e da demanda por apoio representou impacto positivo em termos de contratação de projetos, o que pode ser observado no resultado do indicador de contratações per capita, cujo resultado foi de 3,42 projetos por funcionário, ou seja, 303% da meta estipulada, representando o maior valor da série histórica, superando o valor encontrado em 2022, que foi 2,18.</w:t>
      </w:r>
    </w:p>
    <w:p w14:paraId="75C685F0" w14:textId="77777777"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t>A elevação da demanda de empresas brasileiras por financiamento reembolsável impactou também o indicador de Liberação de Recursos Reembolsáveis, que superou em 36% a meta prevista para o ano. As liberações de recursos apresentaram aumento de R$ 3 bilhões em relação ao executado no ano anterior.</w:t>
      </w:r>
    </w:p>
    <w:p w14:paraId="5C0D34E8" w14:textId="3028740D"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t xml:space="preserve">Mesmo com o contexto de alto volume de recursos, foi possível manter o foco no atendimento à meta estabelecida para o Índice de Equidade Regional (IER) que teve resultado de 32,15%, o que representa 46% a mais do que o estabelecido como meta para ano. O IER foi fortemente impactado pelas ações de subvenção </w:t>
      </w:r>
      <w:r w:rsidRPr="00387686">
        <w:rPr>
          <w:rFonts w:ascii="Tahoma" w:hAnsi="Tahoma" w:cs="Tahoma"/>
          <w:sz w:val="19"/>
          <w:szCs w:val="19"/>
        </w:rPr>
        <w:t>descentralizada correspondendo a 68% das contratações nas regiões Norte, Nordeste e Centro-Oeste</w:t>
      </w:r>
      <w:r w:rsidR="0078241F" w:rsidRPr="00387686">
        <w:rPr>
          <w:rFonts w:ascii="Tahoma" w:hAnsi="Tahoma" w:cs="Tahoma"/>
          <w:sz w:val="19"/>
          <w:szCs w:val="19"/>
        </w:rPr>
        <w:t>, com</w:t>
      </w:r>
      <w:r w:rsidR="0078241F" w:rsidRPr="00442376">
        <w:rPr>
          <w:rFonts w:ascii="Tahoma" w:hAnsi="Tahoma" w:cs="Tahoma"/>
          <w:sz w:val="19"/>
          <w:szCs w:val="19"/>
        </w:rPr>
        <w:t xml:space="preserve"> d</w:t>
      </w:r>
      <w:r w:rsidRPr="00442376">
        <w:rPr>
          <w:rFonts w:ascii="Tahoma" w:hAnsi="Tahoma" w:cs="Tahoma"/>
          <w:sz w:val="19"/>
          <w:szCs w:val="19"/>
        </w:rPr>
        <w:t>estaque para a segunda edição do programa Centelha com 7</w:t>
      </w:r>
      <w:r w:rsidR="00EE529A" w:rsidRPr="00442376">
        <w:rPr>
          <w:rFonts w:ascii="Tahoma" w:hAnsi="Tahoma" w:cs="Tahoma"/>
          <w:sz w:val="19"/>
          <w:szCs w:val="19"/>
        </w:rPr>
        <w:t>5</w:t>
      </w:r>
      <w:r w:rsidRPr="00442376">
        <w:rPr>
          <w:rFonts w:ascii="Tahoma" w:hAnsi="Tahoma" w:cs="Tahoma"/>
          <w:sz w:val="19"/>
          <w:szCs w:val="19"/>
        </w:rPr>
        <w:t xml:space="preserve">% das contratações </w:t>
      </w:r>
      <w:r w:rsidR="0078241F" w:rsidRPr="00442376">
        <w:rPr>
          <w:rFonts w:ascii="Tahoma" w:hAnsi="Tahoma" w:cs="Tahoma"/>
          <w:sz w:val="19"/>
          <w:szCs w:val="19"/>
        </w:rPr>
        <w:t>nessas regiões</w:t>
      </w:r>
      <w:r w:rsidRPr="00442376">
        <w:rPr>
          <w:rFonts w:ascii="Tahoma" w:hAnsi="Tahoma" w:cs="Tahoma"/>
          <w:sz w:val="19"/>
          <w:szCs w:val="19"/>
        </w:rPr>
        <w:t xml:space="preserve">. A presença dos produtos de crédito da Finep nessas regiões é diretamente afetada pela existência dos fundos constitucionais de financiamento (Centro-Oeste </w:t>
      </w:r>
      <w:r w:rsidR="005F2A8A" w:rsidRPr="00442376">
        <w:rPr>
          <w:rFonts w:ascii="Tahoma" w:hAnsi="Tahoma" w:cs="Tahoma"/>
          <w:sz w:val="19"/>
          <w:szCs w:val="19"/>
        </w:rPr>
        <w:t xml:space="preserve">– </w:t>
      </w:r>
      <w:r w:rsidRPr="00442376">
        <w:rPr>
          <w:rFonts w:ascii="Tahoma" w:hAnsi="Tahoma" w:cs="Tahoma"/>
          <w:sz w:val="19"/>
          <w:szCs w:val="19"/>
        </w:rPr>
        <w:t>FCO</w:t>
      </w:r>
      <w:r w:rsidR="005F2A8A" w:rsidRPr="00442376">
        <w:rPr>
          <w:rFonts w:ascii="Tahoma" w:hAnsi="Tahoma" w:cs="Tahoma"/>
          <w:sz w:val="19"/>
          <w:szCs w:val="19"/>
        </w:rPr>
        <w:t>;</w:t>
      </w:r>
      <w:r w:rsidRPr="00442376">
        <w:rPr>
          <w:rFonts w:ascii="Tahoma" w:hAnsi="Tahoma" w:cs="Tahoma"/>
          <w:sz w:val="19"/>
          <w:szCs w:val="19"/>
        </w:rPr>
        <w:t xml:space="preserve"> do Nordeste </w:t>
      </w:r>
      <w:r w:rsidR="005F2A8A" w:rsidRPr="00442376">
        <w:rPr>
          <w:rFonts w:ascii="Tahoma" w:hAnsi="Tahoma" w:cs="Tahoma"/>
          <w:sz w:val="19"/>
          <w:szCs w:val="19"/>
        </w:rPr>
        <w:t xml:space="preserve">– </w:t>
      </w:r>
      <w:r w:rsidRPr="00442376">
        <w:rPr>
          <w:rFonts w:ascii="Tahoma" w:hAnsi="Tahoma" w:cs="Tahoma"/>
          <w:sz w:val="19"/>
          <w:szCs w:val="19"/>
        </w:rPr>
        <w:t>FNE</w:t>
      </w:r>
      <w:r w:rsidR="005F2A8A" w:rsidRPr="00442376">
        <w:rPr>
          <w:rFonts w:ascii="Tahoma" w:hAnsi="Tahoma" w:cs="Tahoma"/>
          <w:sz w:val="19"/>
          <w:szCs w:val="19"/>
        </w:rPr>
        <w:t xml:space="preserve">; e </w:t>
      </w:r>
      <w:r w:rsidRPr="00442376">
        <w:rPr>
          <w:rFonts w:ascii="Tahoma" w:hAnsi="Tahoma" w:cs="Tahoma"/>
          <w:sz w:val="19"/>
          <w:szCs w:val="19"/>
        </w:rPr>
        <w:t xml:space="preserve">do Norte </w:t>
      </w:r>
      <w:r w:rsidR="005F2A8A" w:rsidRPr="00442376">
        <w:rPr>
          <w:rFonts w:ascii="Tahoma" w:hAnsi="Tahoma" w:cs="Tahoma"/>
          <w:sz w:val="19"/>
          <w:szCs w:val="19"/>
        </w:rPr>
        <w:t xml:space="preserve">– </w:t>
      </w:r>
      <w:r w:rsidRPr="00442376">
        <w:rPr>
          <w:rFonts w:ascii="Tahoma" w:hAnsi="Tahoma" w:cs="Tahoma"/>
          <w:sz w:val="19"/>
          <w:szCs w:val="19"/>
        </w:rPr>
        <w:t xml:space="preserve">FNO) e dos agentes </w:t>
      </w:r>
      <w:r w:rsidRPr="00387686">
        <w:rPr>
          <w:rFonts w:ascii="Tahoma" w:hAnsi="Tahoma" w:cs="Tahoma"/>
          <w:sz w:val="19"/>
          <w:szCs w:val="19"/>
        </w:rPr>
        <w:t xml:space="preserve">financeiros da Finep que os operam. </w:t>
      </w:r>
      <w:r w:rsidR="005F2A8A" w:rsidRPr="00387686">
        <w:rPr>
          <w:rFonts w:ascii="Tahoma" w:hAnsi="Tahoma" w:cs="Tahoma"/>
          <w:sz w:val="19"/>
          <w:szCs w:val="19"/>
        </w:rPr>
        <w:t>Em 2023 foi</w:t>
      </w:r>
      <w:r w:rsidRPr="00387686">
        <w:rPr>
          <w:rFonts w:ascii="Tahoma" w:hAnsi="Tahoma" w:cs="Tahoma"/>
          <w:sz w:val="19"/>
          <w:szCs w:val="19"/>
        </w:rPr>
        <w:t xml:space="preserve"> perceptível um movimento de aumento d</w:t>
      </w:r>
      <w:r w:rsidR="005F2A8A" w:rsidRPr="00387686">
        <w:rPr>
          <w:rFonts w:ascii="Tahoma" w:hAnsi="Tahoma" w:cs="Tahoma"/>
          <w:sz w:val="19"/>
          <w:szCs w:val="19"/>
        </w:rPr>
        <w:t>a utilização do</w:t>
      </w:r>
      <w:r w:rsidR="005F2A8A" w:rsidRPr="00442376">
        <w:rPr>
          <w:rFonts w:ascii="Tahoma" w:hAnsi="Tahoma" w:cs="Tahoma"/>
          <w:sz w:val="19"/>
          <w:szCs w:val="19"/>
        </w:rPr>
        <w:t xml:space="preserve"> i</w:t>
      </w:r>
      <w:r w:rsidRPr="00442376">
        <w:rPr>
          <w:rFonts w:ascii="Tahoma" w:hAnsi="Tahoma" w:cs="Tahoma"/>
          <w:sz w:val="19"/>
          <w:szCs w:val="19"/>
        </w:rPr>
        <w:t>nstrumento crédito nessas regiões em função da atratividade das linhas remuneradas pela T</w:t>
      </w:r>
      <w:r w:rsidR="005F2A8A" w:rsidRPr="00442376">
        <w:rPr>
          <w:rFonts w:ascii="Tahoma" w:hAnsi="Tahoma" w:cs="Tahoma"/>
          <w:sz w:val="19"/>
          <w:szCs w:val="19"/>
        </w:rPr>
        <w:t xml:space="preserve">axa </w:t>
      </w:r>
      <w:r w:rsidRPr="00442376">
        <w:rPr>
          <w:rFonts w:ascii="Tahoma" w:hAnsi="Tahoma" w:cs="Tahoma"/>
          <w:sz w:val="19"/>
          <w:szCs w:val="19"/>
        </w:rPr>
        <w:t>R</w:t>
      </w:r>
      <w:r w:rsidR="005F2A8A" w:rsidRPr="00442376">
        <w:rPr>
          <w:rFonts w:ascii="Tahoma" w:hAnsi="Tahoma" w:cs="Tahoma"/>
          <w:sz w:val="19"/>
          <w:szCs w:val="19"/>
        </w:rPr>
        <w:t>eferencial TR)</w:t>
      </w:r>
      <w:r w:rsidRPr="00442376">
        <w:rPr>
          <w:rFonts w:ascii="Tahoma" w:hAnsi="Tahoma" w:cs="Tahoma"/>
          <w:sz w:val="19"/>
          <w:szCs w:val="19"/>
        </w:rPr>
        <w:t>.</w:t>
      </w:r>
    </w:p>
    <w:p w14:paraId="01B397B4" w14:textId="4DD98438"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t xml:space="preserve">O objetivo estratégico de </w:t>
      </w:r>
      <w:r w:rsidR="00520182" w:rsidRPr="00442376">
        <w:rPr>
          <w:rFonts w:ascii="Tahoma" w:eastAsiaTheme="minorHAnsi" w:hAnsi="Tahoma" w:cs="Tahoma"/>
          <w:color w:val="0098BA"/>
          <w:sz w:val="19"/>
          <w:szCs w:val="19"/>
          <w:lang w:eastAsia="en-US"/>
        </w:rPr>
        <w:t>Es</w:t>
      </w:r>
      <w:r w:rsidRPr="00442376">
        <w:rPr>
          <w:rFonts w:ascii="Tahoma" w:eastAsiaTheme="minorHAnsi" w:hAnsi="Tahoma" w:cs="Tahoma"/>
          <w:color w:val="0098BA"/>
          <w:sz w:val="19"/>
          <w:szCs w:val="19"/>
          <w:lang w:eastAsia="en-US"/>
        </w:rPr>
        <w:t>timular o empreendedorismo e o desenvolvimento de inovações, especialmente em Micro, Pequenas e Médias Empresas - MPMEs</w:t>
      </w:r>
      <w:r w:rsidR="00520182" w:rsidRPr="00442376">
        <w:rPr>
          <w:rFonts w:ascii="Tahoma" w:hAnsi="Tahoma" w:cs="Tahoma"/>
          <w:sz w:val="19"/>
          <w:szCs w:val="19"/>
        </w:rPr>
        <w:t xml:space="preserve"> </w:t>
      </w:r>
      <w:r w:rsidRPr="00442376">
        <w:rPr>
          <w:rFonts w:ascii="Tahoma" w:hAnsi="Tahoma" w:cs="Tahoma"/>
          <w:sz w:val="19"/>
          <w:szCs w:val="19"/>
        </w:rPr>
        <w:t xml:space="preserve">foi atendido pelo fortalecimento da atuação por meio de agentes </w:t>
      </w:r>
      <w:r w:rsidR="00EE529A" w:rsidRPr="00442376">
        <w:rPr>
          <w:rFonts w:ascii="Tahoma" w:hAnsi="Tahoma" w:cs="Tahoma"/>
          <w:sz w:val="19"/>
          <w:szCs w:val="19"/>
        </w:rPr>
        <w:t>e parceiros no</w:t>
      </w:r>
      <w:r w:rsidRPr="00442376">
        <w:rPr>
          <w:rFonts w:ascii="Tahoma" w:hAnsi="Tahoma" w:cs="Tahoma"/>
          <w:sz w:val="19"/>
          <w:szCs w:val="19"/>
        </w:rPr>
        <w:t xml:space="preserve"> crédito e subvenção econômica</w:t>
      </w:r>
      <w:r w:rsidR="00EE529A" w:rsidRPr="00442376">
        <w:rPr>
          <w:rFonts w:ascii="Tahoma" w:hAnsi="Tahoma" w:cs="Tahoma"/>
          <w:sz w:val="19"/>
          <w:szCs w:val="19"/>
        </w:rPr>
        <w:t>, na operação descentralizada</w:t>
      </w:r>
      <w:r w:rsidRPr="00387686">
        <w:rPr>
          <w:rFonts w:ascii="Tahoma" w:hAnsi="Tahoma" w:cs="Tahoma"/>
          <w:sz w:val="19"/>
          <w:szCs w:val="19"/>
        </w:rPr>
        <w:t xml:space="preserve">. No total foram apoiadas 1.328 empresas classificadas como MPMEs em 2023 (645 em 2022). Estas representaram 93,65% da carteira de empresas apoiadas da Finep. A subvenção econômica e o crédito, operados de forma descentralizada, foram responsáveis por 82% do resultado alcançado pelo indicador. Em relação ao crédito descentralizado, cabe destacar o aumento do número de operações contratadas que </w:t>
      </w:r>
      <w:r w:rsidR="00AD6709" w:rsidRPr="00AD6709">
        <w:rPr>
          <w:rFonts w:ascii="Tahoma" w:hAnsi="Tahoma" w:cs="Tahoma"/>
          <w:sz w:val="19"/>
          <w:szCs w:val="19"/>
        </w:rPr>
        <w:t>alcançou mais de 600 empresas apoiadas em 2023, um crescimento de 270% em relação a 2022</w:t>
      </w:r>
      <w:r w:rsidR="00AD6709">
        <w:rPr>
          <w:rFonts w:ascii="Tahoma" w:hAnsi="Tahoma" w:cs="Tahoma"/>
          <w:sz w:val="19"/>
          <w:szCs w:val="19"/>
        </w:rPr>
        <w:t>.</w:t>
      </w:r>
    </w:p>
    <w:p w14:paraId="61CF8BB0" w14:textId="18A4AC3A"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t xml:space="preserve">A </w:t>
      </w:r>
      <w:r w:rsidRPr="00442376">
        <w:rPr>
          <w:rFonts w:ascii="Tahoma" w:eastAsiaTheme="minorHAnsi" w:hAnsi="Tahoma" w:cs="Tahoma"/>
          <w:color w:val="0098BA"/>
          <w:sz w:val="19"/>
          <w:szCs w:val="19"/>
          <w:lang w:eastAsia="en-US"/>
        </w:rPr>
        <w:t xml:space="preserve">Dimensão Processos Internos </w:t>
      </w:r>
      <w:r w:rsidRPr="00442376">
        <w:rPr>
          <w:rFonts w:ascii="Tahoma" w:hAnsi="Tahoma" w:cs="Tahoma"/>
          <w:sz w:val="19"/>
          <w:szCs w:val="19"/>
        </w:rPr>
        <w:t xml:space="preserve">da Estratégia compreende objetivos com foco na maximização da eficiência organizacional </w:t>
      </w:r>
      <w:r w:rsidR="00414D8B" w:rsidRPr="00442376">
        <w:rPr>
          <w:rFonts w:ascii="Tahoma" w:hAnsi="Tahoma" w:cs="Tahoma"/>
          <w:sz w:val="19"/>
          <w:szCs w:val="19"/>
        </w:rPr>
        <w:t xml:space="preserve">e no processo de transformação digital </w:t>
      </w:r>
      <w:r w:rsidRPr="00442376">
        <w:rPr>
          <w:rFonts w:ascii="Tahoma" w:hAnsi="Tahoma" w:cs="Tahoma"/>
          <w:sz w:val="19"/>
          <w:szCs w:val="19"/>
        </w:rPr>
        <w:t xml:space="preserve">da Finep, ou seja, </w:t>
      </w:r>
      <w:r w:rsidR="00414D8B" w:rsidRPr="00442376">
        <w:rPr>
          <w:rFonts w:ascii="Tahoma" w:hAnsi="Tahoma" w:cs="Tahoma"/>
          <w:sz w:val="19"/>
          <w:szCs w:val="19"/>
        </w:rPr>
        <w:t>n</w:t>
      </w:r>
      <w:r w:rsidRPr="00442376">
        <w:rPr>
          <w:rFonts w:ascii="Tahoma" w:hAnsi="Tahoma" w:cs="Tahoma"/>
          <w:sz w:val="19"/>
          <w:szCs w:val="19"/>
        </w:rPr>
        <w:t>a melhoria contínua da relação entre recursos aplicados e produção de resultados. Neste sentido, destacamos a superação da</w:t>
      </w:r>
      <w:r w:rsidR="00414D8B" w:rsidRPr="00442376">
        <w:rPr>
          <w:rFonts w:ascii="Tahoma" w:hAnsi="Tahoma" w:cs="Tahoma"/>
          <w:sz w:val="19"/>
          <w:szCs w:val="19"/>
        </w:rPr>
        <w:t>s</w:t>
      </w:r>
      <w:r w:rsidRPr="00442376">
        <w:rPr>
          <w:rFonts w:ascii="Tahoma" w:hAnsi="Tahoma" w:cs="Tahoma"/>
          <w:sz w:val="19"/>
          <w:szCs w:val="19"/>
        </w:rPr>
        <w:t xml:space="preserve"> meta</w:t>
      </w:r>
      <w:r w:rsidR="00414D8B" w:rsidRPr="00442376">
        <w:rPr>
          <w:rFonts w:ascii="Tahoma" w:hAnsi="Tahoma" w:cs="Tahoma"/>
          <w:sz w:val="19"/>
          <w:szCs w:val="19"/>
        </w:rPr>
        <w:t>s</w:t>
      </w:r>
      <w:r w:rsidRPr="00442376">
        <w:rPr>
          <w:rFonts w:ascii="Tahoma" w:hAnsi="Tahoma" w:cs="Tahoma"/>
          <w:sz w:val="19"/>
          <w:szCs w:val="19"/>
        </w:rPr>
        <w:t xml:space="preserve"> de tempo de contratação de projetos de crédito e de encerramento de instrumentos contratuais não-reembolsáveis.</w:t>
      </w:r>
    </w:p>
    <w:p w14:paraId="722EBAB9" w14:textId="246E1BCD"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t>O resultado referente à redução do tempo de contratação de projetos de crédito é importante quando confrontado com o aumento da demanda por crédito</w:t>
      </w:r>
      <w:r w:rsidR="008045BC" w:rsidRPr="00442376">
        <w:rPr>
          <w:rFonts w:ascii="Tahoma" w:hAnsi="Tahoma" w:cs="Tahoma"/>
          <w:sz w:val="19"/>
          <w:szCs w:val="19"/>
        </w:rPr>
        <w:t xml:space="preserve"> direto</w:t>
      </w:r>
      <w:r w:rsidRPr="00442376">
        <w:rPr>
          <w:rFonts w:ascii="Tahoma" w:hAnsi="Tahoma" w:cs="Tahoma"/>
          <w:sz w:val="19"/>
          <w:szCs w:val="19"/>
        </w:rPr>
        <w:t>. As contratações nesta modalidade foram 4</w:t>
      </w:r>
      <w:r w:rsidR="008045BC" w:rsidRPr="00442376">
        <w:rPr>
          <w:rFonts w:ascii="Tahoma" w:hAnsi="Tahoma" w:cs="Tahoma"/>
          <w:sz w:val="19"/>
          <w:szCs w:val="19"/>
        </w:rPr>
        <w:t>4</w:t>
      </w:r>
      <w:r w:rsidRPr="00442376">
        <w:rPr>
          <w:rFonts w:ascii="Tahoma" w:hAnsi="Tahoma" w:cs="Tahoma"/>
          <w:sz w:val="19"/>
          <w:szCs w:val="19"/>
        </w:rPr>
        <w:t>% maiores em 2023, em relação a 2022.</w:t>
      </w:r>
    </w:p>
    <w:p w14:paraId="05BE4F9C" w14:textId="2E195A67" w:rsidR="00327EC8" w:rsidRPr="00442376" w:rsidRDefault="00327EC8" w:rsidP="00BF5DA8">
      <w:pPr>
        <w:spacing w:before="120" w:after="120" w:line="360" w:lineRule="auto"/>
        <w:jc w:val="both"/>
        <w:rPr>
          <w:rFonts w:ascii="Tahoma" w:hAnsi="Tahoma" w:cs="Tahoma"/>
          <w:sz w:val="19"/>
          <w:szCs w:val="19"/>
        </w:rPr>
      </w:pPr>
      <w:r w:rsidRPr="00442376">
        <w:rPr>
          <w:rFonts w:ascii="Tahoma" w:hAnsi="Tahoma" w:cs="Tahoma"/>
          <w:sz w:val="19"/>
          <w:szCs w:val="19"/>
        </w:rPr>
        <w:lastRenderedPageBreak/>
        <w:t xml:space="preserve">No entanto, o indicador que mede o tempo de processamento das chamadas públicas, desde seu lançamento até a aprovação e divulgação dos resultados (Tempo médio de processamento não reembolsável - TMNR) não teve resultado favorável no ano, ficando abaixo da meta estabelecida. Este resultado reflete a necessidade de aprimoramento e automação desse processo, o que está sendo enfrentado por meio de uma iniciativa estratégica para a implementação do novo </w:t>
      </w:r>
      <w:r w:rsidR="00413667" w:rsidRPr="00442376">
        <w:rPr>
          <w:rFonts w:ascii="Tahoma" w:hAnsi="Tahoma" w:cs="Tahoma"/>
          <w:sz w:val="19"/>
          <w:szCs w:val="19"/>
        </w:rPr>
        <w:t>sistema de análise e acompanhamento de projetos de financiamento não-reembolsável a ICTs e de subvenção econômicas a empresas</w:t>
      </w:r>
      <w:r w:rsidRPr="00442376">
        <w:rPr>
          <w:rFonts w:ascii="Tahoma" w:hAnsi="Tahoma" w:cs="Tahoma"/>
          <w:sz w:val="19"/>
          <w:szCs w:val="19"/>
        </w:rPr>
        <w:t>.</w:t>
      </w:r>
    </w:p>
    <w:p w14:paraId="45AB5110" w14:textId="7BC34C38" w:rsidR="00327EC8" w:rsidRPr="00442376" w:rsidRDefault="00413667" w:rsidP="00BF5DA8">
      <w:pPr>
        <w:spacing w:before="120" w:after="120" w:line="360" w:lineRule="auto"/>
        <w:jc w:val="both"/>
        <w:rPr>
          <w:rFonts w:ascii="Tahoma" w:hAnsi="Tahoma" w:cs="Tahoma"/>
          <w:sz w:val="19"/>
          <w:szCs w:val="19"/>
        </w:rPr>
      </w:pPr>
      <w:r w:rsidRPr="00442376">
        <w:rPr>
          <w:rFonts w:ascii="Tahoma" w:hAnsi="Tahoma" w:cs="Tahoma"/>
          <w:sz w:val="19"/>
          <w:szCs w:val="19"/>
        </w:rPr>
        <w:t>R</w:t>
      </w:r>
      <w:r w:rsidR="00327EC8" w:rsidRPr="00442376">
        <w:rPr>
          <w:rFonts w:ascii="Tahoma" w:hAnsi="Tahoma" w:cs="Tahoma"/>
          <w:sz w:val="19"/>
          <w:szCs w:val="19"/>
        </w:rPr>
        <w:t>elacionad</w:t>
      </w:r>
      <w:r w:rsidRPr="00442376">
        <w:rPr>
          <w:rFonts w:ascii="Tahoma" w:hAnsi="Tahoma" w:cs="Tahoma"/>
          <w:sz w:val="19"/>
          <w:szCs w:val="19"/>
        </w:rPr>
        <w:t xml:space="preserve">as </w:t>
      </w:r>
      <w:r w:rsidR="00327EC8" w:rsidRPr="00442376">
        <w:rPr>
          <w:rFonts w:ascii="Tahoma" w:hAnsi="Tahoma" w:cs="Tahoma"/>
          <w:sz w:val="19"/>
          <w:szCs w:val="19"/>
        </w:rPr>
        <w:t>ao</w:t>
      </w:r>
      <w:r w:rsidRPr="00442376">
        <w:rPr>
          <w:rFonts w:ascii="Tahoma" w:hAnsi="Tahoma" w:cs="Tahoma"/>
          <w:sz w:val="19"/>
          <w:szCs w:val="19"/>
        </w:rPr>
        <w:t>s</w:t>
      </w:r>
      <w:r w:rsidR="00327EC8" w:rsidRPr="00442376">
        <w:rPr>
          <w:rFonts w:ascii="Tahoma" w:hAnsi="Tahoma" w:cs="Tahoma"/>
          <w:sz w:val="19"/>
          <w:szCs w:val="19"/>
        </w:rPr>
        <w:t xml:space="preserve"> objetivo</w:t>
      </w:r>
      <w:r w:rsidRPr="00442376">
        <w:rPr>
          <w:rFonts w:ascii="Tahoma" w:hAnsi="Tahoma" w:cs="Tahoma"/>
          <w:sz w:val="19"/>
          <w:szCs w:val="19"/>
        </w:rPr>
        <w:t>s</w:t>
      </w:r>
      <w:r w:rsidR="00327EC8" w:rsidRPr="00442376">
        <w:rPr>
          <w:rFonts w:ascii="Tahoma" w:hAnsi="Tahoma" w:cs="Tahoma"/>
          <w:sz w:val="19"/>
          <w:szCs w:val="19"/>
        </w:rPr>
        <w:t xml:space="preserve"> de </w:t>
      </w:r>
      <w:r w:rsidR="00327EC8" w:rsidRPr="00442376">
        <w:rPr>
          <w:rFonts w:ascii="Tahoma" w:eastAsiaTheme="minorHAnsi" w:hAnsi="Tahoma" w:cs="Tahoma"/>
          <w:color w:val="0098BA"/>
          <w:sz w:val="19"/>
          <w:szCs w:val="19"/>
          <w:lang w:eastAsia="en-US"/>
        </w:rPr>
        <w:t>Aprimorar a eficiência organizacional, racionalizando recursos</w:t>
      </w:r>
      <w:r w:rsidRPr="00442376">
        <w:rPr>
          <w:rFonts w:ascii="Tahoma" w:hAnsi="Tahoma" w:cs="Tahoma"/>
          <w:sz w:val="19"/>
          <w:szCs w:val="19"/>
        </w:rPr>
        <w:t xml:space="preserve"> e de</w:t>
      </w:r>
      <w:r w:rsidR="00327EC8" w:rsidRPr="00442376">
        <w:rPr>
          <w:rFonts w:ascii="Tahoma" w:hAnsi="Tahoma" w:cs="Tahoma"/>
          <w:sz w:val="19"/>
          <w:szCs w:val="19"/>
        </w:rPr>
        <w:t xml:space="preserve"> </w:t>
      </w:r>
      <w:r w:rsidRPr="00442376">
        <w:rPr>
          <w:rFonts w:ascii="Tahoma" w:eastAsiaTheme="minorHAnsi" w:hAnsi="Tahoma" w:cs="Tahoma"/>
          <w:color w:val="0098BA"/>
          <w:sz w:val="19"/>
          <w:szCs w:val="19"/>
          <w:lang w:eastAsia="en-US"/>
        </w:rPr>
        <w:t>P</w:t>
      </w:r>
      <w:r w:rsidR="00327EC8" w:rsidRPr="00442376">
        <w:rPr>
          <w:rFonts w:ascii="Tahoma" w:eastAsiaTheme="minorHAnsi" w:hAnsi="Tahoma" w:cs="Tahoma"/>
          <w:color w:val="0098BA"/>
          <w:sz w:val="19"/>
          <w:szCs w:val="19"/>
          <w:lang w:eastAsia="en-US"/>
        </w:rPr>
        <w:t>romover a inovação corporativa e a maturidade digital da Finep</w:t>
      </w:r>
      <w:r w:rsidR="00327EC8" w:rsidRPr="00442376">
        <w:rPr>
          <w:rFonts w:ascii="Tahoma" w:hAnsi="Tahoma" w:cs="Tahoma"/>
          <w:sz w:val="19"/>
          <w:szCs w:val="19"/>
        </w:rPr>
        <w:t xml:space="preserve"> destaca</w:t>
      </w:r>
      <w:r w:rsidRPr="00442376">
        <w:rPr>
          <w:rFonts w:ascii="Tahoma" w:hAnsi="Tahoma" w:cs="Tahoma"/>
          <w:sz w:val="19"/>
          <w:szCs w:val="19"/>
        </w:rPr>
        <w:t>ra</w:t>
      </w:r>
      <w:r w:rsidR="00327EC8" w:rsidRPr="00442376">
        <w:rPr>
          <w:rFonts w:ascii="Tahoma" w:hAnsi="Tahoma" w:cs="Tahoma"/>
          <w:sz w:val="19"/>
          <w:szCs w:val="19"/>
        </w:rPr>
        <w:t xml:space="preserve">m-se as iniciativas estratégicas que possibilitaram a estruturação do </w:t>
      </w:r>
      <w:r w:rsidR="00327EC8" w:rsidRPr="00254F4A">
        <w:rPr>
          <w:rFonts w:ascii="Tahoma" w:hAnsi="Tahoma"/>
          <w:i/>
          <w:sz w:val="19"/>
        </w:rPr>
        <w:t>roadmap</w:t>
      </w:r>
      <w:r w:rsidR="00327EC8" w:rsidRPr="00442376">
        <w:rPr>
          <w:rFonts w:ascii="Tahoma" w:hAnsi="Tahoma" w:cs="Tahoma"/>
          <w:sz w:val="19"/>
          <w:szCs w:val="19"/>
        </w:rPr>
        <w:t xml:space="preserve"> da Estratégia Digital e a continuidade da automação de processos críticos da empresa como os processos de gestão financeira – </w:t>
      </w:r>
      <w:r w:rsidR="00327EC8" w:rsidRPr="00EE646F">
        <w:rPr>
          <w:rFonts w:ascii="Tahoma" w:hAnsi="Tahoma" w:cs="Tahoma"/>
          <w:color w:val="0098BA"/>
          <w:sz w:val="19"/>
          <w:szCs w:val="19"/>
        </w:rPr>
        <w:t xml:space="preserve">Projeto </w:t>
      </w:r>
      <w:r w:rsidR="00327EC8" w:rsidRPr="00254F4A">
        <w:rPr>
          <w:rFonts w:ascii="Tahoma" w:hAnsi="Tahoma"/>
          <w:i/>
          <w:color w:val="0098BA"/>
          <w:sz w:val="19"/>
        </w:rPr>
        <w:t>Core</w:t>
      </w:r>
      <w:r w:rsidR="00EE646F" w:rsidRPr="00254F4A">
        <w:rPr>
          <w:rFonts w:ascii="Tahoma" w:hAnsi="Tahoma"/>
          <w:i/>
          <w:color w:val="0098BA"/>
          <w:sz w:val="19"/>
        </w:rPr>
        <w:t xml:space="preserve"> B</w:t>
      </w:r>
      <w:r w:rsidR="00327EC8" w:rsidRPr="00254F4A">
        <w:rPr>
          <w:rFonts w:ascii="Tahoma" w:hAnsi="Tahoma"/>
          <w:i/>
          <w:color w:val="0098BA"/>
          <w:sz w:val="19"/>
        </w:rPr>
        <w:t>anking</w:t>
      </w:r>
      <w:r w:rsidR="00EE646F">
        <w:rPr>
          <w:rFonts w:ascii="Tahoma" w:hAnsi="Tahoma" w:cs="Tahoma"/>
          <w:color w:val="0098BA"/>
          <w:sz w:val="19"/>
          <w:szCs w:val="19"/>
        </w:rPr>
        <w:t xml:space="preserve"> </w:t>
      </w:r>
      <w:r w:rsidR="00EE646F" w:rsidRPr="00EE646F">
        <w:rPr>
          <w:rFonts w:ascii="Tahoma" w:hAnsi="Tahoma" w:cs="Tahoma"/>
          <w:sz w:val="19"/>
          <w:szCs w:val="19"/>
        </w:rPr>
        <w:t xml:space="preserve">(mais informações </w:t>
      </w:r>
      <w:r w:rsidR="00AD15CD">
        <w:rPr>
          <w:rFonts w:ascii="Tahoma" w:hAnsi="Tahoma" w:cs="Tahoma"/>
          <w:sz w:val="19"/>
          <w:szCs w:val="19"/>
        </w:rPr>
        <w:t>sobre esta iniciativa estratégica ao final desta seção</w:t>
      </w:r>
      <w:r w:rsidR="00EE646F" w:rsidRPr="00EE646F">
        <w:rPr>
          <w:rFonts w:ascii="Tahoma" w:hAnsi="Tahoma" w:cs="Tahoma"/>
          <w:sz w:val="19"/>
          <w:szCs w:val="19"/>
        </w:rPr>
        <w:t>)</w:t>
      </w:r>
      <w:r w:rsidR="00327EC8" w:rsidRPr="00442376">
        <w:rPr>
          <w:rFonts w:ascii="Tahoma" w:hAnsi="Tahoma" w:cs="Tahoma"/>
          <w:sz w:val="19"/>
          <w:szCs w:val="19"/>
        </w:rPr>
        <w:t>.</w:t>
      </w:r>
      <w:r w:rsidR="00EE646F">
        <w:rPr>
          <w:rFonts w:ascii="Tahoma" w:hAnsi="Tahoma" w:cs="Tahoma"/>
          <w:sz w:val="19"/>
          <w:szCs w:val="19"/>
        </w:rPr>
        <w:t xml:space="preserve"> </w:t>
      </w:r>
      <w:r w:rsidR="00327EC8" w:rsidRPr="00442376">
        <w:rPr>
          <w:rFonts w:ascii="Tahoma" w:hAnsi="Tahoma" w:cs="Tahoma"/>
          <w:sz w:val="19"/>
          <w:szCs w:val="19"/>
        </w:rPr>
        <w:t xml:space="preserve">No âmbito do objetivo </w:t>
      </w:r>
      <w:r w:rsidR="00327EC8" w:rsidRPr="00442376">
        <w:rPr>
          <w:rFonts w:ascii="Tahoma" w:eastAsiaTheme="minorHAnsi" w:hAnsi="Tahoma" w:cs="Tahoma"/>
          <w:color w:val="0098BA"/>
          <w:sz w:val="19"/>
          <w:szCs w:val="19"/>
          <w:lang w:eastAsia="en-US"/>
        </w:rPr>
        <w:t>Estabelecer novas formas de programas, produtos e serviços para atender aos desafios da sociedade</w:t>
      </w:r>
      <w:r w:rsidR="00520182" w:rsidRPr="00442376">
        <w:rPr>
          <w:rFonts w:ascii="Tahoma" w:hAnsi="Tahoma" w:cs="Tahoma"/>
          <w:sz w:val="19"/>
          <w:szCs w:val="19"/>
        </w:rPr>
        <w:t xml:space="preserve">, </w:t>
      </w:r>
      <w:r w:rsidR="00327EC8" w:rsidRPr="00442376">
        <w:rPr>
          <w:rFonts w:ascii="Tahoma" w:hAnsi="Tahoma" w:cs="Tahoma"/>
          <w:sz w:val="19"/>
          <w:szCs w:val="19"/>
        </w:rPr>
        <w:t xml:space="preserve">destacamos a estruturação das linhas do </w:t>
      </w:r>
      <w:hyperlink r:id="rId107" w:history="1">
        <w:r w:rsidR="003B1746" w:rsidRPr="00442376">
          <w:rPr>
            <w:rStyle w:val="Hyperlink"/>
            <w:rFonts w:ascii="Tahoma" w:hAnsi="Tahoma" w:cs="Tahoma"/>
            <w:sz w:val="19"/>
            <w:szCs w:val="19"/>
          </w:rPr>
          <w:t xml:space="preserve">Programa Finep </w:t>
        </w:r>
        <w:r w:rsidR="00327EC8" w:rsidRPr="00442376">
          <w:rPr>
            <w:rStyle w:val="Hyperlink"/>
            <w:rFonts w:ascii="Tahoma" w:hAnsi="Tahoma" w:cs="Tahoma"/>
            <w:sz w:val="19"/>
            <w:szCs w:val="19"/>
          </w:rPr>
          <w:t>Mais Inovação</w:t>
        </w:r>
      </w:hyperlink>
      <w:r w:rsidR="00327EC8" w:rsidRPr="00442376">
        <w:rPr>
          <w:rFonts w:ascii="Tahoma" w:hAnsi="Tahoma" w:cs="Tahoma"/>
          <w:sz w:val="19"/>
          <w:szCs w:val="19"/>
        </w:rPr>
        <w:t>.</w:t>
      </w:r>
    </w:p>
    <w:p w14:paraId="5851B20C" w14:textId="26B1180E" w:rsidR="00327EC8" w:rsidRPr="00442376" w:rsidRDefault="00327EC8" w:rsidP="00BF5DA8">
      <w:pPr>
        <w:shd w:val="clear" w:color="auto" w:fill="FFFFFF" w:themeFill="background1"/>
        <w:spacing w:before="120" w:after="120" w:line="360" w:lineRule="auto"/>
        <w:jc w:val="both"/>
        <w:rPr>
          <w:rFonts w:ascii="Tahoma" w:hAnsi="Tahoma" w:cs="Tahoma"/>
          <w:sz w:val="19"/>
          <w:szCs w:val="19"/>
        </w:rPr>
      </w:pPr>
      <w:r w:rsidRPr="00442376">
        <w:rPr>
          <w:rFonts w:ascii="Tahoma" w:hAnsi="Tahoma" w:cs="Tahoma"/>
          <w:sz w:val="19"/>
          <w:szCs w:val="19"/>
        </w:rPr>
        <w:t xml:space="preserve">Em relação à </w:t>
      </w:r>
      <w:r w:rsidRPr="00442376">
        <w:rPr>
          <w:rFonts w:ascii="Tahoma" w:eastAsiaTheme="minorHAnsi" w:hAnsi="Tahoma" w:cs="Tahoma"/>
          <w:color w:val="0098BA"/>
          <w:sz w:val="19"/>
          <w:szCs w:val="19"/>
          <w:lang w:eastAsia="en-US"/>
        </w:rPr>
        <w:t>Dimensão de Recursos e Competências</w:t>
      </w:r>
      <w:r w:rsidRPr="00442376">
        <w:rPr>
          <w:rFonts w:ascii="Tahoma" w:hAnsi="Tahoma" w:cs="Tahoma"/>
          <w:sz w:val="19"/>
          <w:szCs w:val="19"/>
        </w:rPr>
        <w:t xml:space="preserve"> destaca</w:t>
      </w:r>
      <w:r w:rsidR="00413667" w:rsidRPr="00442376">
        <w:rPr>
          <w:rFonts w:ascii="Tahoma" w:hAnsi="Tahoma" w:cs="Tahoma"/>
          <w:sz w:val="19"/>
          <w:szCs w:val="19"/>
        </w:rPr>
        <w:t>mos</w:t>
      </w:r>
      <w:r w:rsidRPr="00442376">
        <w:rPr>
          <w:rFonts w:ascii="Tahoma" w:hAnsi="Tahoma" w:cs="Tahoma"/>
          <w:sz w:val="19"/>
          <w:szCs w:val="19"/>
        </w:rPr>
        <w:t xml:space="preserve"> a iniciativa estratégica de estruturação do processo seletivo público</w:t>
      </w:r>
      <w:r w:rsidR="000F18DE" w:rsidRPr="00442376">
        <w:rPr>
          <w:rFonts w:ascii="Tahoma" w:hAnsi="Tahoma" w:cs="Tahoma"/>
          <w:sz w:val="19"/>
          <w:szCs w:val="19"/>
        </w:rPr>
        <w:t xml:space="preserve"> para contratação de novos empregados</w:t>
      </w:r>
      <w:r w:rsidRPr="00442376">
        <w:rPr>
          <w:rFonts w:ascii="Tahoma" w:hAnsi="Tahoma" w:cs="Tahoma"/>
          <w:sz w:val="19"/>
          <w:szCs w:val="19"/>
        </w:rPr>
        <w:t>, que caminh</w:t>
      </w:r>
      <w:r w:rsidR="000F18DE" w:rsidRPr="00442376">
        <w:rPr>
          <w:rFonts w:ascii="Tahoma" w:hAnsi="Tahoma" w:cs="Tahoma"/>
          <w:sz w:val="19"/>
          <w:szCs w:val="19"/>
        </w:rPr>
        <w:t>ou</w:t>
      </w:r>
      <w:r w:rsidRPr="00442376">
        <w:rPr>
          <w:rFonts w:ascii="Tahoma" w:hAnsi="Tahoma" w:cs="Tahoma"/>
          <w:sz w:val="19"/>
          <w:szCs w:val="19"/>
        </w:rPr>
        <w:t xml:space="preserve"> em conjunto com a ampliação de critérios de ação afirmativa para pessoas com deficiência n</w:t>
      </w:r>
      <w:r w:rsidR="000F18DE" w:rsidRPr="00442376">
        <w:rPr>
          <w:rFonts w:ascii="Tahoma" w:hAnsi="Tahoma" w:cs="Tahoma"/>
          <w:sz w:val="19"/>
          <w:szCs w:val="19"/>
        </w:rPr>
        <w:t>aquele</w:t>
      </w:r>
      <w:r w:rsidRPr="00442376">
        <w:rPr>
          <w:rFonts w:ascii="Tahoma" w:hAnsi="Tahoma" w:cs="Tahoma"/>
          <w:sz w:val="19"/>
          <w:szCs w:val="19"/>
        </w:rPr>
        <w:t xml:space="preserve"> processo. Outra ação realizada no ano relacionada ao programa de diversidade, foi a criação do Comitê Executivo de Diversidade e Sustentabilidade e a aprovação da Política de Promoção de Equidade.</w:t>
      </w:r>
    </w:p>
    <w:p w14:paraId="51284B07" w14:textId="7EA14D8F" w:rsidR="00327EC8" w:rsidRPr="00442376" w:rsidRDefault="00327EC8" w:rsidP="00BF5DA8">
      <w:pPr>
        <w:shd w:val="clear" w:color="auto" w:fill="FFFFFF" w:themeFill="background1"/>
        <w:spacing w:before="120" w:after="120" w:line="360" w:lineRule="auto"/>
        <w:jc w:val="both"/>
        <w:rPr>
          <w:rFonts w:ascii="Tahoma" w:eastAsia="Tahoma" w:hAnsi="Tahoma" w:cs="Tahoma"/>
          <w:sz w:val="19"/>
          <w:szCs w:val="19"/>
        </w:rPr>
      </w:pPr>
      <w:r w:rsidRPr="00442376">
        <w:rPr>
          <w:rFonts w:ascii="Tahoma" w:hAnsi="Tahoma" w:cs="Tahoma"/>
          <w:sz w:val="19"/>
          <w:szCs w:val="19"/>
        </w:rPr>
        <w:t xml:space="preserve">A dimensão financeira também teve um desempenho de destaque, com percentual médio de atingimento de metas de indicadores financeiros de 162% para cumprimento do Objetivo Estratégico </w:t>
      </w:r>
      <w:r w:rsidRPr="00442376">
        <w:rPr>
          <w:rFonts w:ascii="Tahoma" w:eastAsiaTheme="minorHAnsi" w:hAnsi="Tahoma" w:cs="Tahoma"/>
          <w:color w:val="0098BA"/>
          <w:sz w:val="19"/>
          <w:szCs w:val="19"/>
          <w:lang w:eastAsia="en-US"/>
        </w:rPr>
        <w:t>Assegurar o equilíbrio entre fontes e uso de recursos financeiros em prol da sustentabilidade financeira da empresa</w:t>
      </w:r>
      <w:r w:rsidRPr="00442376">
        <w:rPr>
          <w:rFonts w:ascii="Tahoma" w:hAnsi="Tahoma" w:cs="Tahoma"/>
          <w:sz w:val="19"/>
          <w:szCs w:val="19"/>
        </w:rPr>
        <w:t>.</w:t>
      </w:r>
    </w:p>
    <w:p w14:paraId="11D32F20" w14:textId="5140CF37" w:rsidR="00327EC8" w:rsidRPr="00442376" w:rsidRDefault="00327EC8" w:rsidP="000F18DE">
      <w:pPr>
        <w:spacing w:before="120" w:after="120" w:line="360" w:lineRule="auto"/>
        <w:jc w:val="both"/>
        <w:rPr>
          <w:rFonts w:ascii="Tahoma" w:hAnsi="Tahoma" w:cs="Tahoma"/>
          <w:sz w:val="19"/>
          <w:szCs w:val="19"/>
        </w:rPr>
      </w:pPr>
      <w:r w:rsidRPr="00442376">
        <w:rPr>
          <w:rFonts w:ascii="Tahoma" w:hAnsi="Tahoma" w:cs="Tahoma"/>
          <w:sz w:val="19"/>
          <w:szCs w:val="19"/>
        </w:rPr>
        <w:t>Esse bom resultado é consequência do aumento de 70,2% na Receita Operacional, componente dos indicadores Produtividade per Capita e Cobertura de Despesas Administrativas, em relação a 2022. A Receita Operacional atingiu o valor de R$ 988 milhões (R$ 580,6 milhões, em 2022) impactada pelo crescimento da carteira de crédito, consolidando a reversão de uma tendência de queda equivalente a 7,9% ao ano. Outro ponto que influenciou positivamente os indicadores financeiros foi a redução significativa da despesa d</w:t>
      </w:r>
      <w:r w:rsidR="000F18DE" w:rsidRPr="00442376">
        <w:rPr>
          <w:rFonts w:ascii="Tahoma" w:hAnsi="Tahoma" w:cs="Tahoma"/>
          <w:sz w:val="19"/>
          <w:szCs w:val="19"/>
        </w:rPr>
        <w:t>e i</w:t>
      </w:r>
      <w:r w:rsidRPr="00442376">
        <w:rPr>
          <w:rFonts w:ascii="Tahoma" w:hAnsi="Tahoma" w:cs="Tahoma"/>
          <w:sz w:val="19"/>
          <w:szCs w:val="19"/>
        </w:rPr>
        <w:t xml:space="preserve">ntermediação </w:t>
      </w:r>
      <w:r w:rsidR="000F18DE" w:rsidRPr="00442376">
        <w:rPr>
          <w:rFonts w:ascii="Tahoma" w:hAnsi="Tahoma" w:cs="Tahoma"/>
          <w:sz w:val="19"/>
          <w:szCs w:val="19"/>
        </w:rPr>
        <w:t>f</w:t>
      </w:r>
      <w:r w:rsidRPr="00442376">
        <w:rPr>
          <w:rFonts w:ascii="Tahoma" w:hAnsi="Tahoma" w:cs="Tahoma"/>
          <w:sz w:val="19"/>
          <w:szCs w:val="19"/>
        </w:rPr>
        <w:t>inanceira de R$ 736,2 milhões em 2022 para R$ 182 milhões em 2023.</w:t>
      </w:r>
      <w:r w:rsidR="000F18DE" w:rsidRPr="00442376">
        <w:rPr>
          <w:rFonts w:ascii="Tahoma" w:hAnsi="Tahoma" w:cs="Tahoma"/>
          <w:sz w:val="19"/>
          <w:szCs w:val="19"/>
        </w:rPr>
        <w:t xml:space="preserve"> Essas são despesas compostas </w:t>
      </w:r>
      <w:r w:rsidR="00442376" w:rsidRPr="00442376">
        <w:rPr>
          <w:rFonts w:ascii="Tahoma" w:hAnsi="Tahoma" w:cs="Tahoma"/>
          <w:sz w:val="19"/>
          <w:szCs w:val="19"/>
        </w:rPr>
        <w:t xml:space="preserve">em parte </w:t>
      </w:r>
      <w:r w:rsidR="000F18DE" w:rsidRPr="00442376">
        <w:rPr>
          <w:rFonts w:ascii="Tahoma" w:hAnsi="Tahoma" w:cs="Tahoma"/>
          <w:sz w:val="19"/>
          <w:szCs w:val="19"/>
        </w:rPr>
        <w:t xml:space="preserve">pelos juros e encargos das operações de empréstimos e repasses, que </w:t>
      </w:r>
      <w:r w:rsidR="00442376" w:rsidRPr="00442376">
        <w:rPr>
          <w:rFonts w:ascii="Tahoma" w:hAnsi="Tahoma" w:cs="Tahoma"/>
          <w:sz w:val="19"/>
          <w:szCs w:val="19"/>
        </w:rPr>
        <w:t>foram impactadas pela aplicação da TR em substituição à TJLP em seu cálculo.</w:t>
      </w:r>
    </w:p>
    <w:p w14:paraId="642FCCFC" w14:textId="77777777" w:rsidR="000C40B3" w:rsidRDefault="000C40B3" w:rsidP="000C40B3">
      <w:pPr>
        <w:spacing w:before="120" w:after="120" w:line="360" w:lineRule="auto"/>
        <w:rPr>
          <w:rFonts w:ascii="Tahoma" w:hAnsi="Tahoma" w:cs="Tahoma"/>
          <w:sz w:val="19"/>
          <w:szCs w:val="19"/>
        </w:rPr>
      </w:pPr>
    </w:p>
    <w:p w14:paraId="307BC4F7" w14:textId="77777777" w:rsidR="00AD15CD" w:rsidRPr="00EE646F" w:rsidRDefault="00AD15CD" w:rsidP="00AD15CD">
      <w:pPr>
        <w:spacing w:before="120" w:after="120" w:line="360" w:lineRule="auto"/>
        <w:jc w:val="both"/>
        <w:rPr>
          <w:rFonts w:ascii="Tahoma" w:hAnsi="Tahoma" w:cs="Tahoma"/>
          <w:color w:val="00B0F0"/>
          <w:sz w:val="19"/>
          <w:szCs w:val="19"/>
        </w:rPr>
      </w:pPr>
      <w:r w:rsidRPr="00EE646F">
        <w:rPr>
          <w:rFonts w:ascii="Tahoma" w:hAnsi="Tahoma" w:cs="Tahoma"/>
          <w:color w:val="00B0F0"/>
          <w:sz w:val="19"/>
          <w:szCs w:val="19"/>
        </w:rPr>
        <w:t>Core Banking</w:t>
      </w:r>
    </w:p>
    <w:p w14:paraId="17400FA0" w14:textId="77777777" w:rsidR="00AD15CD" w:rsidRPr="00EE646F" w:rsidRDefault="00AD15CD" w:rsidP="00AD15CD">
      <w:pPr>
        <w:spacing w:before="120" w:after="120" w:line="360" w:lineRule="auto"/>
        <w:jc w:val="both"/>
        <w:rPr>
          <w:rFonts w:ascii="Tahoma" w:hAnsi="Tahoma" w:cs="Tahoma"/>
          <w:sz w:val="19"/>
          <w:szCs w:val="19"/>
        </w:rPr>
      </w:pPr>
      <w:r w:rsidRPr="00EE646F">
        <w:rPr>
          <w:rFonts w:ascii="Tahoma" w:hAnsi="Tahoma" w:cs="Tahoma"/>
          <w:sz w:val="19"/>
          <w:szCs w:val="19"/>
        </w:rPr>
        <w:t xml:space="preserve">A digitalização dos dados e a modernização dos processos referentes às nossas atividades operacionais estão sendo impactadas positivamente à medida que o projeto </w:t>
      </w:r>
      <w:r w:rsidRPr="00254F4A">
        <w:rPr>
          <w:rFonts w:ascii="Tahoma" w:hAnsi="Tahoma"/>
          <w:i/>
          <w:sz w:val="19"/>
        </w:rPr>
        <w:t xml:space="preserve">Core Banking </w:t>
      </w:r>
      <w:r w:rsidRPr="00EE646F">
        <w:rPr>
          <w:rFonts w:ascii="Tahoma" w:hAnsi="Tahoma" w:cs="Tahoma"/>
          <w:sz w:val="19"/>
          <w:szCs w:val="19"/>
        </w:rPr>
        <w:t>vem sendo implementado. No âmbito deste projeto está prevista a implantação de sistemas para as atividades de crédito direto e descentralizado, investimentos em fundos e startups, captações, aplicações financeiras, risco, contabilidade e nossas atividades de gestão de recursos de terceiros.</w:t>
      </w:r>
    </w:p>
    <w:p w14:paraId="0FA42314" w14:textId="77777777" w:rsidR="00AD15CD" w:rsidRPr="00EE646F" w:rsidRDefault="00AD15CD" w:rsidP="00AD15CD">
      <w:pPr>
        <w:spacing w:before="120" w:after="120" w:line="360" w:lineRule="auto"/>
        <w:jc w:val="both"/>
        <w:rPr>
          <w:rFonts w:ascii="Tahoma" w:hAnsi="Tahoma" w:cs="Tahoma"/>
          <w:sz w:val="19"/>
          <w:szCs w:val="19"/>
        </w:rPr>
      </w:pPr>
      <w:r w:rsidRPr="00EE646F">
        <w:rPr>
          <w:rFonts w:ascii="Tahoma" w:hAnsi="Tahoma" w:cs="Tahoma"/>
          <w:sz w:val="19"/>
          <w:szCs w:val="19"/>
        </w:rPr>
        <w:lastRenderedPageBreak/>
        <w:t>Os propósitos deste projeto são substituir sistemas obsoletos, através da implementação de novas funcionalidades e controles, e integrar as atividades das diversas áreas da empresa, não apenas entre si, mas também com bases de dados externas, como as do Serasa, do Banco Central e com a própria rede bancária.</w:t>
      </w:r>
    </w:p>
    <w:p w14:paraId="26E2615A" w14:textId="77777777" w:rsidR="00AD15CD" w:rsidRDefault="00AD15CD" w:rsidP="00AD15CD">
      <w:pPr>
        <w:spacing w:before="120" w:after="120" w:line="360" w:lineRule="auto"/>
        <w:jc w:val="both"/>
        <w:rPr>
          <w:rFonts w:ascii="Tahoma" w:hAnsi="Tahoma" w:cs="Tahoma"/>
          <w:sz w:val="19"/>
          <w:szCs w:val="19"/>
        </w:rPr>
      </w:pPr>
      <w:r w:rsidRPr="00EE646F">
        <w:rPr>
          <w:rFonts w:ascii="Tahoma" w:hAnsi="Tahoma" w:cs="Tahoma"/>
          <w:sz w:val="19"/>
          <w:szCs w:val="19"/>
        </w:rPr>
        <w:t xml:space="preserve">A implantação do projeto </w:t>
      </w:r>
      <w:r w:rsidRPr="00254F4A">
        <w:rPr>
          <w:rFonts w:ascii="Tahoma" w:hAnsi="Tahoma"/>
          <w:i/>
          <w:sz w:val="19"/>
        </w:rPr>
        <w:t>Core Banking</w:t>
      </w:r>
      <w:r w:rsidRPr="00EE646F">
        <w:rPr>
          <w:rFonts w:ascii="Tahoma" w:hAnsi="Tahoma" w:cs="Tahoma"/>
          <w:sz w:val="19"/>
          <w:szCs w:val="19"/>
        </w:rPr>
        <w:t xml:space="preserve"> iniciou em maio de 2021 e tem duração máxima até abril de 2026. Apesar disso, a previsão é que o projeto seja concluído ainda em 2025, portanto, antes do prazo final. Em 2023 foram entregues as funcionalidades referentes a captações, aplicações financeiras e pagamentos operacionais, tanto de operações de crédito quanto de investimentos e programas não reembolsáveis. Estas funcionalidades se juntam às de gestão financeira do crédito e garantias, que já tinham sido implementadas em 2022. Para 2024, os desafios são as entregas referentes à análise e acompanhamento do risco de crédito e contabilizações, restando para 2025 as entregas referentes à gestão integrada de riscos.</w:t>
      </w:r>
    </w:p>
    <w:p w14:paraId="1F5F1AD9" w14:textId="77777777" w:rsidR="00AD15CD" w:rsidRDefault="00AD15CD" w:rsidP="000C40B3">
      <w:pPr>
        <w:spacing w:before="120" w:after="120" w:line="360" w:lineRule="auto"/>
        <w:rPr>
          <w:rFonts w:ascii="Tahoma" w:hAnsi="Tahoma" w:cs="Tahoma"/>
          <w:sz w:val="19"/>
          <w:szCs w:val="19"/>
        </w:rPr>
      </w:pPr>
    </w:p>
    <w:p w14:paraId="28208EEE" w14:textId="77777777" w:rsidR="000C40B3" w:rsidRDefault="000C40B3" w:rsidP="000C40B3">
      <w:pPr>
        <w:spacing w:before="120" w:after="120" w:line="360" w:lineRule="auto"/>
        <w:rPr>
          <w:rFonts w:ascii="Tahoma" w:hAnsi="Tahoma" w:cs="Tahoma"/>
          <w:sz w:val="19"/>
          <w:szCs w:val="19"/>
        </w:rPr>
      </w:pPr>
    </w:p>
    <w:p w14:paraId="1CA2EFC7" w14:textId="2CFFA6EF" w:rsidR="002F2E38" w:rsidRPr="002F2E38" w:rsidRDefault="000C40B3" w:rsidP="002F2E38">
      <w:pPr>
        <w:spacing w:before="120" w:after="120" w:line="360" w:lineRule="auto"/>
        <w:rPr>
          <w:rFonts w:ascii="Tahoma" w:hAnsi="Tahoma" w:cs="Tahoma"/>
          <w:sz w:val="19"/>
          <w:szCs w:val="19"/>
        </w:rPr>
      </w:pPr>
      <w:r w:rsidRPr="00AA1367">
        <w:rPr>
          <w:rFonts w:ascii="Tahoma" w:hAnsi="Tahoma" w:cs="Tahoma"/>
          <w:sz w:val="19"/>
          <w:szCs w:val="19"/>
        </w:rPr>
        <w:t xml:space="preserve">Nas próximas </w:t>
      </w:r>
      <w:r w:rsidR="00E764BA">
        <w:rPr>
          <w:rFonts w:ascii="Tahoma" w:hAnsi="Tahoma" w:cs="Tahoma"/>
          <w:sz w:val="19"/>
          <w:szCs w:val="19"/>
        </w:rPr>
        <w:t xml:space="preserve">três </w:t>
      </w:r>
      <w:r w:rsidRPr="00AA1367">
        <w:rPr>
          <w:rFonts w:ascii="Tahoma" w:hAnsi="Tahoma" w:cs="Tahoma"/>
          <w:sz w:val="19"/>
          <w:szCs w:val="19"/>
        </w:rPr>
        <w:t xml:space="preserve">seções, destacamos </w:t>
      </w:r>
      <w:r>
        <w:rPr>
          <w:rFonts w:ascii="Tahoma" w:hAnsi="Tahoma" w:cs="Tahoma"/>
          <w:sz w:val="19"/>
          <w:szCs w:val="19"/>
        </w:rPr>
        <w:t xml:space="preserve">ações, </w:t>
      </w:r>
      <w:r w:rsidRPr="00AA1367">
        <w:rPr>
          <w:rFonts w:ascii="Tahoma" w:hAnsi="Tahoma" w:cs="Tahoma"/>
          <w:sz w:val="19"/>
          <w:szCs w:val="19"/>
        </w:rPr>
        <w:t>resultados quantitativos</w:t>
      </w:r>
      <w:r>
        <w:rPr>
          <w:rFonts w:ascii="Tahoma" w:hAnsi="Tahoma" w:cs="Tahoma"/>
          <w:sz w:val="19"/>
          <w:szCs w:val="19"/>
        </w:rPr>
        <w:t xml:space="preserve"> e exemplos de </w:t>
      </w:r>
      <w:r w:rsidRPr="00AA1367">
        <w:rPr>
          <w:rFonts w:ascii="Tahoma" w:hAnsi="Tahoma" w:cs="Tahoma"/>
          <w:sz w:val="19"/>
          <w:szCs w:val="19"/>
        </w:rPr>
        <w:t>projetos apoiados em cada um dos eixos de atuação de nosso modelo de negócios: Ciência e Tecnologia; Desenvolvimento, Pesquisa e Inovação; e Empreendedorismo Inovador.</w:t>
      </w:r>
      <w:r w:rsidR="002F2E38">
        <w:rPr>
          <w:rFonts w:ascii="Tahoma" w:hAnsi="Tahoma" w:cs="Tahoma"/>
          <w:sz w:val="19"/>
          <w:szCs w:val="19"/>
        </w:rPr>
        <w:t xml:space="preserve"> Outros exemplos de projetos são apresentados n</w:t>
      </w:r>
      <w:r w:rsidR="002F2E38" w:rsidRPr="002F2E38">
        <w:rPr>
          <w:rFonts w:ascii="Tahoma" w:hAnsi="Tahoma" w:cs="Tahoma"/>
          <w:sz w:val="19"/>
          <w:szCs w:val="19"/>
        </w:rPr>
        <w:t xml:space="preserve">o portal de Casos de Sucesso da </w:t>
      </w:r>
      <w:hyperlink r:id="rId108" w:history="1">
        <w:r w:rsidR="002F2E38" w:rsidRPr="002F2E38">
          <w:rPr>
            <w:rStyle w:val="Hyperlink"/>
            <w:rFonts w:ascii="Tahoma" w:hAnsi="Tahoma" w:cs="Tahoma"/>
            <w:sz w:val="19"/>
            <w:szCs w:val="19"/>
          </w:rPr>
          <w:t>MEI Tools</w:t>
        </w:r>
      </w:hyperlink>
      <w:r w:rsidR="002F2E38" w:rsidRPr="002F2E38">
        <w:rPr>
          <w:rFonts w:ascii="Tahoma" w:hAnsi="Tahoma" w:cs="Tahoma"/>
          <w:sz w:val="19"/>
          <w:szCs w:val="19"/>
        </w:rPr>
        <w:t>. Lá poderá consultar os casos: 'Apoio direto à inovação FINEP - LIFEMED'; 'FINEP 5G - PADTEC'; 'Finep Startup - 4KST' e 'Finep Startup - Eleve Science'</w:t>
      </w:r>
      <w:r w:rsidR="002F2E38">
        <w:rPr>
          <w:rFonts w:ascii="Tahoma" w:hAnsi="Tahoma" w:cs="Tahoma"/>
          <w:sz w:val="19"/>
          <w:szCs w:val="19"/>
        </w:rPr>
        <w:t>.</w:t>
      </w:r>
    </w:p>
    <w:p w14:paraId="1026CCFF" w14:textId="3BB568C9" w:rsidR="000C40B3" w:rsidRPr="00AA1367" w:rsidRDefault="000C40B3" w:rsidP="000C40B3">
      <w:pPr>
        <w:spacing w:before="120" w:after="120" w:line="360" w:lineRule="auto"/>
        <w:rPr>
          <w:rFonts w:ascii="Tahoma" w:hAnsi="Tahoma" w:cs="Tahoma"/>
          <w:sz w:val="19"/>
          <w:szCs w:val="19"/>
        </w:rPr>
      </w:pPr>
      <w:r>
        <w:rPr>
          <w:rFonts w:ascii="Tahoma" w:hAnsi="Tahoma" w:cs="Tahoma"/>
          <w:sz w:val="19"/>
          <w:szCs w:val="19"/>
        </w:rPr>
        <w:t xml:space="preserve">Os dados utilizados na elaboração dos quadros que trazem os resultados quantitativos, expressos em termos de projetos contratados e liberações realizadas em 2023, foram obtidos em relatórios gerados por nossos sistemas de acompanhamento gerenciais e financeiros em fevereiro de 2024. Esses valores podem ser alterados ao longo do </w:t>
      </w:r>
      <w:r w:rsidR="002F2E38">
        <w:rPr>
          <w:rFonts w:ascii="Tahoma" w:hAnsi="Tahoma" w:cs="Tahoma"/>
          <w:sz w:val="19"/>
          <w:szCs w:val="19"/>
        </w:rPr>
        <w:t>tempo</w:t>
      </w:r>
      <w:r>
        <w:rPr>
          <w:rFonts w:ascii="Tahoma" w:hAnsi="Tahoma" w:cs="Tahoma"/>
          <w:sz w:val="19"/>
          <w:szCs w:val="19"/>
        </w:rPr>
        <w:t>, devido ao ciclo de vida dos projetos que podem ser rescindidos, arquivados, cancelados, devolver valores ou passar por reprogramações de execução física ou financeira.</w:t>
      </w:r>
    </w:p>
    <w:p w14:paraId="0D9D9344" w14:textId="77777777" w:rsidR="000C40B3" w:rsidRPr="00AA1367" w:rsidRDefault="000C40B3" w:rsidP="000C40B3">
      <w:pPr>
        <w:spacing w:before="120" w:after="120" w:line="360" w:lineRule="auto"/>
        <w:rPr>
          <w:rFonts w:ascii="Tahoma" w:hAnsi="Tahoma" w:cs="Tahoma"/>
          <w:sz w:val="19"/>
          <w:szCs w:val="19"/>
        </w:rPr>
      </w:pPr>
      <w:r w:rsidRPr="00AA1367">
        <w:rPr>
          <w:rFonts w:ascii="Tahoma" w:hAnsi="Tahoma" w:cs="Tahoma"/>
          <w:noProof/>
          <w:sz w:val="19"/>
          <w:szCs w:val="19"/>
        </w:rPr>
        <mc:AlternateContent>
          <mc:Choice Requires="wps">
            <w:drawing>
              <wp:anchor distT="0" distB="0" distL="114300" distR="114300" simplePos="0" relativeHeight="251823104" behindDoc="0" locked="0" layoutInCell="1" allowOverlap="1" wp14:anchorId="70B9377B" wp14:editId="0C9256C8">
                <wp:simplePos x="0" y="0"/>
                <wp:positionH relativeFrom="column">
                  <wp:posOffset>1517650</wp:posOffset>
                </wp:positionH>
                <wp:positionV relativeFrom="paragraph">
                  <wp:posOffset>4445</wp:posOffset>
                </wp:positionV>
                <wp:extent cx="4219575" cy="647700"/>
                <wp:effectExtent l="0" t="0" r="9525" b="0"/>
                <wp:wrapNone/>
                <wp:docPr id="1807414770" name="Text Box 237"/>
                <wp:cNvGraphicFramePr/>
                <a:graphic xmlns:a="http://schemas.openxmlformats.org/drawingml/2006/main">
                  <a:graphicData uri="http://schemas.microsoft.com/office/word/2010/wordprocessingShape">
                    <wps:wsp>
                      <wps:cNvSpPr txBox="1"/>
                      <wps:spPr>
                        <a:xfrm>
                          <a:off x="0" y="0"/>
                          <a:ext cx="4219575" cy="647700"/>
                        </a:xfrm>
                        <a:prstGeom prst="rect">
                          <a:avLst/>
                        </a:prstGeom>
                        <a:solidFill>
                          <a:srgbClr val="0098BA">
                            <a:alpha val="25098"/>
                          </a:srgbClr>
                        </a:solidFill>
                        <a:ln w="6345">
                          <a:noFill/>
                          <a:prstDash val="dash"/>
                        </a:ln>
                      </wps:spPr>
                      <wps:txbx>
                        <w:txbxContent>
                          <w:p w14:paraId="04B49FE7" w14:textId="67AAB7D6" w:rsidR="000C40B3" w:rsidRDefault="000C40B3" w:rsidP="000C40B3">
                            <w:pPr>
                              <w:jc w:val="right"/>
                              <w:rPr>
                                <w:rFonts w:ascii="Tahoma" w:hAnsi="Tahoma" w:cs="Tahoma"/>
                                <w:sz w:val="16"/>
                                <w:szCs w:val="16"/>
                              </w:rPr>
                            </w:pPr>
                            <w:r w:rsidRPr="00AA1CAB">
                              <w:rPr>
                                <w:rFonts w:ascii="Tahoma" w:hAnsi="Tahoma" w:cs="Tahoma"/>
                                <w:sz w:val="16"/>
                                <w:szCs w:val="16"/>
                              </w:rPr>
                              <w:t xml:space="preserve">Informações e valores sobre os </w:t>
                            </w:r>
                            <w:hyperlink r:id="rId109" w:history="1">
                              <w:r w:rsidRPr="00012CE0">
                                <w:rPr>
                                  <w:rStyle w:val="Hyperlink"/>
                                  <w:rFonts w:ascii="Tahoma" w:hAnsi="Tahoma" w:cs="Tahoma"/>
                                  <w:sz w:val="16"/>
                                  <w:szCs w:val="16"/>
                                </w:rPr>
                                <w:t>projetos contratados e as liberações de recursos realizadas</w:t>
                              </w:r>
                            </w:hyperlink>
                            <w:r w:rsidRPr="00AA1CAB">
                              <w:rPr>
                                <w:rFonts w:ascii="Tahoma" w:hAnsi="Tahoma" w:cs="Tahoma"/>
                                <w:sz w:val="16"/>
                                <w:szCs w:val="16"/>
                              </w:rPr>
                              <w:t xml:space="preserve"> são publicados em um painel na seção Transparência e Prestação de Contas</w:t>
                            </w:r>
                          </w:p>
                          <w:p w14:paraId="20670543" w14:textId="77777777" w:rsidR="000C40B3" w:rsidRPr="00F86869" w:rsidRDefault="000C40B3" w:rsidP="000C40B3">
                            <w:pPr>
                              <w:jc w:val="right"/>
                              <w:rPr>
                                <w:rFonts w:ascii="Tahoma" w:hAnsi="Tahoma" w:cs="Tahoma"/>
                                <w:sz w:val="16"/>
                                <w:szCs w:val="16"/>
                              </w:rPr>
                            </w:pPr>
                            <w:r w:rsidRPr="00AA1CAB">
                              <w:rPr>
                                <w:rFonts w:ascii="Tahoma" w:hAnsi="Tahoma" w:cs="Tahoma"/>
                                <w:sz w:val="16"/>
                                <w:szCs w:val="16"/>
                              </w:rPr>
                              <w:t xml:space="preserve"> de nosso site.</w:t>
                            </w:r>
                            <w:r>
                              <w:rPr>
                                <w:rFonts w:ascii="Tahoma" w:hAnsi="Tahoma" w:cs="Tahoma"/>
                                <w:sz w:val="16"/>
                                <w:szCs w:val="16"/>
                              </w:rPr>
                              <w:t xml:space="preserve"> As chamadas públicas lançadas e seus documentos são publicados em </w:t>
                            </w:r>
                            <w:hyperlink r:id="rId110" w:history="1">
                              <w:r w:rsidRPr="00E7794C">
                                <w:rPr>
                                  <w:rStyle w:val="Hyperlink"/>
                                  <w:rFonts w:ascii="Tahoma" w:hAnsi="Tahoma" w:cs="Tahoma"/>
                                  <w:sz w:val="16"/>
                                  <w:szCs w:val="16"/>
                                </w:rPr>
                                <w:t>http://www.finep.gov.br/chamadas-publicas</w:t>
                              </w:r>
                            </w:hyperlink>
                            <w:r>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70B9377B" id="_x0000_s1039" type="#_x0000_t202" style="position:absolute;margin-left:119.5pt;margin-top:.35pt;width:332.25pt;height:5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" fillcolor="#0098ba" stroked="f" strokeweight=".17625mm">
                <v:fill opacity="16448f"/>
                <v:stroke dashstyle="dash"/>
                <v:textbox>
                  <w:txbxContent>
                    <w:p w14:paraId="04B49FE7" w14:textId="67AAB7D6" w:rsidR="000C40B3" w:rsidRDefault="000C40B3" w:rsidP="000C40B3">
                      <w:pPr>
                        <w:jc w:val="right"/>
                        <w:rPr>
                          <w:rFonts w:ascii="Tahoma" w:hAnsi="Tahoma" w:cs="Tahoma"/>
                          <w:sz w:val="16"/>
                          <w:szCs w:val="16"/>
                        </w:rPr>
                      </w:pPr>
                      <w:r w:rsidRPr="00AA1CAB">
                        <w:rPr>
                          <w:rFonts w:ascii="Tahoma" w:hAnsi="Tahoma" w:cs="Tahoma"/>
                          <w:sz w:val="16"/>
                          <w:szCs w:val="16"/>
                        </w:rPr>
                        <w:t xml:space="preserve">Informações e valores sobre os </w:t>
                      </w:r>
                      <w:hyperlink r:id="rId111" w:history="1">
                        <w:r w:rsidRPr="00012CE0">
                          <w:rPr>
                            <w:rStyle w:val="Hyperlink"/>
                            <w:rFonts w:ascii="Tahoma" w:hAnsi="Tahoma" w:cs="Tahoma"/>
                            <w:sz w:val="16"/>
                            <w:szCs w:val="16"/>
                          </w:rPr>
                          <w:t>projetos contratados e as liberações de recursos realizadas</w:t>
                        </w:r>
                      </w:hyperlink>
                      <w:r w:rsidRPr="00AA1CAB">
                        <w:rPr>
                          <w:rFonts w:ascii="Tahoma" w:hAnsi="Tahoma" w:cs="Tahoma"/>
                          <w:sz w:val="16"/>
                          <w:szCs w:val="16"/>
                        </w:rPr>
                        <w:t xml:space="preserve"> são publicados em um painel na seção Transparência e Prestação de Contas</w:t>
                      </w:r>
                    </w:p>
                    <w:p w14:paraId="20670543" w14:textId="77777777" w:rsidR="000C40B3" w:rsidRPr="00F86869" w:rsidRDefault="000C40B3" w:rsidP="000C40B3">
                      <w:pPr>
                        <w:jc w:val="right"/>
                        <w:rPr>
                          <w:rFonts w:ascii="Tahoma" w:hAnsi="Tahoma" w:cs="Tahoma"/>
                          <w:sz w:val="16"/>
                          <w:szCs w:val="16"/>
                        </w:rPr>
                      </w:pPr>
                      <w:r w:rsidRPr="00AA1CAB">
                        <w:rPr>
                          <w:rFonts w:ascii="Tahoma" w:hAnsi="Tahoma" w:cs="Tahoma"/>
                          <w:sz w:val="16"/>
                          <w:szCs w:val="16"/>
                        </w:rPr>
                        <w:t xml:space="preserve"> de nosso site.</w:t>
                      </w:r>
                      <w:r>
                        <w:rPr>
                          <w:rFonts w:ascii="Tahoma" w:hAnsi="Tahoma" w:cs="Tahoma"/>
                          <w:sz w:val="16"/>
                          <w:szCs w:val="16"/>
                        </w:rPr>
                        <w:t xml:space="preserve"> As chamadas públicas lançadas e seus documentos são publicados em </w:t>
                      </w:r>
                      <w:hyperlink r:id="rId112" w:history="1">
                        <w:r w:rsidRPr="00E7794C">
                          <w:rPr>
                            <w:rStyle w:val="Hyperlink"/>
                            <w:rFonts w:ascii="Tahoma" w:hAnsi="Tahoma" w:cs="Tahoma"/>
                            <w:sz w:val="16"/>
                            <w:szCs w:val="16"/>
                          </w:rPr>
                          <w:t>http://www.finep.gov.br/chamadas-publicas</w:t>
                        </w:r>
                      </w:hyperlink>
                      <w:r>
                        <w:rPr>
                          <w:rFonts w:ascii="Tahoma" w:hAnsi="Tahoma" w:cs="Tahoma"/>
                          <w:sz w:val="16"/>
                          <w:szCs w:val="16"/>
                        </w:rPr>
                        <w:t>.</w:t>
                      </w:r>
                    </w:p>
                  </w:txbxContent>
                </v:textbox>
              </v:shape>
            </w:pict>
          </mc:Fallback>
        </mc:AlternateContent>
      </w:r>
    </w:p>
    <w:p w14:paraId="7127409C" w14:textId="77777777" w:rsidR="000C40B3" w:rsidRDefault="000C40B3" w:rsidP="000C40B3">
      <w:pPr>
        <w:spacing w:before="120" w:after="120" w:line="360" w:lineRule="auto"/>
        <w:rPr>
          <w:rFonts w:ascii="Tahoma" w:hAnsi="Tahoma" w:cs="Tahoma"/>
          <w:sz w:val="19"/>
          <w:szCs w:val="19"/>
        </w:rPr>
      </w:pPr>
    </w:p>
    <w:p w14:paraId="09E6A79F" w14:textId="77777777" w:rsidR="000C40B3" w:rsidRDefault="000C40B3" w:rsidP="000C40B3">
      <w:pPr>
        <w:spacing w:before="120" w:after="120" w:line="360" w:lineRule="auto"/>
        <w:rPr>
          <w:rFonts w:ascii="Tahoma" w:hAnsi="Tahoma" w:cs="Tahoma"/>
          <w:sz w:val="19"/>
          <w:szCs w:val="19"/>
        </w:rPr>
      </w:pPr>
    </w:p>
    <w:p w14:paraId="376B5A2C" w14:textId="171F010A" w:rsidR="00F7661E" w:rsidRDefault="00F7661E">
      <w:pPr>
        <w:autoSpaceDN w:val="0"/>
        <w:spacing w:after="160"/>
        <w:textAlignment w:val="baseline"/>
        <w:rPr>
          <w:rFonts w:ascii="Tahoma" w:hAnsi="Tahoma" w:cs="Tahoma"/>
          <w:sz w:val="19"/>
          <w:szCs w:val="19"/>
        </w:rPr>
      </w:pPr>
    </w:p>
    <w:p w14:paraId="773AD3CC" w14:textId="536F3495" w:rsidR="00442376" w:rsidRDefault="00442376" w:rsidP="00442376">
      <w:pPr>
        <w:pStyle w:val="Ttulo2"/>
        <w:spacing w:before="0" w:after="120" w:line="360" w:lineRule="auto"/>
        <w:ind w:left="862" w:hanging="578"/>
        <w:rPr>
          <w:rFonts w:ascii="Tahoma" w:hAnsi="Tahoma" w:cs="Tahoma"/>
          <w:color w:val="0098BA"/>
          <w:sz w:val="24"/>
          <w:szCs w:val="24"/>
        </w:rPr>
      </w:pPr>
      <w:bookmarkStart w:id="56" w:name="_Toc163025248"/>
      <w:bookmarkStart w:id="57" w:name="_Toc162512585"/>
      <w:r w:rsidRPr="00442376">
        <w:rPr>
          <w:rFonts w:ascii="Tahoma" w:hAnsi="Tahoma" w:cs="Tahoma"/>
          <w:color w:val="0098BA"/>
          <w:sz w:val="24"/>
          <w:szCs w:val="24"/>
        </w:rPr>
        <w:t xml:space="preserve">Desempenho operacional </w:t>
      </w:r>
      <w:r w:rsidR="000C40B3">
        <w:rPr>
          <w:rFonts w:ascii="Tahoma" w:hAnsi="Tahoma" w:cs="Tahoma"/>
          <w:color w:val="0098BA"/>
          <w:sz w:val="24"/>
          <w:szCs w:val="24"/>
        </w:rPr>
        <w:t xml:space="preserve">- </w:t>
      </w:r>
      <w:r w:rsidR="000C40B3" w:rsidRPr="000C40B3">
        <w:rPr>
          <w:rFonts w:ascii="Tahoma" w:hAnsi="Tahoma" w:cs="Tahoma"/>
          <w:color w:val="0098BA"/>
          <w:sz w:val="24"/>
          <w:szCs w:val="24"/>
        </w:rPr>
        <w:t>Eixo: Ciência e Tecnologia</w:t>
      </w:r>
      <w:bookmarkEnd w:id="56"/>
      <w:bookmarkEnd w:id="57"/>
    </w:p>
    <w:p w14:paraId="454D058E" w14:textId="77777777" w:rsidR="000C40B3" w:rsidRDefault="000C40B3" w:rsidP="000C40B3">
      <w:pPr>
        <w:spacing w:before="120" w:after="120" w:line="360" w:lineRule="auto"/>
        <w:rPr>
          <w:rFonts w:ascii="Tahoma" w:hAnsi="Tahoma" w:cs="Tahoma"/>
          <w:sz w:val="19"/>
          <w:szCs w:val="19"/>
        </w:rPr>
      </w:pPr>
      <w:r w:rsidRPr="00AA1367">
        <w:rPr>
          <w:rFonts w:ascii="Tahoma" w:hAnsi="Tahoma" w:cs="Tahoma"/>
          <w:sz w:val="19"/>
          <w:szCs w:val="19"/>
        </w:rPr>
        <w:t>O instrumento financeiro utilizado para o alcance de resultados n</w:t>
      </w:r>
      <w:r>
        <w:rPr>
          <w:rFonts w:ascii="Tahoma" w:hAnsi="Tahoma" w:cs="Tahoma"/>
          <w:sz w:val="19"/>
          <w:szCs w:val="19"/>
        </w:rPr>
        <w:t>esse</w:t>
      </w:r>
      <w:r w:rsidRPr="00AA1367">
        <w:rPr>
          <w:rFonts w:ascii="Tahoma" w:hAnsi="Tahoma" w:cs="Tahoma"/>
          <w:sz w:val="19"/>
          <w:szCs w:val="19"/>
        </w:rPr>
        <w:t xml:space="preserve"> eixo é o Financiamento não reembolsável a ICTs.</w:t>
      </w:r>
    </w:p>
    <w:p w14:paraId="082B95EE" w14:textId="77777777" w:rsidR="000C40B3" w:rsidRDefault="000C40B3" w:rsidP="000C40B3">
      <w:pPr>
        <w:spacing w:before="120" w:after="120" w:line="360" w:lineRule="auto"/>
        <w:rPr>
          <w:rFonts w:ascii="Tahoma" w:hAnsi="Tahoma" w:cs="Tahoma"/>
          <w:sz w:val="19"/>
          <w:szCs w:val="19"/>
        </w:rPr>
      </w:pPr>
    </w:p>
    <w:p w14:paraId="5CDCB4AE" w14:textId="7124E867" w:rsidR="000D6D0A" w:rsidRDefault="000C40B3" w:rsidP="00BE6D01">
      <w:pPr>
        <w:pStyle w:val="Ttulo3"/>
        <w:spacing w:before="120" w:after="120" w:line="360" w:lineRule="auto"/>
        <w:rPr>
          <w:rFonts w:ascii="Tahoma" w:hAnsi="Tahoma" w:cs="Tahoma"/>
          <w:color w:val="0098BA"/>
          <w:sz w:val="22"/>
          <w:szCs w:val="22"/>
        </w:rPr>
      </w:pPr>
      <w:bookmarkStart w:id="58" w:name="_Toc163025249"/>
      <w:bookmarkStart w:id="59" w:name="_Toc162512586"/>
      <w:r w:rsidRPr="00BE6D01">
        <w:rPr>
          <w:rFonts w:ascii="Tahoma" w:hAnsi="Tahoma" w:cs="Tahoma"/>
          <w:color w:val="0098BA"/>
          <w:sz w:val="22"/>
          <w:szCs w:val="22"/>
        </w:rPr>
        <w:t>Financiamento não reembolsável a ICTs</w:t>
      </w:r>
      <w:bookmarkEnd w:id="58"/>
      <w:bookmarkEnd w:id="59"/>
    </w:p>
    <w:p w14:paraId="56ED9658" w14:textId="77777777" w:rsidR="00EB37BC" w:rsidRDefault="00EB37BC" w:rsidP="00A81BF7">
      <w:pPr>
        <w:spacing w:before="120" w:after="120" w:line="360" w:lineRule="auto"/>
        <w:rPr>
          <w:rFonts w:ascii="Tahoma" w:hAnsi="Tahoma" w:cs="Tahoma"/>
          <w:sz w:val="19"/>
          <w:szCs w:val="19"/>
        </w:rPr>
      </w:pPr>
      <w:r w:rsidRPr="00EB37BC">
        <w:rPr>
          <w:rFonts w:ascii="Tahoma" w:hAnsi="Tahoma" w:cs="Tahoma"/>
          <w:sz w:val="19"/>
          <w:szCs w:val="19"/>
        </w:rPr>
        <w:t>Nesse instrumento de apoio, não existe expectativa de reembolso dos recursos financeiros aportados nos projetos. O retorno desejado vem dos resultados alcançados pelos projetos apoiados, tais como conhecimentos gerados, formação de pessoal especializado, avanços científicos e tecnológicos, cooperação com as atividades inovativas das empresas e o fortalecimento do SNCTI.</w:t>
      </w:r>
    </w:p>
    <w:p w14:paraId="2E022F2F" w14:textId="589A115E" w:rsidR="00EE3F40" w:rsidRDefault="00EE3F40" w:rsidP="00EE3F40">
      <w:pPr>
        <w:spacing w:before="120" w:after="120" w:line="360" w:lineRule="auto"/>
        <w:rPr>
          <w:rFonts w:ascii="Tahoma" w:eastAsiaTheme="minorHAnsi" w:hAnsi="Tahoma" w:cs="Tahoma"/>
          <w:color w:val="0098BA"/>
          <w:sz w:val="19"/>
          <w:szCs w:val="19"/>
          <w:lang w:eastAsia="en-US"/>
        </w:rPr>
      </w:pPr>
      <w:r>
        <w:rPr>
          <w:rFonts w:ascii="Tahoma" w:eastAsiaTheme="minorHAnsi" w:hAnsi="Tahoma" w:cs="Tahoma"/>
          <w:color w:val="0098BA"/>
          <w:sz w:val="19"/>
          <w:szCs w:val="19"/>
          <w:lang w:eastAsia="en-US"/>
        </w:rPr>
        <w:lastRenderedPageBreak/>
        <w:t>Ações que contaram com outras fontes, além do FNDCT</w:t>
      </w:r>
    </w:p>
    <w:p w14:paraId="4B62ABE4" w14:textId="73AD9A03" w:rsidR="00A81BF7" w:rsidRPr="00EE3F40" w:rsidRDefault="00A81BF7" w:rsidP="00EE3F40">
      <w:pPr>
        <w:pStyle w:val="PargrafodaLista"/>
        <w:numPr>
          <w:ilvl w:val="0"/>
          <w:numId w:val="35"/>
        </w:numPr>
        <w:spacing w:before="120" w:after="120" w:line="360" w:lineRule="auto"/>
        <w:rPr>
          <w:rFonts w:ascii="Tahoma" w:hAnsi="Tahoma" w:cs="Tahoma"/>
          <w:sz w:val="19"/>
          <w:szCs w:val="19"/>
        </w:rPr>
      </w:pPr>
      <w:r w:rsidRPr="00EE3F40">
        <w:rPr>
          <w:rFonts w:ascii="Tahoma" w:hAnsi="Tahoma" w:cs="Tahoma"/>
          <w:sz w:val="19"/>
          <w:szCs w:val="19"/>
        </w:rPr>
        <w:t>PRH-ANP</w:t>
      </w:r>
    </w:p>
    <w:p w14:paraId="143C60C7" w14:textId="5BC0BC66" w:rsidR="00A81BF7" w:rsidRPr="00A81BF7" w:rsidRDefault="00A81BF7" w:rsidP="00A81BF7">
      <w:pPr>
        <w:spacing w:before="120" w:after="120" w:line="360" w:lineRule="auto"/>
        <w:rPr>
          <w:rFonts w:ascii="Tahoma" w:hAnsi="Tahoma" w:cs="Tahoma"/>
          <w:sz w:val="19"/>
          <w:szCs w:val="19"/>
        </w:rPr>
      </w:pPr>
      <w:r w:rsidRPr="00A81BF7">
        <w:rPr>
          <w:rFonts w:ascii="Tahoma" w:hAnsi="Tahoma" w:cs="Tahoma"/>
          <w:sz w:val="19"/>
          <w:szCs w:val="19"/>
        </w:rPr>
        <w:t>O Programa de Formação de Recursos Humanos da ANP para o Setor de Petróleo, Gás Natural e Biocombustíveis (PRH-ANP) foi implantado pela Agência Nacional de Petróleo, Gás Natural e Biocombustíveis (ANP) em 1999, com o objetivo de incentivar a formação de mão de obra especializada em áreas estratégicas e imprescindíveis ao desenvolvimento do setor de petróleo, gás natural e biocombustíveis.</w:t>
      </w:r>
    </w:p>
    <w:p w14:paraId="6B59725B" w14:textId="2E693732" w:rsidR="00A81BF7" w:rsidRPr="00A81BF7" w:rsidRDefault="00A81BF7" w:rsidP="00A81BF7">
      <w:pPr>
        <w:spacing w:before="120" w:after="120" w:line="360" w:lineRule="auto"/>
        <w:rPr>
          <w:rFonts w:ascii="Tahoma" w:hAnsi="Tahoma" w:cs="Tahoma"/>
          <w:sz w:val="19"/>
          <w:szCs w:val="19"/>
        </w:rPr>
      </w:pPr>
      <w:r w:rsidRPr="00A81BF7">
        <w:rPr>
          <w:rFonts w:ascii="Tahoma" w:hAnsi="Tahoma" w:cs="Tahoma"/>
          <w:sz w:val="19"/>
          <w:szCs w:val="19"/>
        </w:rPr>
        <w:t xml:space="preserve">O PRH-ANP caracteriza-se pela concessão de recursos financeiros na forma de bolsas e taxa de bancada para </w:t>
      </w:r>
      <w:r w:rsidR="005D3C3E">
        <w:rPr>
          <w:rFonts w:ascii="Tahoma" w:hAnsi="Tahoma" w:cs="Tahoma"/>
          <w:sz w:val="19"/>
          <w:szCs w:val="19"/>
        </w:rPr>
        <w:t>p</w:t>
      </w:r>
      <w:r w:rsidRPr="00A81BF7">
        <w:rPr>
          <w:rFonts w:ascii="Tahoma" w:hAnsi="Tahoma" w:cs="Tahoma"/>
          <w:sz w:val="19"/>
          <w:szCs w:val="19"/>
        </w:rPr>
        <w:t xml:space="preserve">rogramas de graduação, pós-graduação stricto sensu e pós-doutorado, com elevada qualidade técnica para a formação de profissionais com especialização para o setor. Desta forma, o </w:t>
      </w:r>
      <w:r w:rsidR="00C90A09">
        <w:rPr>
          <w:rFonts w:ascii="Tahoma" w:hAnsi="Tahoma" w:cs="Tahoma"/>
          <w:sz w:val="19"/>
          <w:szCs w:val="19"/>
        </w:rPr>
        <w:t>p</w:t>
      </w:r>
      <w:r w:rsidRPr="00A81BF7">
        <w:rPr>
          <w:rFonts w:ascii="Tahoma" w:hAnsi="Tahoma" w:cs="Tahoma"/>
          <w:sz w:val="19"/>
          <w:szCs w:val="19"/>
        </w:rPr>
        <w:t>rograma assume caráter estruturante, pela criação e consolidação de competências, além de contribuir para a produção de conhecimento estratégico para o desenvolvimento do setor de petróleo, gás natural e biocombustíveis.</w:t>
      </w:r>
    </w:p>
    <w:p w14:paraId="6184F283" w14:textId="71F4A0FD" w:rsidR="00A81BF7" w:rsidRPr="00A81BF7" w:rsidRDefault="00A81BF7" w:rsidP="00A81BF7">
      <w:pPr>
        <w:spacing w:before="120" w:after="120" w:line="360" w:lineRule="auto"/>
        <w:rPr>
          <w:rFonts w:ascii="Tahoma" w:hAnsi="Tahoma" w:cs="Tahoma"/>
          <w:sz w:val="19"/>
          <w:szCs w:val="19"/>
        </w:rPr>
      </w:pPr>
      <w:r w:rsidRPr="00A81BF7">
        <w:rPr>
          <w:rFonts w:ascii="Tahoma" w:hAnsi="Tahoma" w:cs="Tahoma"/>
          <w:sz w:val="19"/>
          <w:szCs w:val="19"/>
        </w:rPr>
        <w:t xml:space="preserve">A principal consequência </w:t>
      </w:r>
      <w:r w:rsidR="00C90A09" w:rsidRPr="00A81BF7">
        <w:rPr>
          <w:rFonts w:ascii="Tahoma" w:hAnsi="Tahoma" w:cs="Tahoma"/>
          <w:sz w:val="19"/>
          <w:szCs w:val="19"/>
        </w:rPr>
        <w:t xml:space="preserve">observada </w:t>
      </w:r>
      <w:r w:rsidRPr="00A81BF7">
        <w:rPr>
          <w:rFonts w:ascii="Tahoma" w:hAnsi="Tahoma" w:cs="Tahoma"/>
          <w:sz w:val="19"/>
          <w:szCs w:val="19"/>
        </w:rPr>
        <w:t>do programa é a ida de bolsistas do programa para empresas petrolíferas e, em menor medida, para a pós-graduação.</w:t>
      </w:r>
    </w:p>
    <w:p w14:paraId="44586355" w14:textId="4254980C" w:rsidR="00A81BF7" w:rsidRPr="00A81BF7" w:rsidRDefault="00A81BF7" w:rsidP="00A81BF7">
      <w:pPr>
        <w:spacing w:before="120" w:after="120" w:line="360" w:lineRule="auto"/>
        <w:rPr>
          <w:rFonts w:ascii="Tahoma" w:hAnsi="Tahoma" w:cs="Tahoma"/>
          <w:sz w:val="19"/>
          <w:szCs w:val="19"/>
        </w:rPr>
      </w:pPr>
      <w:r w:rsidRPr="00A81BF7">
        <w:rPr>
          <w:rFonts w:ascii="Tahoma" w:hAnsi="Tahoma" w:cs="Tahoma"/>
          <w:sz w:val="19"/>
          <w:szCs w:val="19"/>
        </w:rPr>
        <w:t xml:space="preserve">A continuidade do programa </w:t>
      </w:r>
      <w:r w:rsidR="006769FC">
        <w:rPr>
          <w:rFonts w:ascii="Tahoma" w:hAnsi="Tahoma" w:cs="Tahoma"/>
          <w:sz w:val="19"/>
          <w:szCs w:val="19"/>
        </w:rPr>
        <w:t>se mostrou</w:t>
      </w:r>
      <w:r w:rsidRPr="00A81BF7">
        <w:rPr>
          <w:rFonts w:ascii="Tahoma" w:hAnsi="Tahoma" w:cs="Tahoma"/>
          <w:sz w:val="19"/>
          <w:szCs w:val="19"/>
        </w:rPr>
        <w:t xml:space="preserve"> muito importante, </w:t>
      </w:r>
      <w:r w:rsidR="005D3C3E">
        <w:rPr>
          <w:rFonts w:ascii="Tahoma" w:hAnsi="Tahoma" w:cs="Tahoma"/>
          <w:sz w:val="19"/>
          <w:szCs w:val="19"/>
        </w:rPr>
        <w:t>com</w:t>
      </w:r>
      <w:r w:rsidRPr="00A81BF7">
        <w:rPr>
          <w:rFonts w:ascii="Tahoma" w:hAnsi="Tahoma" w:cs="Tahoma"/>
          <w:sz w:val="19"/>
          <w:szCs w:val="19"/>
        </w:rPr>
        <w:t xml:space="preserve"> um grande movimento de renovação dos bolsistas a partir do segundo semestre</w:t>
      </w:r>
      <w:r w:rsidR="005D3C3E">
        <w:rPr>
          <w:rFonts w:ascii="Tahoma" w:hAnsi="Tahoma" w:cs="Tahoma"/>
          <w:sz w:val="19"/>
          <w:szCs w:val="19"/>
        </w:rPr>
        <w:t xml:space="preserve">. Foi realizada ainda </w:t>
      </w:r>
      <w:r w:rsidRPr="00A81BF7">
        <w:rPr>
          <w:rFonts w:ascii="Tahoma" w:hAnsi="Tahoma" w:cs="Tahoma"/>
          <w:sz w:val="19"/>
          <w:szCs w:val="19"/>
        </w:rPr>
        <w:t xml:space="preserve">Reunião Anual de Avaliação, que </w:t>
      </w:r>
      <w:r w:rsidR="005D3C3E">
        <w:rPr>
          <w:rFonts w:ascii="Tahoma" w:hAnsi="Tahoma" w:cs="Tahoma"/>
          <w:sz w:val="19"/>
          <w:szCs w:val="19"/>
        </w:rPr>
        <w:t>avaliou</w:t>
      </w:r>
      <w:r w:rsidRPr="00A81BF7">
        <w:rPr>
          <w:rFonts w:ascii="Tahoma" w:hAnsi="Tahoma" w:cs="Tahoma"/>
          <w:sz w:val="19"/>
          <w:szCs w:val="19"/>
        </w:rPr>
        <w:t xml:space="preserve"> o desemprenho e as contribuições dos </w:t>
      </w:r>
      <w:r w:rsidR="005D3C3E">
        <w:rPr>
          <w:rFonts w:ascii="Tahoma" w:hAnsi="Tahoma" w:cs="Tahoma"/>
          <w:sz w:val="19"/>
          <w:szCs w:val="19"/>
        </w:rPr>
        <w:t>p</w:t>
      </w:r>
      <w:r w:rsidRPr="00A81BF7">
        <w:rPr>
          <w:rFonts w:ascii="Tahoma" w:hAnsi="Tahoma" w:cs="Tahoma"/>
          <w:sz w:val="19"/>
          <w:szCs w:val="19"/>
        </w:rPr>
        <w:t xml:space="preserve">rogramas </w:t>
      </w:r>
      <w:r w:rsidR="005D3C3E">
        <w:rPr>
          <w:rFonts w:ascii="Tahoma" w:hAnsi="Tahoma" w:cs="Tahoma"/>
          <w:sz w:val="19"/>
          <w:szCs w:val="19"/>
        </w:rPr>
        <w:t xml:space="preserve">de </w:t>
      </w:r>
      <w:r w:rsidR="005D3C3E" w:rsidRPr="00A81BF7">
        <w:rPr>
          <w:rFonts w:ascii="Tahoma" w:hAnsi="Tahoma" w:cs="Tahoma"/>
          <w:sz w:val="19"/>
          <w:szCs w:val="19"/>
        </w:rPr>
        <w:t>graduação</w:t>
      </w:r>
      <w:r w:rsidR="005D3C3E">
        <w:rPr>
          <w:rFonts w:ascii="Tahoma" w:hAnsi="Tahoma" w:cs="Tahoma"/>
          <w:sz w:val="19"/>
          <w:szCs w:val="19"/>
        </w:rPr>
        <w:t xml:space="preserve"> e</w:t>
      </w:r>
      <w:r w:rsidR="005D3C3E" w:rsidRPr="00A81BF7">
        <w:rPr>
          <w:rFonts w:ascii="Tahoma" w:hAnsi="Tahoma" w:cs="Tahoma"/>
          <w:sz w:val="19"/>
          <w:szCs w:val="19"/>
        </w:rPr>
        <w:t xml:space="preserve"> pós-graduação </w:t>
      </w:r>
      <w:r w:rsidRPr="00A81BF7">
        <w:rPr>
          <w:rFonts w:ascii="Tahoma" w:hAnsi="Tahoma" w:cs="Tahoma"/>
          <w:sz w:val="19"/>
          <w:szCs w:val="19"/>
        </w:rPr>
        <w:t xml:space="preserve">que compõem o </w:t>
      </w:r>
      <w:hyperlink r:id="rId113" w:history="1">
        <w:r w:rsidRPr="006769FC">
          <w:rPr>
            <w:rStyle w:val="Hyperlink"/>
            <w:rFonts w:ascii="Tahoma" w:hAnsi="Tahoma" w:cs="Tahoma"/>
            <w:sz w:val="19"/>
            <w:szCs w:val="19"/>
          </w:rPr>
          <w:t>PRH-ANP-F</w:t>
        </w:r>
        <w:r w:rsidR="005D3C3E" w:rsidRPr="006769FC">
          <w:rPr>
            <w:rStyle w:val="Hyperlink"/>
            <w:rFonts w:ascii="Tahoma" w:hAnsi="Tahoma" w:cs="Tahoma"/>
            <w:sz w:val="19"/>
            <w:szCs w:val="19"/>
          </w:rPr>
          <w:t>inep</w:t>
        </w:r>
      </w:hyperlink>
      <w:r w:rsidRPr="00A81BF7">
        <w:rPr>
          <w:rFonts w:ascii="Tahoma" w:hAnsi="Tahoma" w:cs="Tahoma"/>
          <w:sz w:val="19"/>
          <w:szCs w:val="19"/>
        </w:rPr>
        <w:t xml:space="preserve">, </w:t>
      </w:r>
      <w:r w:rsidR="005D3C3E">
        <w:rPr>
          <w:rFonts w:ascii="Tahoma" w:hAnsi="Tahoma" w:cs="Tahoma"/>
          <w:sz w:val="19"/>
          <w:szCs w:val="19"/>
        </w:rPr>
        <w:t>n</w:t>
      </w:r>
      <w:r w:rsidRPr="00A81BF7">
        <w:rPr>
          <w:rFonts w:ascii="Tahoma" w:hAnsi="Tahoma" w:cs="Tahoma"/>
          <w:sz w:val="19"/>
          <w:szCs w:val="19"/>
        </w:rPr>
        <w:t>o atendimento das demandas do mercado de trabalho no setor de Petróleo, Gás e Biocombustíveis.</w:t>
      </w:r>
    </w:p>
    <w:p w14:paraId="0DE78242" w14:textId="4259EB76" w:rsidR="00A81BF7" w:rsidRPr="00A81BF7" w:rsidRDefault="005D3C3E" w:rsidP="005D3C3E">
      <w:pPr>
        <w:spacing w:before="60" w:after="60"/>
        <w:jc w:val="center"/>
        <w:rPr>
          <w:rFonts w:ascii="Tahoma" w:hAnsi="Tahoma" w:cs="Tahoma"/>
          <w:sz w:val="19"/>
          <w:szCs w:val="19"/>
        </w:rPr>
      </w:pPr>
      <w:r w:rsidRPr="00C2000B">
        <w:rPr>
          <w:noProof/>
        </w:rPr>
        <w:drawing>
          <wp:inline distT="0" distB="0" distL="0" distR="0" wp14:anchorId="2A53AEE5" wp14:editId="280C2102">
            <wp:extent cx="5339601" cy="3209026"/>
            <wp:effectExtent l="0" t="0" r="0" b="0"/>
            <wp:docPr id="1780957951" name="Imagem 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57951" name="Imagem 1" descr="Gráfico, Gráfico de linhas&#10;&#10;Descrição gerada automaticament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373546" cy="3229426"/>
                    </a:xfrm>
                    <a:prstGeom prst="rect">
                      <a:avLst/>
                    </a:prstGeom>
                    <a:noFill/>
                  </pic:spPr>
                </pic:pic>
              </a:graphicData>
            </a:graphic>
          </wp:inline>
        </w:drawing>
      </w:r>
    </w:p>
    <w:p w14:paraId="057CD14E" w14:textId="5B8B4529" w:rsidR="00A81BF7" w:rsidRPr="00A81BF7" w:rsidRDefault="005D3C3E" w:rsidP="005D3C3E">
      <w:pPr>
        <w:spacing w:before="60" w:after="60"/>
        <w:ind w:left="567"/>
        <w:rPr>
          <w:rFonts w:ascii="Tahoma" w:hAnsi="Tahoma" w:cs="Tahoma"/>
          <w:sz w:val="19"/>
          <w:szCs w:val="19"/>
        </w:rPr>
      </w:pPr>
      <w:r w:rsidRPr="005D3C3E">
        <w:rPr>
          <w:rFonts w:ascii="Tahoma" w:hAnsi="Tahoma" w:cs="Tahoma"/>
          <w:sz w:val="19"/>
          <w:szCs w:val="19"/>
        </w:rPr>
        <w:t>Nota: Modalidades das bolsas concedidas: Graduação</w:t>
      </w:r>
      <w:r>
        <w:rPr>
          <w:rFonts w:ascii="Tahoma" w:hAnsi="Tahoma" w:cs="Tahoma"/>
          <w:sz w:val="19"/>
          <w:szCs w:val="19"/>
        </w:rPr>
        <w:t xml:space="preserve"> (GRA)</w:t>
      </w:r>
      <w:r w:rsidRPr="005D3C3E">
        <w:rPr>
          <w:rFonts w:ascii="Tahoma" w:hAnsi="Tahoma" w:cs="Tahoma"/>
          <w:sz w:val="19"/>
          <w:szCs w:val="19"/>
        </w:rPr>
        <w:t>; Mestrado</w:t>
      </w:r>
      <w:r>
        <w:rPr>
          <w:rFonts w:ascii="Tahoma" w:hAnsi="Tahoma" w:cs="Tahoma"/>
          <w:sz w:val="19"/>
          <w:szCs w:val="19"/>
        </w:rPr>
        <w:t xml:space="preserve"> (MSc)</w:t>
      </w:r>
      <w:r w:rsidRPr="005D3C3E">
        <w:rPr>
          <w:rFonts w:ascii="Tahoma" w:hAnsi="Tahoma" w:cs="Tahoma"/>
          <w:sz w:val="19"/>
          <w:szCs w:val="19"/>
        </w:rPr>
        <w:t>; Doutorado</w:t>
      </w:r>
      <w:r>
        <w:rPr>
          <w:rFonts w:ascii="Tahoma" w:hAnsi="Tahoma" w:cs="Tahoma"/>
          <w:sz w:val="19"/>
          <w:szCs w:val="19"/>
        </w:rPr>
        <w:t xml:space="preserve"> (DSC)</w:t>
      </w:r>
      <w:r w:rsidRPr="005D3C3E">
        <w:rPr>
          <w:rFonts w:ascii="Tahoma" w:hAnsi="Tahoma" w:cs="Tahoma"/>
          <w:sz w:val="19"/>
          <w:szCs w:val="19"/>
        </w:rPr>
        <w:t>; Pós-Doutorado</w:t>
      </w:r>
      <w:r>
        <w:rPr>
          <w:rFonts w:ascii="Tahoma" w:hAnsi="Tahoma" w:cs="Tahoma"/>
          <w:sz w:val="19"/>
          <w:szCs w:val="19"/>
        </w:rPr>
        <w:t xml:space="preserve"> PDSc</w:t>
      </w:r>
      <w:r w:rsidRPr="005D3C3E">
        <w:rPr>
          <w:rFonts w:ascii="Tahoma" w:hAnsi="Tahoma" w:cs="Tahoma"/>
          <w:sz w:val="19"/>
          <w:szCs w:val="19"/>
        </w:rPr>
        <w:t>; Coordenador</w:t>
      </w:r>
      <w:r>
        <w:rPr>
          <w:rFonts w:ascii="Tahoma" w:hAnsi="Tahoma" w:cs="Tahoma"/>
          <w:sz w:val="19"/>
          <w:szCs w:val="19"/>
        </w:rPr>
        <w:t xml:space="preserve"> (COO)</w:t>
      </w:r>
      <w:r w:rsidRPr="005D3C3E">
        <w:rPr>
          <w:rFonts w:ascii="Tahoma" w:hAnsi="Tahoma" w:cs="Tahoma"/>
          <w:sz w:val="19"/>
          <w:szCs w:val="19"/>
        </w:rPr>
        <w:t>; Pesquisador Visitante</w:t>
      </w:r>
      <w:r>
        <w:rPr>
          <w:rFonts w:ascii="Tahoma" w:hAnsi="Tahoma" w:cs="Tahoma"/>
          <w:sz w:val="19"/>
          <w:szCs w:val="19"/>
        </w:rPr>
        <w:t xml:space="preserve"> (PV)</w:t>
      </w:r>
      <w:r w:rsidRPr="005D3C3E">
        <w:rPr>
          <w:rFonts w:ascii="Tahoma" w:hAnsi="Tahoma" w:cs="Tahoma"/>
          <w:sz w:val="19"/>
          <w:szCs w:val="19"/>
        </w:rPr>
        <w:t xml:space="preserve"> e Apoio Técnico</w:t>
      </w:r>
      <w:r>
        <w:rPr>
          <w:rFonts w:ascii="Tahoma" w:hAnsi="Tahoma" w:cs="Tahoma"/>
          <w:sz w:val="19"/>
          <w:szCs w:val="19"/>
        </w:rPr>
        <w:t xml:space="preserve"> (AT)</w:t>
      </w:r>
      <w:r w:rsidRPr="005D3C3E">
        <w:rPr>
          <w:rFonts w:ascii="Tahoma" w:hAnsi="Tahoma" w:cs="Tahoma"/>
          <w:sz w:val="19"/>
          <w:szCs w:val="19"/>
        </w:rPr>
        <w:t>.</w:t>
      </w:r>
    </w:p>
    <w:p w14:paraId="04B872AE" w14:textId="77777777" w:rsidR="00A81BF7" w:rsidRDefault="00A81BF7" w:rsidP="00AA1367">
      <w:pPr>
        <w:spacing w:before="120" w:after="120" w:line="360" w:lineRule="auto"/>
        <w:rPr>
          <w:rFonts w:ascii="Tahoma" w:hAnsi="Tahoma" w:cs="Tahoma"/>
          <w:sz w:val="19"/>
          <w:szCs w:val="19"/>
        </w:rPr>
      </w:pPr>
    </w:p>
    <w:p w14:paraId="1507268C" w14:textId="77777777" w:rsidR="007523A7" w:rsidRDefault="007523A7" w:rsidP="00AA1367">
      <w:pPr>
        <w:spacing w:before="120" w:after="120" w:line="360" w:lineRule="auto"/>
        <w:rPr>
          <w:rFonts w:ascii="Tahoma" w:hAnsi="Tahoma" w:cs="Tahoma"/>
          <w:sz w:val="19"/>
          <w:szCs w:val="19"/>
        </w:rPr>
      </w:pPr>
    </w:p>
    <w:p w14:paraId="681C90B5" w14:textId="0EAAE550" w:rsidR="00401532" w:rsidRDefault="00401532" w:rsidP="00AA1367">
      <w:pPr>
        <w:spacing w:before="120" w:after="120" w:line="360" w:lineRule="auto"/>
        <w:rPr>
          <w:rFonts w:ascii="Tahoma" w:hAnsi="Tahoma" w:cs="Tahoma"/>
          <w:sz w:val="19"/>
          <w:szCs w:val="19"/>
        </w:rPr>
      </w:pPr>
    </w:p>
    <w:p w14:paraId="31C73B9D" w14:textId="77777777" w:rsidR="00B34CBD" w:rsidRDefault="00B34CBD" w:rsidP="00AA1367">
      <w:pPr>
        <w:spacing w:before="120" w:after="120" w:line="360" w:lineRule="auto"/>
        <w:rPr>
          <w:rFonts w:ascii="Tahoma" w:hAnsi="Tahoma" w:cs="Tahoma"/>
          <w:sz w:val="19"/>
          <w:szCs w:val="19"/>
        </w:rPr>
      </w:pPr>
    </w:p>
    <w:p w14:paraId="7182AC3F" w14:textId="566CD4A6" w:rsidR="00CF2393" w:rsidRPr="00EE3F40" w:rsidRDefault="00541FB6" w:rsidP="00EE3F40">
      <w:pPr>
        <w:pStyle w:val="PargrafodaLista"/>
        <w:numPr>
          <w:ilvl w:val="0"/>
          <w:numId w:val="35"/>
        </w:numPr>
        <w:spacing w:before="120" w:after="120" w:line="360" w:lineRule="auto"/>
        <w:rPr>
          <w:rFonts w:ascii="Tahoma" w:hAnsi="Tahoma" w:cs="Tahoma"/>
          <w:sz w:val="19"/>
          <w:szCs w:val="19"/>
        </w:rPr>
      </w:pPr>
      <w:hyperlink r:id="rId115" w:history="1">
        <w:r w:rsidR="00CF2393" w:rsidRPr="00227B63">
          <w:rPr>
            <w:rStyle w:val="Hyperlink"/>
            <w:rFonts w:ascii="Tahoma" w:hAnsi="Tahoma" w:cs="Tahoma"/>
            <w:sz w:val="19"/>
            <w:szCs w:val="19"/>
          </w:rPr>
          <w:t xml:space="preserve">Finep 2030 </w:t>
        </w:r>
        <w:r w:rsidR="00227B63">
          <w:rPr>
            <w:rStyle w:val="Hyperlink"/>
            <w:rFonts w:ascii="Tahoma" w:hAnsi="Tahoma" w:cs="Tahoma"/>
            <w:sz w:val="19"/>
            <w:szCs w:val="19"/>
          </w:rPr>
          <w:t xml:space="preserve">- </w:t>
        </w:r>
        <w:r w:rsidR="00CF2393" w:rsidRPr="00227B63">
          <w:rPr>
            <w:rStyle w:val="Hyperlink"/>
            <w:rFonts w:ascii="Tahoma" w:hAnsi="Tahoma" w:cs="Tahoma"/>
            <w:sz w:val="19"/>
            <w:szCs w:val="19"/>
          </w:rPr>
          <w:t>Rede de ICTs</w:t>
        </w:r>
      </w:hyperlink>
      <w:r w:rsidR="00CF2393" w:rsidRPr="00EE3F40">
        <w:rPr>
          <w:rFonts w:ascii="Tahoma" w:hAnsi="Tahoma" w:cs="Tahoma"/>
          <w:sz w:val="19"/>
          <w:szCs w:val="19"/>
        </w:rPr>
        <w:t xml:space="preserve"> - Ciclo 5</w:t>
      </w:r>
    </w:p>
    <w:p w14:paraId="3D16CE25" w14:textId="3EBB6380" w:rsidR="00CF2393" w:rsidRPr="00CF2393" w:rsidRDefault="00CF2393" w:rsidP="00CF2393">
      <w:pPr>
        <w:spacing w:before="120" w:after="120" w:line="360" w:lineRule="auto"/>
        <w:rPr>
          <w:rFonts w:ascii="Tahoma" w:hAnsi="Tahoma" w:cs="Tahoma"/>
          <w:sz w:val="19"/>
          <w:szCs w:val="19"/>
        </w:rPr>
      </w:pPr>
      <w:r>
        <w:rPr>
          <w:rFonts w:ascii="Tahoma" w:hAnsi="Tahoma" w:cs="Tahoma"/>
          <w:sz w:val="19"/>
          <w:szCs w:val="19"/>
        </w:rPr>
        <w:t>A chamada pública</w:t>
      </w:r>
      <w:r w:rsidRPr="00CF2393">
        <w:rPr>
          <w:rFonts w:ascii="Tahoma" w:hAnsi="Tahoma" w:cs="Tahoma"/>
          <w:sz w:val="19"/>
          <w:szCs w:val="19"/>
        </w:rPr>
        <w:t xml:space="preserve"> vis</w:t>
      </w:r>
      <w:r>
        <w:rPr>
          <w:rFonts w:ascii="Tahoma" w:hAnsi="Tahoma" w:cs="Tahoma"/>
          <w:sz w:val="19"/>
          <w:szCs w:val="19"/>
        </w:rPr>
        <w:t>ou</w:t>
      </w:r>
      <w:r w:rsidRPr="00CF2393">
        <w:rPr>
          <w:rFonts w:ascii="Tahoma" w:hAnsi="Tahoma" w:cs="Tahoma"/>
          <w:sz w:val="19"/>
          <w:szCs w:val="19"/>
        </w:rPr>
        <w:t xml:space="preserve"> selecionar projetos para o estímulo, orientação e promoção da criação de rede</w:t>
      </w:r>
      <w:r>
        <w:rPr>
          <w:rFonts w:ascii="Tahoma" w:hAnsi="Tahoma" w:cs="Tahoma"/>
          <w:sz w:val="19"/>
          <w:szCs w:val="19"/>
        </w:rPr>
        <w:t>s</w:t>
      </w:r>
      <w:r w:rsidRPr="00CF2393">
        <w:rPr>
          <w:rFonts w:ascii="Tahoma" w:hAnsi="Tahoma" w:cs="Tahoma"/>
          <w:sz w:val="19"/>
          <w:szCs w:val="19"/>
        </w:rPr>
        <w:t xml:space="preserve"> de ICTs, que possam atuar nos segmentos de segurança veicular, proteção ao meio ambiente, eficiência energética e qualidade de veículos automotores terrestres e autopeças. As ações deverão estar alinhadas com os desafios da indústria e o desenvolvimento das novas tecnologias de manufatura avançada. </w:t>
      </w:r>
    </w:p>
    <w:p w14:paraId="2A74C0CA" w14:textId="5C14CDFD" w:rsidR="006948FD" w:rsidRDefault="00CF2393" w:rsidP="00CF2393">
      <w:pPr>
        <w:spacing w:before="120" w:after="120" w:line="360" w:lineRule="auto"/>
        <w:rPr>
          <w:rFonts w:ascii="Tahoma" w:hAnsi="Tahoma" w:cs="Tahoma"/>
          <w:sz w:val="19"/>
          <w:szCs w:val="19"/>
        </w:rPr>
      </w:pPr>
      <w:r w:rsidRPr="00CF2393">
        <w:rPr>
          <w:rFonts w:ascii="Tahoma" w:hAnsi="Tahoma" w:cs="Tahoma"/>
          <w:sz w:val="19"/>
          <w:szCs w:val="19"/>
        </w:rPr>
        <w:t xml:space="preserve">As redes de ICTs </w:t>
      </w:r>
      <w:r>
        <w:rPr>
          <w:rFonts w:ascii="Tahoma" w:hAnsi="Tahoma" w:cs="Tahoma"/>
          <w:sz w:val="19"/>
          <w:szCs w:val="19"/>
        </w:rPr>
        <w:t xml:space="preserve">apoiadas </w:t>
      </w:r>
      <w:r w:rsidRPr="00CF2393">
        <w:rPr>
          <w:rFonts w:ascii="Tahoma" w:hAnsi="Tahoma" w:cs="Tahoma"/>
          <w:sz w:val="19"/>
          <w:szCs w:val="19"/>
        </w:rPr>
        <w:t>deverão atuar desde a otimização das condições de produção existentes (aprimorando a qualidade dos produtos, contribuindo para competitividade e introduzindo na empresa a cultura da inovação), até o desenvolvimento de novos produtos (garantindo o posicionamento adequado das empresas no mercado e o seu crescimento).</w:t>
      </w:r>
    </w:p>
    <w:p w14:paraId="7C0BC5B4" w14:textId="22651114" w:rsidR="00806C68" w:rsidRDefault="00CF2393" w:rsidP="00CF2393">
      <w:pPr>
        <w:spacing w:before="120" w:after="120" w:line="360" w:lineRule="auto"/>
        <w:rPr>
          <w:rFonts w:ascii="Tahoma" w:hAnsi="Tahoma" w:cs="Tahoma"/>
          <w:sz w:val="19"/>
          <w:szCs w:val="19"/>
        </w:rPr>
      </w:pPr>
      <w:r w:rsidRPr="00CF2393">
        <w:rPr>
          <w:rFonts w:ascii="Tahoma" w:hAnsi="Tahoma" w:cs="Tahoma"/>
          <w:sz w:val="19"/>
          <w:szCs w:val="19"/>
        </w:rPr>
        <w:t>O resultado d</w:t>
      </w:r>
      <w:r w:rsidR="006948FD">
        <w:rPr>
          <w:rFonts w:ascii="Tahoma" w:hAnsi="Tahoma" w:cs="Tahoma"/>
          <w:sz w:val="19"/>
          <w:szCs w:val="19"/>
        </w:rPr>
        <w:t>ess</w:t>
      </w:r>
      <w:r>
        <w:rPr>
          <w:rFonts w:ascii="Tahoma" w:hAnsi="Tahoma" w:cs="Tahoma"/>
          <w:sz w:val="19"/>
          <w:szCs w:val="19"/>
        </w:rPr>
        <w:t>a chamada</w:t>
      </w:r>
      <w:r w:rsidRPr="00CF2393">
        <w:rPr>
          <w:rFonts w:ascii="Tahoma" w:hAnsi="Tahoma" w:cs="Tahoma"/>
          <w:sz w:val="19"/>
          <w:szCs w:val="19"/>
        </w:rPr>
        <w:t xml:space="preserve"> foi divulgado em </w:t>
      </w:r>
      <w:r w:rsidR="006948FD">
        <w:rPr>
          <w:rFonts w:ascii="Tahoma" w:hAnsi="Tahoma" w:cs="Tahoma"/>
          <w:sz w:val="19"/>
          <w:szCs w:val="19"/>
        </w:rPr>
        <w:t xml:space="preserve">dezembro de </w:t>
      </w:r>
      <w:r w:rsidRPr="00CF2393">
        <w:rPr>
          <w:rFonts w:ascii="Tahoma" w:hAnsi="Tahoma" w:cs="Tahoma"/>
          <w:sz w:val="19"/>
          <w:szCs w:val="19"/>
        </w:rPr>
        <w:t>2023.</w:t>
      </w:r>
      <w:r w:rsidR="00E37C8C">
        <w:rPr>
          <w:rFonts w:ascii="Tahoma" w:hAnsi="Tahoma" w:cs="Tahoma"/>
          <w:sz w:val="19"/>
          <w:szCs w:val="19"/>
        </w:rPr>
        <w:t xml:space="preserve"> Recebemos e analisamos 56 propostas solicitando apoio</w:t>
      </w:r>
      <w:r w:rsidR="00806C68">
        <w:rPr>
          <w:rFonts w:ascii="Tahoma" w:hAnsi="Tahoma" w:cs="Tahoma"/>
          <w:sz w:val="19"/>
          <w:szCs w:val="19"/>
        </w:rPr>
        <w:t>, no valor total de R$ 195,4 milhões</w:t>
      </w:r>
      <w:r w:rsidR="00E37C8C">
        <w:rPr>
          <w:rFonts w:ascii="Tahoma" w:hAnsi="Tahoma" w:cs="Tahoma"/>
          <w:sz w:val="19"/>
          <w:szCs w:val="19"/>
        </w:rPr>
        <w:t>. Destas foram aprovad</w:t>
      </w:r>
      <w:r w:rsidR="006948FD">
        <w:rPr>
          <w:rFonts w:ascii="Tahoma" w:hAnsi="Tahoma" w:cs="Tahoma"/>
          <w:sz w:val="19"/>
          <w:szCs w:val="19"/>
        </w:rPr>
        <w:t>o</w:t>
      </w:r>
      <w:r w:rsidR="00E37C8C">
        <w:rPr>
          <w:rFonts w:ascii="Tahoma" w:hAnsi="Tahoma" w:cs="Tahoma"/>
          <w:sz w:val="19"/>
          <w:szCs w:val="19"/>
        </w:rPr>
        <w:t xml:space="preserve">s </w:t>
      </w:r>
      <w:r w:rsidR="00806C68">
        <w:rPr>
          <w:rFonts w:ascii="Tahoma" w:hAnsi="Tahoma" w:cs="Tahoma"/>
          <w:sz w:val="19"/>
          <w:szCs w:val="19"/>
        </w:rPr>
        <w:t>2</w:t>
      </w:r>
      <w:r w:rsidR="00E37C8C">
        <w:rPr>
          <w:rFonts w:ascii="Tahoma" w:hAnsi="Tahoma" w:cs="Tahoma"/>
          <w:sz w:val="19"/>
          <w:szCs w:val="19"/>
        </w:rPr>
        <w:t>2</w:t>
      </w:r>
      <w:r w:rsidR="006948FD">
        <w:rPr>
          <w:rFonts w:ascii="Tahoma" w:hAnsi="Tahoma" w:cs="Tahoma"/>
          <w:sz w:val="19"/>
          <w:szCs w:val="19"/>
        </w:rPr>
        <w:t xml:space="preserve"> projetos</w:t>
      </w:r>
      <w:r w:rsidR="00E37C8C">
        <w:rPr>
          <w:rFonts w:ascii="Tahoma" w:hAnsi="Tahoma" w:cs="Tahoma"/>
          <w:sz w:val="19"/>
          <w:szCs w:val="19"/>
        </w:rPr>
        <w:t xml:space="preserve">, no valor total de R$ </w:t>
      </w:r>
      <w:r w:rsidR="00806C68">
        <w:rPr>
          <w:rFonts w:ascii="Tahoma" w:hAnsi="Tahoma" w:cs="Tahoma"/>
          <w:sz w:val="19"/>
          <w:szCs w:val="19"/>
        </w:rPr>
        <w:t>76,5 milhões</w:t>
      </w:r>
      <w:r w:rsidR="006948FD">
        <w:rPr>
          <w:rFonts w:ascii="Tahoma" w:hAnsi="Tahoma" w:cs="Tahoma"/>
          <w:sz w:val="19"/>
          <w:szCs w:val="19"/>
        </w:rPr>
        <w:t>, que deverão ser contratados em 2024.</w:t>
      </w:r>
    </w:p>
    <w:p w14:paraId="297499D5" w14:textId="09E61D3A" w:rsidR="00CF2393" w:rsidRDefault="00806C68" w:rsidP="00CF2393">
      <w:pPr>
        <w:spacing w:before="120" w:after="120" w:line="360" w:lineRule="auto"/>
        <w:rPr>
          <w:rFonts w:ascii="Tahoma" w:hAnsi="Tahoma" w:cs="Tahoma"/>
          <w:sz w:val="19"/>
          <w:szCs w:val="19"/>
        </w:rPr>
      </w:pPr>
      <w:r>
        <w:rPr>
          <w:rFonts w:ascii="Tahoma" w:hAnsi="Tahoma" w:cs="Tahoma"/>
          <w:sz w:val="19"/>
          <w:szCs w:val="19"/>
        </w:rPr>
        <w:t>Em 2023, foram contratados seis projetos do ciclo 4 desse programa, no valor total de R$ 10 milhões, cujo resultado</w:t>
      </w:r>
      <w:r w:rsidR="006948FD">
        <w:rPr>
          <w:rFonts w:ascii="Tahoma" w:hAnsi="Tahoma" w:cs="Tahoma"/>
          <w:sz w:val="19"/>
          <w:szCs w:val="19"/>
        </w:rPr>
        <w:t xml:space="preserve"> foi publicado em dezembro de 2022.</w:t>
      </w:r>
    </w:p>
    <w:p w14:paraId="581C2E99" w14:textId="77777777" w:rsidR="007523A7" w:rsidRDefault="007523A7" w:rsidP="00AA1367">
      <w:pPr>
        <w:spacing w:before="120" w:after="120" w:line="360" w:lineRule="auto"/>
        <w:rPr>
          <w:rFonts w:ascii="Tahoma" w:hAnsi="Tahoma" w:cs="Tahoma"/>
          <w:sz w:val="19"/>
          <w:szCs w:val="19"/>
        </w:rPr>
      </w:pPr>
    </w:p>
    <w:p w14:paraId="17FD956D" w14:textId="3ED2ABE3" w:rsidR="00981288" w:rsidRDefault="00981288" w:rsidP="0043145B">
      <w:pPr>
        <w:spacing w:before="120" w:after="120" w:line="360" w:lineRule="auto"/>
        <w:rPr>
          <w:rFonts w:ascii="Tahoma" w:eastAsiaTheme="minorHAnsi" w:hAnsi="Tahoma" w:cs="Tahoma"/>
          <w:color w:val="0098BA"/>
          <w:sz w:val="19"/>
          <w:szCs w:val="19"/>
          <w:lang w:eastAsia="en-US"/>
        </w:rPr>
      </w:pPr>
      <w:r>
        <w:rPr>
          <w:rFonts w:ascii="Tahoma" w:eastAsiaTheme="minorHAnsi" w:hAnsi="Tahoma" w:cs="Tahoma"/>
          <w:color w:val="0098BA"/>
          <w:sz w:val="19"/>
          <w:szCs w:val="19"/>
          <w:lang w:eastAsia="en-US"/>
        </w:rPr>
        <w:t>Ações em destaque</w:t>
      </w:r>
    </w:p>
    <w:p w14:paraId="34E70ED4" w14:textId="77777777" w:rsidR="00EE3F40" w:rsidRDefault="00EE3F40" w:rsidP="00EE3F40">
      <w:pPr>
        <w:spacing w:before="120" w:after="120" w:line="360" w:lineRule="auto"/>
        <w:rPr>
          <w:rFonts w:ascii="Tahoma" w:hAnsi="Tahoma" w:cs="Tahoma"/>
          <w:sz w:val="19"/>
          <w:szCs w:val="19"/>
        </w:rPr>
      </w:pPr>
      <w:r>
        <w:rPr>
          <w:rFonts w:ascii="Tahoma" w:hAnsi="Tahoma" w:cs="Tahoma"/>
          <w:sz w:val="19"/>
          <w:szCs w:val="19"/>
        </w:rPr>
        <w:t>Em agosto de 2022, a edição da Medida Provisória 1.136/2022, que ficou em vigor até fevereiro de 2023, restringiu a disponibilidade de recursos do FNDCT para ações autorizadas pela governança do Fundo, que já se encontravam em implementação. Por conta disso, muitas</w:t>
      </w:r>
      <w:r w:rsidRPr="00A8666A">
        <w:rPr>
          <w:rFonts w:ascii="Tahoma" w:hAnsi="Tahoma" w:cs="Tahoma"/>
          <w:sz w:val="19"/>
          <w:szCs w:val="19"/>
        </w:rPr>
        <w:t xml:space="preserve"> pro</w:t>
      </w:r>
      <w:r>
        <w:rPr>
          <w:rFonts w:ascii="Tahoma" w:hAnsi="Tahoma" w:cs="Tahoma"/>
          <w:sz w:val="19"/>
          <w:szCs w:val="19"/>
        </w:rPr>
        <w:t>postas</w:t>
      </w:r>
      <w:r w:rsidRPr="00A8666A">
        <w:rPr>
          <w:rFonts w:ascii="Tahoma" w:hAnsi="Tahoma" w:cs="Tahoma"/>
          <w:sz w:val="19"/>
          <w:szCs w:val="19"/>
        </w:rPr>
        <w:t xml:space="preserve"> </w:t>
      </w:r>
      <w:r>
        <w:rPr>
          <w:rFonts w:ascii="Tahoma" w:hAnsi="Tahoma" w:cs="Tahoma"/>
          <w:sz w:val="19"/>
          <w:szCs w:val="19"/>
        </w:rPr>
        <w:t>apresentadas a chamadas públicas lançadas em 2022, que contavam com o não contingenciamento de recursos do FNDCT determinado pela Lei Complementar 177/2021, só puderam ser c</w:t>
      </w:r>
      <w:r w:rsidRPr="00A8666A">
        <w:rPr>
          <w:rFonts w:ascii="Tahoma" w:hAnsi="Tahoma" w:cs="Tahoma"/>
          <w:sz w:val="19"/>
          <w:szCs w:val="19"/>
        </w:rPr>
        <w:t>ontratad</w:t>
      </w:r>
      <w:r>
        <w:rPr>
          <w:rFonts w:ascii="Tahoma" w:hAnsi="Tahoma" w:cs="Tahoma"/>
          <w:sz w:val="19"/>
          <w:szCs w:val="19"/>
        </w:rPr>
        <w:t>os</w:t>
      </w:r>
      <w:r w:rsidRPr="00A8666A">
        <w:rPr>
          <w:rFonts w:ascii="Tahoma" w:hAnsi="Tahoma" w:cs="Tahoma"/>
          <w:sz w:val="19"/>
          <w:szCs w:val="19"/>
        </w:rPr>
        <w:t xml:space="preserve"> em 2023</w:t>
      </w:r>
      <w:r>
        <w:rPr>
          <w:rFonts w:ascii="Tahoma" w:hAnsi="Tahoma" w:cs="Tahoma"/>
          <w:sz w:val="19"/>
          <w:szCs w:val="19"/>
        </w:rPr>
        <w:t>, quando os recursos que haviam ficado indisponíveis foram recompostos no orçamento do FNDCT em 2023.</w:t>
      </w:r>
    </w:p>
    <w:p w14:paraId="1F30B29C" w14:textId="6AF06229" w:rsidR="00EE3F40" w:rsidRDefault="00EE3F40" w:rsidP="00EE3F40">
      <w:pPr>
        <w:spacing w:before="120" w:after="120" w:line="360" w:lineRule="auto"/>
        <w:rPr>
          <w:rFonts w:ascii="Tahoma" w:hAnsi="Tahoma" w:cs="Tahoma"/>
          <w:sz w:val="19"/>
          <w:szCs w:val="19"/>
        </w:rPr>
      </w:pPr>
      <w:r>
        <w:rPr>
          <w:rFonts w:ascii="Tahoma" w:hAnsi="Tahoma" w:cs="Tahoma"/>
          <w:sz w:val="19"/>
          <w:szCs w:val="19"/>
        </w:rPr>
        <w:t xml:space="preserve">Essa recomposição, aprovada pelo Conselho Diretor do FNDCT, </w:t>
      </w:r>
      <w:r w:rsidRPr="00D950E7">
        <w:rPr>
          <w:rFonts w:ascii="Tahoma" w:hAnsi="Tahoma" w:cs="Tahoma"/>
          <w:sz w:val="19"/>
          <w:szCs w:val="19"/>
        </w:rPr>
        <w:t>atende</w:t>
      </w:r>
      <w:r>
        <w:rPr>
          <w:rFonts w:ascii="Tahoma" w:hAnsi="Tahoma" w:cs="Tahoma"/>
          <w:sz w:val="19"/>
          <w:szCs w:val="19"/>
        </w:rPr>
        <w:t xml:space="preserve">u a </w:t>
      </w:r>
      <w:r w:rsidRPr="00D950E7">
        <w:rPr>
          <w:rFonts w:ascii="Tahoma" w:hAnsi="Tahoma" w:cs="Tahoma"/>
          <w:sz w:val="19"/>
          <w:szCs w:val="19"/>
        </w:rPr>
        <w:t>propostas qualificadas em editais lançados no âmbito do</w:t>
      </w:r>
      <w:r w:rsidR="001A5E7D">
        <w:rPr>
          <w:rFonts w:ascii="Tahoma" w:hAnsi="Tahoma" w:cs="Tahoma"/>
          <w:sz w:val="19"/>
          <w:szCs w:val="19"/>
        </w:rPr>
        <w:t>s</w:t>
      </w:r>
      <w:r w:rsidRPr="00D950E7">
        <w:rPr>
          <w:rFonts w:ascii="Tahoma" w:hAnsi="Tahoma" w:cs="Tahoma"/>
          <w:sz w:val="19"/>
          <w:szCs w:val="19"/>
        </w:rPr>
        <w:t xml:space="preserve"> Plano</w:t>
      </w:r>
      <w:r w:rsidR="001A5E7D">
        <w:rPr>
          <w:rFonts w:ascii="Tahoma" w:hAnsi="Tahoma" w:cs="Tahoma"/>
          <w:sz w:val="19"/>
          <w:szCs w:val="19"/>
        </w:rPr>
        <w:t>s</w:t>
      </w:r>
      <w:r w:rsidRPr="00D950E7">
        <w:rPr>
          <w:rFonts w:ascii="Tahoma" w:hAnsi="Tahoma" w:cs="Tahoma"/>
          <w:sz w:val="19"/>
          <w:szCs w:val="19"/>
        </w:rPr>
        <w:t xml:space="preserve"> Anua</w:t>
      </w:r>
      <w:r w:rsidR="001A5E7D">
        <w:rPr>
          <w:rFonts w:ascii="Tahoma" w:hAnsi="Tahoma" w:cs="Tahoma"/>
          <w:sz w:val="19"/>
          <w:szCs w:val="19"/>
        </w:rPr>
        <w:t>is</w:t>
      </w:r>
      <w:r w:rsidRPr="00D950E7">
        <w:rPr>
          <w:rFonts w:ascii="Tahoma" w:hAnsi="Tahoma" w:cs="Tahoma"/>
          <w:sz w:val="19"/>
          <w:szCs w:val="19"/>
        </w:rPr>
        <w:t xml:space="preserve"> de Investimento </w:t>
      </w:r>
      <w:r w:rsidR="001A5E7D">
        <w:rPr>
          <w:rFonts w:ascii="Tahoma" w:hAnsi="Tahoma" w:cs="Tahoma"/>
          <w:sz w:val="19"/>
          <w:szCs w:val="19"/>
        </w:rPr>
        <w:t xml:space="preserve">de </w:t>
      </w:r>
      <w:r w:rsidRPr="00D950E7">
        <w:rPr>
          <w:rFonts w:ascii="Tahoma" w:hAnsi="Tahoma" w:cs="Tahoma"/>
          <w:sz w:val="19"/>
          <w:szCs w:val="19"/>
        </w:rPr>
        <w:t>2021 e 2022</w:t>
      </w:r>
      <w:r>
        <w:rPr>
          <w:rFonts w:ascii="Tahoma" w:hAnsi="Tahoma" w:cs="Tahoma"/>
          <w:sz w:val="19"/>
          <w:szCs w:val="19"/>
        </w:rPr>
        <w:t>.</w:t>
      </w:r>
    </w:p>
    <w:p w14:paraId="12BCD31B" w14:textId="77777777" w:rsidR="00EE3F40" w:rsidRDefault="00EE3F40" w:rsidP="00EE3F40">
      <w:pPr>
        <w:spacing w:before="120" w:after="120" w:line="360" w:lineRule="auto"/>
        <w:rPr>
          <w:rFonts w:ascii="Tahoma" w:hAnsi="Tahoma" w:cs="Tahoma"/>
          <w:sz w:val="19"/>
          <w:szCs w:val="19"/>
        </w:rPr>
      </w:pPr>
    </w:p>
    <w:p w14:paraId="5380A381" w14:textId="3D42164C" w:rsidR="0043145B" w:rsidRPr="008E2474" w:rsidRDefault="0043145B" w:rsidP="0043145B">
      <w:pPr>
        <w:spacing w:before="120" w:after="120" w:line="360" w:lineRule="auto"/>
        <w:rPr>
          <w:rFonts w:ascii="Tahoma" w:eastAsiaTheme="minorHAnsi" w:hAnsi="Tahoma" w:cs="Tahoma"/>
          <w:color w:val="0098BA"/>
          <w:sz w:val="19"/>
          <w:szCs w:val="19"/>
          <w:lang w:eastAsia="en-US"/>
        </w:rPr>
      </w:pPr>
      <w:r w:rsidRPr="008E2474">
        <w:rPr>
          <w:rFonts w:ascii="Tahoma" w:eastAsiaTheme="minorHAnsi" w:hAnsi="Tahoma" w:cs="Tahoma"/>
          <w:color w:val="0098BA"/>
          <w:sz w:val="19"/>
          <w:szCs w:val="19"/>
          <w:lang w:eastAsia="en-US"/>
        </w:rPr>
        <w:t>Chamada</w:t>
      </w:r>
      <w:r>
        <w:rPr>
          <w:rFonts w:ascii="Tahoma" w:eastAsiaTheme="minorHAnsi" w:hAnsi="Tahoma" w:cs="Tahoma"/>
          <w:color w:val="0098BA"/>
          <w:sz w:val="19"/>
          <w:szCs w:val="19"/>
          <w:lang w:eastAsia="en-US"/>
        </w:rPr>
        <w:t>s</w:t>
      </w:r>
      <w:r w:rsidRPr="008E2474">
        <w:rPr>
          <w:rFonts w:ascii="Tahoma" w:eastAsiaTheme="minorHAnsi" w:hAnsi="Tahoma" w:cs="Tahoma"/>
          <w:color w:val="0098BA"/>
          <w:sz w:val="19"/>
          <w:szCs w:val="19"/>
          <w:lang w:eastAsia="en-US"/>
        </w:rPr>
        <w:t xml:space="preserve"> públicas </w:t>
      </w:r>
      <w:r w:rsidR="00060359">
        <w:rPr>
          <w:rFonts w:ascii="Tahoma" w:eastAsiaTheme="minorHAnsi" w:hAnsi="Tahoma" w:cs="Tahoma"/>
          <w:color w:val="0098BA"/>
          <w:sz w:val="19"/>
          <w:szCs w:val="19"/>
          <w:lang w:eastAsia="en-US"/>
        </w:rPr>
        <w:t xml:space="preserve">lançadas em 2022 e </w:t>
      </w:r>
      <w:r w:rsidRPr="008E2474">
        <w:rPr>
          <w:rFonts w:ascii="Tahoma" w:eastAsiaTheme="minorHAnsi" w:hAnsi="Tahoma" w:cs="Tahoma"/>
          <w:color w:val="0098BA"/>
          <w:sz w:val="19"/>
          <w:szCs w:val="19"/>
          <w:lang w:eastAsia="en-US"/>
        </w:rPr>
        <w:t>finalizadas em 2023</w:t>
      </w:r>
      <w:r w:rsidR="00060359">
        <w:rPr>
          <w:rFonts w:ascii="Tahoma" w:eastAsiaTheme="minorHAnsi" w:hAnsi="Tahoma" w:cs="Tahoma"/>
          <w:color w:val="0098BA"/>
          <w:sz w:val="19"/>
          <w:szCs w:val="19"/>
          <w:lang w:eastAsia="en-US"/>
        </w:rPr>
        <w:t>,</w:t>
      </w:r>
      <w:r w:rsidR="00981288">
        <w:rPr>
          <w:rFonts w:ascii="Tahoma" w:eastAsiaTheme="minorHAnsi" w:hAnsi="Tahoma" w:cs="Tahoma"/>
          <w:color w:val="0098BA"/>
          <w:sz w:val="19"/>
          <w:szCs w:val="19"/>
          <w:lang w:eastAsia="en-US"/>
        </w:rPr>
        <w:t xml:space="preserve"> sem suplementação de recursos</w:t>
      </w:r>
    </w:p>
    <w:p w14:paraId="6046A0BF" w14:textId="08D823AD" w:rsidR="008E2474" w:rsidRPr="00851EC1" w:rsidRDefault="008E2474" w:rsidP="00851EC1">
      <w:pPr>
        <w:pStyle w:val="PargrafodaLista"/>
        <w:numPr>
          <w:ilvl w:val="0"/>
          <w:numId w:val="35"/>
        </w:numPr>
        <w:spacing w:before="120" w:after="120" w:line="360" w:lineRule="auto"/>
        <w:rPr>
          <w:rFonts w:ascii="Tahoma" w:hAnsi="Tahoma" w:cs="Tahoma"/>
          <w:sz w:val="19"/>
          <w:szCs w:val="19"/>
        </w:rPr>
      </w:pPr>
      <w:r w:rsidRPr="00851EC1">
        <w:rPr>
          <w:rFonts w:ascii="Tahoma" w:hAnsi="Tahoma" w:cs="Tahoma"/>
          <w:sz w:val="19"/>
          <w:szCs w:val="19"/>
        </w:rPr>
        <w:t>Energias renováveis</w:t>
      </w:r>
    </w:p>
    <w:p w14:paraId="1091A119" w14:textId="328CE48B" w:rsidR="008E2474" w:rsidRPr="008E2474" w:rsidRDefault="008E2474" w:rsidP="008E2474">
      <w:pPr>
        <w:spacing w:before="120" w:after="120" w:line="360" w:lineRule="auto"/>
        <w:rPr>
          <w:rFonts w:ascii="Tahoma" w:hAnsi="Tahoma" w:cs="Tahoma"/>
          <w:sz w:val="19"/>
          <w:szCs w:val="19"/>
        </w:rPr>
      </w:pPr>
      <w:r>
        <w:rPr>
          <w:rFonts w:ascii="Tahoma" w:hAnsi="Tahoma" w:cs="Tahoma"/>
          <w:sz w:val="19"/>
          <w:szCs w:val="19"/>
        </w:rPr>
        <w:t xml:space="preserve">Essa Chamada Pública, lançada em 2022, </w:t>
      </w:r>
      <w:r w:rsidRPr="008E2474">
        <w:rPr>
          <w:rFonts w:ascii="Tahoma" w:hAnsi="Tahoma" w:cs="Tahoma"/>
          <w:sz w:val="19"/>
          <w:szCs w:val="19"/>
        </w:rPr>
        <w:t xml:space="preserve">teve por objetivo financiar projetos que promovam o uso racional de energia elétrica e incentivem a adoção de fontes alternativas e sustentáveis de energia nas ICTs Públicas </w:t>
      </w:r>
      <w:r>
        <w:rPr>
          <w:rFonts w:ascii="Tahoma" w:hAnsi="Tahoma" w:cs="Tahoma"/>
          <w:sz w:val="19"/>
          <w:szCs w:val="19"/>
        </w:rPr>
        <w:t>(</w:t>
      </w:r>
      <w:r w:rsidRPr="008E2474">
        <w:rPr>
          <w:rFonts w:ascii="Tahoma" w:hAnsi="Tahoma" w:cs="Tahoma"/>
          <w:sz w:val="19"/>
          <w:szCs w:val="19"/>
        </w:rPr>
        <w:t xml:space="preserve">instituições científicas, tecnológicas, de inovação públicas federais, estaduais e municipais). </w:t>
      </w:r>
    </w:p>
    <w:p w14:paraId="66DA9D9B" w14:textId="1A810557" w:rsidR="006948FD" w:rsidRDefault="008E2474" w:rsidP="008E2474">
      <w:pPr>
        <w:spacing w:before="120" w:after="120" w:line="360" w:lineRule="auto"/>
        <w:rPr>
          <w:rFonts w:ascii="Tahoma" w:hAnsi="Tahoma" w:cs="Tahoma"/>
          <w:sz w:val="19"/>
          <w:szCs w:val="19"/>
        </w:rPr>
      </w:pPr>
      <w:r w:rsidRPr="008E2474">
        <w:rPr>
          <w:rFonts w:ascii="Tahoma" w:hAnsi="Tahoma" w:cs="Tahoma"/>
          <w:sz w:val="19"/>
          <w:szCs w:val="19"/>
        </w:rPr>
        <w:t xml:space="preserve">O resultado foi divulgado em </w:t>
      </w:r>
      <w:r w:rsidR="00C82556">
        <w:rPr>
          <w:rFonts w:ascii="Tahoma" w:hAnsi="Tahoma" w:cs="Tahoma"/>
          <w:sz w:val="19"/>
          <w:szCs w:val="19"/>
        </w:rPr>
        <w:t xml:space="preserve">abril de </w:t>
      </w:r>
      <w:r w:rsidRPr="008E2474">
        <w:rPr>
          <w:rFonts w:ascii="Tahoma" w:hAnsi="Tahoma" w:cs="Tahoma"/>
          <w:sz w:val="19"/>
          <w:szCs w:val="19"/>
        </w:rPr>
        <w:t>2023 com 15 propostas selecionadas</w:t>
      </w:r>
      <w:r w:rsidR="00C82556">
        <w:rPr>
          <w:rFonts w:ascii="Tahoma" w:hAnsi="Tahoma" w:cs="Tahoma"/>
          <w:sz w:val="19"/>
          <w:szCs w:val="19"/>
        </w:rPr>
        <w:t xml:space="preserve">, no valor de </w:t>
      </w:r>
      <w:r w:rsidR="00C82556" w:rsidRPr="00C82556">
        <w:rPr>
          <w:rFonts w:ascii="Tahoma" w:hAnsi="Tahoma" w:cs="Tahoma"/>
          <w:sz w:val="19"/>
          <w:szCs w:val="19"/>
        </w:rPr>
        <w:t>R$ 2.369.907,70</w:t>
      </w:r>
      <w:r w:rsidR="008A22B2">
        <w:rPr>
          <w:rFonts w:ascii="Tahoma" w:hAnsi="Tahoma" w:cs="Tahoma"/>
          <w:sz w:val="19"/>
          <w:szCs w:val="19"/>
        </w:rPr>
        <w:t>.</w:t>
      </w:r>
    </w:p>
    <w:p w14:paraId="208E001F" w14:textId="77777777" w:rsidR="006948FD" w:rsidRDefault="006948FD" w:rsidP="00AA1367">
      <w:pPr>
        <w:spacing w:before="120" w:after="120" w:line="360" w:lineRule="auto"/>
        <w:rPr>
          <w:rFonts w:ascii="Tahoma" w:hAnsi="Tahoma" w:cs="Tahoma"/>
          <w:sz w:val="19"/>
          <w:szCs w:val="19"/>
        </w:rPr>
      </w:pPr>
    </w:p>
    <w:p w14:paraId="45B113E0" w14:textId="51F8042F" w:rsidR="008F77A2" w:rsidRPr="008F77A2" w:rsidRDefault="008F77A2" w:rsidP="00851EC1">
      <w:pPr>
        <w:pStyle w:val="PargrafodaLista"/>
        <w:numPr>
          <w:ilvl w:val="0"/>
          <w:numId w:val="35"/>
        </w:numPr>
        <w:spacing w:before="120" w:after="120" w:line="360" w:lineRule="auto"/>
        <w:rPr>
          <w:rFonts w:ascii="Tahoma" w:hAnsi="Tahoma" w:cs="Tahoma"/>
          <w:sz w:val="19"/>
          <w:szCs w:val="19"/>
        </w:rPr>
      </w:pPr>
      <w:r w:rsidRPr="008F77A2">
        <w:rPr>
          <w:rFonts w:ascii="Tahoma" w:hAnsi="Tahoma" w:cs="Tahoma"/>
          <w:sz w:val="19"/>
          <w:szCs w:val="19"/>
        </w:rPr>
        <w:t>Praças da Ciência</w:t>
      </w:r>
    </w:p>
    <w:p w14:paraId="231A8BB0" w14:textId="737A0CA8" w:rsidR="006C2218" w:rsidRDefault="008F77A2" w:rsidP="008F77A2">
      <w:pPr>
        <w:spacing w:before="120" w:after="120" w:line="360" w:lineRule="auto"/>
        <w:rPr>
          <w:rFonts w:ascii="Tahoma" w:hAnsi="Tahoma" w:cs="Tahoma"/>
          <w:sz w:val="19"/>
          <w:szCs w:val="19"/>
        </w:rPr>
      </w:pPr>
      <w:r>
        <w:rPr>
          <w:rFonts w:ascii="Tahoma" w:hAnsi="Tahoma" w:cs="Tahoma"/>
          <w:sz w:val="19"/>
          <w:szCs w:val="19"/>
        </w:rPr>
        <w:t xml:space="preserve">Lançada em dezembro de </w:t>
      </w:r>
      <w:r w:rsidRPr="008F77A2">
        <w:rPr>
          <w:rFonts w:ascii="Tahoma" w:hAnsi="Tahoma" w:cs="Tahoma"/>
          <w:sz w:val="19"/>
          <w:szCs w:val="19"/>
        </w:rPr>
        <w:t>2022</w:t>
      </w:r>
      <w:r w:rsidR="006C2218">
        <w:rPr>
          <w:rFonts w:ascii="Tahoma" w:hAnsi="Tahoma" w:cs="Tahoma"/>
          <w:sz w:val="19"/>
          <w:szCs w:val="19"/>
        </w:rPr>
        <w:t>, esta chamada</w:t>
      </w:r>
      <w:r w:rsidRPr="008F77A2">
        <w:rPr>
          <w:rFonts w:ascii="Tahoma" w:hAnsi="Tahoma" w:cs="Tahoma"/>
          <w:sz w:val="19"/>
          <w:szCs w:val="19"/>
        </w:rPr>
        <w:t xml:space="preserve"> </w:t>
      </w:r>
      <w:r w:rsidR="006C2218">
        <w:rPr>
          <w:rFonts w:ascii="Tahoma" w:hAnsi="Tahoma" w:cs="Tahoma"/>
          <w:sz w:val="19"/>
          <w:szCs w:val="19"/>
        </w:rPr>
        <w:t>disponibilizou R$ 20 milhões no apoio a projetos</w:t>
      </w:r>
      <w:r w:rsidRPr="008F77A2">
        <w:rPr>
          <w:rFonts w:ascii="Tahoma" w:hAnsi="Tahoma" w:cs="Tahoma"/>
          <w:sz w:val="19"/>
          <w:szCs w:val="19"/>
        </w:rPr>
        <w:t xml:space="preserve"> de ICTs que promovam a implantação de Praças da Ciência em municípios de todas as regiões do Brasil</w:t>
      </w:r>
      <w:r w:rsidR="006C2218">
        <w:rPr>
          <w:rFonts w:ascii="Tahoma" w:hAnsi="Tahoma" w:cs="Tahoma"/>
          <w:sz w:val="19"/>
          <w:szCs w:val="19"/>
        </w:rPr>
        <w:t>. P</w:t>
      </w:r>
      <w:r w:rsidR="006C2218" w:rsidRPr="008F77A2">
        <w:rPr>
          <w:rFonts w:ascii="Tahoma" w:hAnsi="Tahoma" w:cs="Tahoma"/>
          <w:sz w:val="19"/>
          <w:szCs w:val="19"/>
        </w:rPr>
        <w:t xml:space="preserve">or intermédio </w:t>
      </w:r>
      <w:r w:rsidR="006C2218" w:rsidRPr="008F77A2">
        <w:rPr>
          <w:rFonts w:ascii="Tahoma" w:hAnsi="Tahoma" w:cs="Tahoma"/>
          <w:sz w:val="19"/>
          <w:szCs w:val="19"/>
        </w:rPr>
        <w:lastRenderedPageBreak/>
        <w:t>de projetos acessíveis, incentivando a formação de Parcerias Público Privadas,</w:t>
      </w:r>
      <w:r w:rsidR="006C2218">
        <w:rPr>
          <w:rFonts w:ascii="Tahoma" w:hAnsi="Tahoma" w:cs="Tahoma"/>
          <w:sz w:val="19"/>
          <w:szCs w:val="19"/>
        </w:rPr>
        <w:t xml:space="preserve"> iniciativas de</w:t>
      </w:r>
      <w:r w:rsidR="006C2218" w:rsidRPr="008F77A2">
        <w:rPr>
          <w:rFonts w:ascii="Tahoma" w:hAnsi="Tahoma" w:cs="Tahoma"/>
          <w:sz w:val="19"/>
          <w:szCs w:val="19"/>
        </w:rPr>
        <w:t xml:space="preserve"> baixo custo voltad</w:t>
      </w:r>
      <w:r w:rsidR="006C2218">
        <w:rPr>
          <w:rFonts w:ascii="Tahoma" w:hAnsi="Tahoma" w:cs="Tahoma"/>
          <w:sz w:val="19"/>
          <w:szCs w:val="19"/>
        </w:rPr>
        <w:t>a</w:t>
      </w:r>
      <w:r w:rsidR="006C2218" w:rsidRPr="008F77A2">
        <w:rPr>
          <w:rFonts w:ascii="Tahoma" w:hAnsi="Tahoma" w:cs="Tahoma"/>
          <w:sz w:val="19"/>
          <w:szCs w:val="19"/>
        </w:rPr>
        <w:t>s para crianças, jovens e adultos com ou sem deficiência</w:t>
      </w:r>
      <w:r w:rsidR="006C2218">
        <w:rPr>
          <w:rFonts w:ascii="Tahoma" w:hAnsi="Tahoma" w:cs="Tahoma"/>
          <w:sz w:val="19"/>
          <w:szCs w:val="19"/>
        </w:rPr>
        <w:t>,</w:t>
      </w:r>
      <w:r w:rsidR="006C2218" w:rsidRPr="008F77A2">
        <w:rPr>
          <w:rFonts w:ascii="Tahoma" w:hAnsi="Tahoma" w:cs="Tahoma"/>
          <w:sz w:val="19"/>
          <w:szCs w:val="19"/>
        </w:rPr>
        <w:t xml:space="preserve"> </w:t>
      </w:r>
      <w:r w:rsidR="006C2218">
        <w:rPr>
          <w:rFonts w:ascii="Tahoma" w:hAnsi="Tahoma" w:cs="Tahoma"/>
          <w:sz w:val="19"/>
          <w:szCs w:val="19"/>
        </w:rPr>
        <w:t xml:space="preserve">deverão </w:t>
      </w:r>
      <w:r w:rsidR="006C2218" w:rsidRPr="008F77A2">
        <w:rPr>
          <w:rFonts w:ascii="Tahoma" w:hAnsi="Tahoma" w:cs="Tahoma"/>
          <w:sz w:val="19"/>
          <w:szCs w:val="19"/>
        </w:rPr>
        <w:t>cria</w:t>
      </w:r>
      <w:r w:rsidR="006C2218">
        <w:rPr>
          <w:rFonts w:ascii="Tahoma" w:hAnsi="Tahoma" w:cs="Tahoma"/>
          <w:sz w:val="19"/>
          <w:szCs w:val="19"/>
        </w:rPr>
        <w:t>r</w:t>
      </w:r>
      <w:r w:rsidR="006C2218" w:rsidRPr="008F77A2">
        <w:rPr>
          <w:rFonts w:ascii="Tahoma" w:hAnsi="Tahoma" w:cs="Tahoma"/>
          <w:sz w:val="19"/>
          <w:szCs w:val="19"/>
        </w:rPr>
        <w:t xml:space="preserve"> espaços lúdicos e interativos que explorem temas de diferentes áreas do conhecimento, integrando a ciência aos brinquedos, levando as brincadeiras de criança ao mundo da ciência, educação ambiental, sustentabilidade e cidadania.</w:t>
      </w:r>
    </w:p>
    <w:p w14:paraId="149BE54D" w14:textId="15D8F8DB" w:rsidR="006948FD" w:rsidRDefault="008F77A2" w:rsidP="00AA1367">
      <w:pPr>
        <w:spacing w:before="120" w:after="120" w:line="360" w:lineRule="auto"/>
        <w:rPr>
          <w:rFonts w:ascii="Tahoma" w:hAnsi="Tahoma" w:cs="Tahoma"/>
          <w:sz w:val="19"/>
          <w:szCs w:val="19"/>
        </w:rPr>
      </w:pPr>
      <w:r w:rsidRPr="008F77A2">
        <w:rPr>
          <w:rFonts w:ascii="Tahoma" w:hAnsi="Tahoma" w:cs="Tahoma"/>
          <w:sz w:val="19"/>
          <w:szCs w:val="19"/>
        </w:rPr>
        <w:t xml:space="preserve">O resultado </w:t>
      </w:r>
      <w:r w:rsidR="006C2218">
        <w:rPr>
          <w:rFonts w:ascii="Tahoma" w:hAnsi="Tahoma" w:cs="Tahoma"/>
          <w:sz w:val="19"/>
          <w:szCs w:val="19"/>
        </w:rPr>
        <w:t>da chamada f</w:t>
      </w:r>
      <w:r w:rsidRPr="008F77A2">
        <w:rPr>
          <w:rFonts w:ascii="Tahoma" w:hAnsi="Tahoma" w:cs="Tahoma"/>
          <w:sz w:val="19"/>
          <w:szCs w:val="19"/>
        </w:rPr>
        <w:t xml:space="preserve">oi divulgado em </w:t>
      </w:r>
      <w:r w:rsidR="00C82556">
        <w:rPr>
          <w:rFonts w:ascii="Tahoma" w:hAnsi="Tahoma" w:cs="Tahoma"/>
          <w:sz w:val="19"/>
          <w:szCs w:val="19"/>
        </w:rPr>
        <w:t xml:space="preserve">setembro de </w:t>
      </w:r>
      <w:r w:rsidRPr="008F77A2">
        <w:rPr>
          <w:rFonts w:ascii="Tahoma" w:hAnsi="Tahoma" w:cs="Tahoma"/>
          <w:sz w:val="19"/>
          <w:szCs w:val="19"/>
        </w:rPr>
        <w:t>2023.</w:t>
      </w:r>
      <w:r w:rsidR="00716AAC">
        <w:rPr>
          <w:rFonts w:ascii="Tahoma" w:hAnsi="Tahoma" w:cs="Tahoma"/>
          <w:sz w:val="19"/>
          <w:szCs w:val="19"/>
        </w:rPr>
        <w:t xml:space="preserve"> Recebemos e </w:t>
      </w:r>
      <w:r w:rsidR="00C82556">
        <w:rPr>
          <w:rFonts w:ascii="Tahoma" w:hAnsi="Tahoma" w:cs="Tahoma"/>
          <w:sz w:val="19"/>
          <w:szCs w:val="19"/>
        </w:rPr>
        <w:t>avaliamos</w:t>
      </w:r>
      <w:r w:rsidR="00716AAC">
        <w:rPr>
          <w:rFonts w:ascii="Tahoma" w:hAnsi="Tahoma" w:cs="Tahoma"/>
          <w:sz w:val="19"/>
          <w:szCs w:val="19"/>
        </w:rPr>
        <w:t xml:space="preserve"> 87 propostas, das quais foram aprovadas 30, no valor de R$ </w:t>
      </w:r>
      <w:r w:rsidR="00C82556" w:rsidRPr="00C82556">
        <w:rPr>
          <w:rFonts w:ascii="Tahoma" w:hAnsi="Tahoma" w:cs="Tahoma"/>
          <w:sz w:val="19"/>
          <w:szCs w:val="19"/>
        </w:rPr>
        <w:t>R$ 11.117.002,94</w:t>
      </w:r>
      <w:r w:rsidR="00716AAC">
        <w:rPr>
          <w:rFonts w:ascii="Tahoma" w:hAnsi="Tahoma" w:cs="Tahoma"/>
          <w:sz w:val="19"/>
          <w:szCs w:val="19"/>
        </w:rPr>
        <w:t>.</w:t>
      </w:r>
    </w:p>
    <w:p w14:paraId="5009B27B" w14:textId="77777777" w:rsidR="00A81BF7" w:rsidRDefault="00A81BF7" w:rsidP="00AA1367">
      <w:pPr>
        <w:spacing w:before="120" w:after="120" w:line="360" w:lineRule="auto"/>
        <w:rPr>
          <w:rFonts w:ascii="Tahoma" w:hAnsi="Tahoma" w:cs="Tahoma"/>
          <w:sz w:val="19"/>
          <w:szCs w:val="19"/>
        </w:rPr>
      </w:pPr>
    </w:p>
    <w:p w14:paraId="17866875" w14:textId="4D2BE090" w:rsidR="00981288" w:rsidRPr="008E2474" w:rsidRDefault="00981288" w:rsidP="00981288">
      <w:pPr>
        <w:spacing w:before="120" w:after="120" w:line="360" w:lineRule="auto"/>
        <w:rPr>
          <w:rFonts w:ascii="Tahoma" w:eastAsiaTheme="minorHAnsi" w:hAnsi="Tahoma" w:cs="Tahoma"/>
          <w:color w:val="0098BA"/>
          <w:sz w:val="19"/>
          <w:szCs w:val="19"/>
          <w:lang w:eastAsia="en-US"/>
        </w:rPr>
      </w:pPr>
      <w:r w:rsidRPr="008E2474">
        <w:rPr>
          <w:rFonts w:ascii="Tahoma" w:eastAsiaTheme="minorHAnsi" w:hAnsi="Tahoma" w:cs="Tahoma"/>
          <w:color w:val="0098BA"/>
          <w:sz w:val="19"/>
          <w:szCs w:val="19"/>
          <w:lang w:eastAsia="en-US"/>
        </w:rPr>
        <w:t>Chamada</w:t>
      </w:r>
      <w:r>
        <w:rPr>
          <w:rFonts w:ascii="Tahoma" w:eastAsiaTheme="minorHAnsi" w:hAnsi="Tahoma" w:cs="Tahoma"/>
          <w:color w:val="0098BA"/>
          <w:sz w:val="19"/>
          <w:szCs w:val="19"/>
          <w:lang w:eastAsia="en-US"/>
        </w:rPr>
        <w:t>s</w:t>
      </w:r>
      <w:r w:rsidRPr="008E2474">
        <w:rPr>
          <w:rFonts w:ascii="Tahoma" w:eastAsiaTheme="minorHAnsi" w:hAnsi="Tahoma" w:cs="Tahoma"/>
          <w:color w:val="0098BA"/>
          <w:sz w:val="19"/>
          <w:szCs w:val="19"/>
          <w:lang w:eastAsia="en-US"/>
        </w:rPr>
        <w:t xml:space="preserve"> públicas finalizadas em 2023</w:t>
      </w:r>
      <w:r w:rsidR="00060359">
        <w:rPr>
          <w:rFonts w:ascii="Tahoma" w:eastAsiaTheme="minorHAnsi" w:hAnsi="Tahoma" w:cs="Tahoma"/>
          <w:color w:val="0098BA"/>
          <w:sz w:val="19"/>
          <w:szCs w:val="19"/>
          <w:lang w:eastAsia="en-US"/>
        </w:rPr>
        <w:t>,</w:t>
      </w:r>
      <w:r>
        <w:rPr>
          <w:rFonts w:ascii="Tahoma" w:eastAsiaTheme="minorHAnsi" w:hAnsi="Tahoma" w:cs="Tahoma"/>
          <w:color w:val="0098BA"/>
          <w:sz w:val="19"/>
          <w:szCs w:val="19"/>
          <w:lang w:eastAsia="en-US"/>
        </w:rPr>
        <w:t xml:space="preserve"> com suplementação de recursos</w:t>
      </w:r>
    </w:p>
    <w:tbl>
      <w:tblPr>
        <w:tblW w:w="8861" w:type="dxa"/>
        <w:jc w:val="center"/>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left w:w="0" w:type="dxa"/>
          <w:right w:w="0" w:type="dxa"/>
        </w:tblCellMar>
        <w:tblLook w:val="0600" w:firstRow="0" w:lastRow="0" w:firstColumn="0" w:lastColumn="0" w:noHBand="1" w:noVBand="1"/>
      </w:tblPr>
      <w:tblGrid>
        <w:gridCol w:w="4108"/>
        <w:gridCol w:w="2555"/>
        <w:gridCol w:w="2198"/>
      </w:tblGrid>
      <w:tr w:rsidR="0043145B" w:rsidRPr="00893839" w14:paraId="4B5E659C" w14:textId="77777777" w:rsidTr="00145E5A">
        <w:trPr>
          <w:trHeight w:val="397"/>
          <w:tblHeader/>
          <w:jc w:val="center"/>
        </w:trPr>
        <w:tc>
          <w:tcPr>
            <w:tcW w:w="4108" w:type="dxa"/>
            <w:shd w:val="clear" w:color="auto" w:fill="0098BA"/>
            <w:tcMar>
              <w:top w:w="12" w:type="dxa"/>
              <w:left w:w="12" w:type="dxa"/>
              <w:bottom w:w="0" w:type="dxa"/>
              <w:right w:w="12" w:type="dxa"/>
            </w:tcMar>
            <w:vAlign w:val="center"/>
            <w:hideMark/>
          </w:tcPr>
          <w:p w14:paraId="7FF39C6A" w14:textId="7929C928" w:rsidR="0043145B" w:rsidRPr="00893839" w:rsidRDefault="0043145B" w:rsidP="00097EE2">
            <w:pPr>
              <w:jc w:val="center"/>
              <w:rPr>
                <w:rFonts w:ascii="Tahoma" w:hAnsi="Tahoma" w:cs="Tahoma"/>
                <w:color w:val="FFFFFF" w:themeColor="background1"/>
                <w:sz w:val="18"/>
                <w:szCs w:val="18"/>
              </w:rPr>
            </w:pPr>
            <w:r w:rsidRPr="00893839">
              <w:rPr>
                <w:rFonts w:ascii="Tahoma" w:hAnsi="Tahoma" w:cs="Tahoma"/>
                <w:color w:val="FFFFFF" w:themeColor="background1"/>
                <w:sz w:val="18"/>
                <w:szCs w:val="18"/>
              </w:rPr>
              <w:t>Chamada Púb</w:t>
            </w:r>
            <w:r w:rsidR="00060359" w:rsidRPr="00893839">
              <w:rPr>
                <w:rFonts w:ascii="Tahoma" w:hAnsi="Tahoma" w:cs="Tahoma"/>
                <w:color w:val="FFFFFF" w:themeColor="background1"/>
                <w:sz w:val="18"/>
                <w:szCs w:val="18"/>
              </w:rPr>
              <w:t>l</w:t>
            </w:r>
            <w:r w:rsidRPr="00893839">
              <w:rPr>
                <w:rFonts w:ascii="Tahoma" w:hAnsi="Tahoma" w:cs="Tahoma"/>
                <w:color w:val="FFFFFF" w:themeColor="background1"/>
                <w:sz w:val="18"/>
                <w:szCs w:val="18"/>
              </w:rPr>
              <w:t>ica</w:t>
            </w:r>
          </w:p>
        </w:tc>
        <w:tc>
          <w:tcPr>
            <w:tcW w:w="2555" w:type="dxa"/>
            <w:shd w:val="clear" w:color="auto" w:fill="0098BA"/>
            <w:tcMar>
              <w:top w:w="12" w:type="dxa"/>
              <w:left w:w="12" w:type="dxa"/>
              <w:bottom w:w="0" w:type="dxa"/>
              <w:right w:w="12" w:type="dxa"/>
            </w:tcMar>
            <w:vAlign w:val="center"/>
            <w:hideMark/>
          </w:tcPr>
          <w:p w14:paraId="3FC48D5D" w14:textId="77777777" w:rsidR="0043145B" w:rsidRPr="00893839" w:rsidRDefault="0043145B" w:rsidP="00097EE2">
            <w:pPr>
              <w:jc w:val="center"/>
              <w:rPr>
                <w:rFonts w:ascii="Tahoma" w:hAnsi="Tahoma" w:cs="Tahoma"/>
                <w:color w:val="FFFFFF" w:themeColor="background1"/>
                <w:sz w:val="18"/>
                <w:szCs w:val="18"/>
              </w:rPr>
            </w:pPr>
            <w:r w:rsidRPr="00893839">
              <w:rPr>
                <w:rFonts w:ascii="Tahoma" w:hAnsi="Tahoma" w:cs="Tahoma"/>
                <w:color w:val="FFFFFF" w:themeColor="background1"/>
                <w:sz w:val="18"/>
                <w:szCs w:val="18"/>
              </w:rPr>
              <w:t>Valor suplementado (R$)</w:t>
            </w:r>
          </w:p>
        </w:tc>
        <w:tc>
          <w:tcPr>
            <w:tcW w:w="2198" w:type="dxa"/>
            <w:shd w:val="clear" w:color="auto" w:fill="0098BA"/>
            <w:tcMar>
              <w:top w:w="12" w:type="dxa"/>
              <w:left w:w="12" w:type="dxa"/>
              <w:bottom w:w="0" w:type="dxa"/>
              <w:right w:w="12" w:type="dxa"/>
            </w:tcMar>
            <w:vAlign w:val="center"/>
            <w:hideMark/>
          </w:tcPr>
          <w:p w14:paraId="726FF030" w14:textId="77777777" w:rsidR="0043145B" w:rsidRPr="00893839" w:rsidRDefault="0043145B" w:rsidP="00097EE2">
            <w:pPr>
              <w:jc w:val="center"/>
              <w:rPr>
                <w:rFonts w:ascii="Tahoma" w:hAnsi="Tahoma" w:cs="Tahoma"/>
                <w:color w:val="FFFFFF" w:themeColor="background1"/>
                <w:sz w:val="18"/>
                <w:szCs w:val="18"/>
              </w:rPr>
            </w:pPr>
            <w:r w:rsidRPr="00893839">
              <w:rPr>
                <w:rFonts w:ascii="Tahoma" w:hAnsi="Tahoma" w:cs="Tahoma"/>
                <w:color w:val="FFFFFF" w:themeColor="background1"/>
                <w:sz w:val="18"/>
                <w:szCs w:val="18"/>
              </w:rPr>
              <w:t>Número de projetos</w:t>
            </w:r>
          </w:p>
        </w:tc>
      </w:tr>
      <w:tr w:rsidR="00060359" w:rsidRPr="00893839" w14:paraId="4246E333" w14:textId="77777777" w:rsidTr="00145E5A">
        <w:trPr>
          <w:trHeight w:val="283"/>
          <w:jc w:val="center"/>
        </w:trPr>
        <w:tc>
          <w:tcPr>
            <w:tcW w:w="4108" w:type="dxa"/>
            <w:shd w:val="clear" w:color="auto" w:fill="auto"/>
            <w:tcMar>
              <w:top w:w="12" w:type="dxa"/>
              <w:left w:w="12" w:type="dxa"/>
              <w:bottom w:w="0" w:type="dxa"/>
              <w:right w:w="12" w:type="dxa"/>
            </w:tcMar>
            <w:vAlign w:val="center"/>
            <w:hideMark/>
          </w:tcPr>
          <w:p w14:paraId="21BB25E7" w14:textId="399722EA" w:rsidR="00060359" w:rsidRPr="00893839" w:rsidRDefault="00060359" w:rsidP="00097EE2">
            <w:pPr>
              <w:rPr>
                <w:rFonts w:ascii="Tahoma" w:hAnsi="Tahoma" w:cs="Tahoma"/>
                <w:bCs/>
                <w:sz w:val="18"/>
                <w:szCs w:val="18"/>
              </w:rPr>
            </w:pPr>
            <w:r w:rsidRPr="00893839">
              <w:rPr>
                <w:rFonts w:ascii="Tahoma" w:hAnsi="Tahoma" w:cs="Tahoma"/>
                <w:bCs/>
                <w:sz w:val="18"/>
                <w:szCs w:val="18"/>
              </w:rPr>
              <w:t>Parques tecnológicos</w:t>
            </w:r>
          </w:p>
        </w:tc>
        <w:tc>
          <w:tcPr>
            <w:tcW w:w="2555" w:type="dxa"/>
            <w:shd w:val="clear" w:color="auto" w:fill="auto"/>
            <w:tcMar>
              <w:top w:w="12" w:type="dxa"/>
              <w:left w:w="12" w:type="dxa"/>
              <w:bottom w:w="0" w:type="dxa"/>
              <w:right w:w="12" w:type="dxa"/>
            </w:tcMar>
            <w:vAlign w:val="center"/>
          </w:tcPr>
          <w:p w14:paraId="23A9D175" w14:textId="77777777" w:rsidR="00060359" w:rsidRPr="00893839" w:rsidRDefault="00060359" w:rsidP="00097EE2">
            <w:pPr>
              <w:jc w:val="right"/>
              <w:rPr>
                <w:rFonts w:ascii="Tahoma" w:hAnsi="Tahoma" w:cs="Tahoma"/>
                <w:bCs/>
                <w:sz w:val="18"/>
                <w:szCs w:val="18"/>
              </w:rPr>
            </w:pPr>
            <w:r w:rsidRPr="00893839">
              <w:rPr>
                <w:rFonts w:ascii="Tahoma" w:hAnsi="Tahoma" w:cs="Tahoma"/>
                <w:bCs/>
                <w:sz w:val="18"/>
                <w:szCs w:val="18"/>
              </w:rPr>
              <w:t>240.829.067,21</w:t>
            </w:r>
          </w:p>
        </w:tc>
        <w:tc>
          <w:tcPr>
            <w:tcW w:w="2198" w:type="dxa"/>
            <w:shd w:val="clear" w:color="auto" w:fill="auto"/>
            <w:tcMar>
              <w:top w:w="12" w:type="dxa"/>
              <w:left w:w="12" w:type="dxa"/>
              <w:bottom w:w="0" w:type="dxa"/>
              <w:right w:w="12" w:type="dxa"/>
            </w:tcMar>
            <w:vAlign w:val="center"/>
          </w:tcPr>
          <w:p w14:paraId="44D5345E" w14:textId="77777777" w:rsidR="00060359" w:rsidRPr="00893839" w:rsidRDefault="00060359" w:rsidP="00097EE2">
            <w:pPr>
              <w:jc w:val="center"/>
              <w:rPr>
                <w:rFonts w:ascii="Tahoma" w:hAnsi="Tahoma" w:cs="Tahoma"/>
                <w:bCs/>
                <w:sz w:val="18"/>
                <w:szCs w:val="18"/>
              </w:rPr>
            </w:pPr>
            <w:r w:rsidRPr="00893839">
              <w:rPr>
                <w:rFonts w:ascii="Tahoma" w:hAnsi="Tahoma" w:cs="Tahoma"/>
                <w:bCs/>
                <w:sz w:val="18"/>
                <w:szCs w:val="18"/>
              </w:rPr>
              <w:t>19</w:t>
            </w:r>
          </w:p>
        </w:tc>
      </w:tr>
      <w:tr w:rsidR="00060359" w:rsidRPr="00893839" w14:paraId="331CF328" w14:textId="77777777" w:rsidTr="00145E5A">
        <w:trPr>
          <w:trHeight w:val="283"/>
          <w:jc w:val="center"/>
        </w:trPr>
        <w:tc>
          <w:tcPr>
            <w:tcW w:w="4108" w:type="dxa"/>
            <w:shd w:val="clear" w:color="auto" w:fill="auto"/>
            <w:tcMar>
              <w:top w:w="12" w:type="dxa"/>
              <w:left w:w="12" w:type="dxa"/>
              <w:bottom w:w="0" w:type="dxa"/>
              <w:right w:w="12" w:type="dxa"/>
            </w:tcMar>
            <w:vAlign w:val="center"/>
            <w:hideMark/>
          </w:tcPr>
          <w:p w14:paraId="3486E854" w14:textId="77777777" w:rsidR="00060359" w:rsidRPr="00893839" w:rsidRDefault="00060359" w:rsidP="00097EE2">
            <w:pPr>
              <w:rPr>
                <w:rFonts w:ascii="Tahoma" w:hAnsi="Tahoma" w:cs="Tahoma"/>
                <w:bCs/>
                <w:sz w:val="18"/>
                <w:szCs w:val="18"/>
              </w:rPr>
            </w:pPr>
            <w:r w:rsidRPr="00893839">
              <w:rPr>
                <w:rFonts w:ascii="Tahoma" w:hAnsi="Tahoma" w:cs="Tahoma"/>
                <w:bCs/>
                <w:sz w:val="18"/>
                <w:szCs w:val="18"/>
              </w:rPr>
              <w:t>Centros de inovação</w:t>
            </w:r>
          </w:p>
        </w:tc>
        <w:tc>
          <w:tcPr>
            <w:tcW w:w="2555" w:type="dxa"/>
            <w:shd w:val="clear" w:color="auto" w:fill="auto"/>
            <w:tcMar>
              <w:top w:w="12" w:type="dxa"/>
              <w:left w:w="12" w:type="dxa"/>
              <w:bottom w:w="0" w:type="dxa"/>
              <w:right w:w="12" w:type="dxa"/>
            </w:tcMar>
            <w:vAlign w:val="center"/>
          </w:tcPr>
          <w:p w14:paraId="368BBF53" w14:textId="77777777" w:rsidR="00060359" w:rsidRPr="00893839" w:rsidRDefault="00060359" w:rsidP="00097EE2">
            <w:pPr>
              <w:jc w:val="right"/>
              <w:rPr>
                <w:rFonts w:ascii="Tahoma" w:hAnsi="Tahoma" w:cs="Tahoma"/>
                <w:bCs/>
                <w:sz w:val="18"/>
                <w:szCs w:val="18"/>
              </w:rPr>
            </w:pPr>
            <w:r w:rsidRPr="00893839">
              <w:rPr>
                <w:rFonts w:ascii="Tahoma" w:hAnsi="Tahoma" w:cs="Tahoma"/>
                <w:bCs/>
                <w:sz w:val="18"/>
                <w:szCs w:val="18"/>
              </w:rPr>
              <w:t>34.113.648,49</w:t>
            </w:r>
          </w:p>
        </w:tc>
        <w:tc>
          <w:tcPr>
            <w:tcW w:w="2198" w:type="dxa"/>
            <w:shd w:val="clear" w:color="auto" w:fill="auto"/>
            <w:tcMar>
              <w:top w:w="12" w:type="dxa"/>
              <w:left w:w="12" w:type="dxa"/>
              <w:bottom w:w="0" w:type="dxa"/>
              <w:right w:w="12" w:type="dxa"/>
            </w:tcMar>
            <w:vAlign w:val="center"/>
          </w:tcPr>
          <w:p w14:paraId="2A37A0B4" w14:textId="77777777" w:rsidR="00060359" w:rsidRPr="00893839" w:rsidRDefault="00060359" w:rsidP="00097EE2">
            <w:pPr>
              <w:jc w:val="center"/>
              <w:rPr>
                <w:rFonts w:ascii="Tahoma" w:hAnsi="Tahoma" w:cs="Tahoma"/>
                <w:bCs/>
                <w:sz w:val="18"/>
                <w:szCs w:val="18"/>
              </w:rPr>
            </w:pPr>
            <w:r w:rsidRPr="00893839">
              <w:rPr>
                <w:rFonts w:ascii="Tahoma" w:hAnsi="Tahoma" w:cs="Tahoma"/>
                <w:bCs/>
                <w:sz w:val="18"/>
                <w:szCs w:val="18"/>
              </w:rPr>
              <w:t>8</w:t>
            </w:r>
          </w:p>
        </w:tc>
      </w:tr>
      <w:tr w:rsidR="00981288" w:rsidRPr="00893839" w14:paraId="23CD44A9" w14:textId="77777777" w:rsidTr="00145E5A">
        <w:trPr>
          <w:trHeight w:val="283"/>
          <w:jc w:val="center"/>
        </w:trPr>
        <w:tc>
          <w:tcPr>
            <w:tcW w:w="4108" w:type="dxa"/>
            <w:shd w:val="clear" w:color="auto" w:fill="auto"/>
            <w:tcMar>
              <w:top w:w="12" w:type="dxa"/>
              <w:left w:w="12" w:type="dxa"/>
              <w:bottom w:w="0" w:type="dxa"/>
              <w:right w:w="12" w:type="dxa"/>
            </w:tcMar>
            <w:vAlign w:val="center"/>
            <w:hideMark/>
          </w:tcPr>
          <w:p w14:paraId="6289EADA" w14:textId="77777777" w:rsidR="00981288" w:rsidRPr="00893839" w:rsidRDefault="00981288" w:rsidP="00097EE2">
            <w:pPr>
              <w:rPr>
                <w:rFonts w:ascii="Tahoma" w:hAnsi="Tahoma" w:cs="Tahoma"/>
                <w:bCs/>
                <w:sz w:val="18"/>
                <w:szCs w:val="18"/>
              </w:rPr>
            </w:pPr>
            <w:r w:rsidRPr="00893839">
              <w:rPr>
                <w:rFonts w:ascii="Tahoma" w:hAnsi="Tahoma" w:cs="Tahoma"/>
                <w:bCs/>
                <w:sz w:val="18"/>
                <w:szCs w:val="18"/>
              </w:rPr>
              <w:t>Tecnologia assistiva</w:t>
            </w:r>
          </w:p>
        </w:tc>
        <w:tc>
          <w:tcPr>
            <w:tcW w:w="2555" w:type="dxa"/>
            <w:shd w:val="clear" w:color="auto" w:fill="auto"/>
            <w:tcMar>
              <w:top w:w="12" w:type="dxa"/>
              <w:left w:w="12" w:type="dxa"/>
              <w:bottom w:w="0" w:type="dxa"/>
              <w:right w:w="12" w:type="dxa"/>
            </w:tcMar>
            <w:vAlign w:val="center"/>
          </w:tcPr>
          <w:p w14:paraId="6003A095" w14:textId="77777777" w:rsidR="00981288" w:rsidRPr="00893839" w:rsidRDefault="00981288" w:rsidP="00097EE2">
            <w:pPr>
              <w:jc w:val="right"/>
              <w:rPr>
                <w:rFonts w:ascii="Tahoma" w:hAnsi="Tahoma" w:cs="Tahoma"/>
                <w:bCs/>
                <w:sz w:val="18"/>
                <w:szCs w:val="18"/>
              </w:rPr>
            </w:pPr>
            <w:r w:rsidRPr="00893839">
              <w:rPr>
                <w:rFonts w:ascii="Tahoma" w:hAnsi="Tahoma" w:cs="Tahoma"/>
                <w:bCs/>
                <w:sz w:val="18"/>
                <w:szCs w:val="18"/>
              </w:rPr>
              <w:t>23.248.288,92</w:t>
            </w:r>
          </w:p>
        </w:tc>
        <w:tc>
          <w:tcPr>
            <w:tcW w:w="2198" w:type="dxa"/>
            <w:shd w:val="clear" w:color="auto" w:fill="auto"/>
            <w:tcMar>
              <w:top w:w="12" w:type="dxa"/>
              <w:left w:w="12" w:type="dxa"/>
              <w:bottom w:w="0" w:type="dxa"/>
              <w:right w:w="12" w:type="dxa"/>
            </w:tcMar>
            <w:vAlign w:val="center"/>
          </w:tcPr>
          <w:p w14:paraId="063469D8" w14:textId="77777777" w:rsidR="00981288" w:rsidRPr="00893839" w:rsidRDefault="00981288" w:rsidP="00097EE2">
            <w:pPr>
              <w:jc w:val="center"/>
              <w:rPr>
                <w:rFonts w:ascii="Tahoma" w:hAnsi="Tahoma" w:cs="Tahoma"/>
                <w:bCs/>
                <w:sz w:val="18"/>
                <w:szCs w:val="18"/>
              </w:rPr>
            </w:pPr>
            <w:r w:rsidRPr="00893839">
              <w:rPr>
                <w:rFonts w:ascii="Tahoma" w:hAnsi="Tahoma" w:cs="Tahoma"/>
                <w:bCs/>
                <w:sz w:val="18"/>
                <w:szCs w:val="18"/>
              </w:rPr>
              <w:t>9</w:t>
            </w:r>
          </w:p>
        </w:tc>
      </w:tr>
      <w:tr w:rsidR="00981288" w:rsidRPr="00893839" w14:paraId="2046676C" w14:textId="77777777" w:rsidTr="00145E5A">
        <w:trPr>
          <w:trHeight w:val="283"/>
          <w:jc w:val="center"/>
        </w:trPr>
        <w:tc>
          <w:tcPr>
            <w:tcW w:w="4108" w:type="dxa"/>
            <w:shd w:val="clear" w:color="auto" w:fill="auto"/>
            <w:tcMar>
              <w:top w:w="12" w:type="dxa"/>
              <w:left w:w="12" w:type="dxa"/>
              <w:bottom w:w="0" w:type="dxa"/>
              <w:right w:w="12" w:type="dxa"/>
            </w:tcMar>
            <w:vAlign w:val="center"/>
            <w:hideMark/>
          </w:tcPr>
          <w:p w14:paraId="0725C4F6" w14:textId="77777777" w:rsidR="00981288" w:rsidRPr="00893839" w:rsidRDefault="00981288" w:rsidP="00097EE2">
            <w:pPr>
              <w:rPr>
                <w:rFonts w:ascii="Tahoma" w:hAnsi="Tahoma" w:cs="Tahoma"/>
                <w:bCs/>
                <w:sz w:val="18"/>
                <w:szCs w:val="18"/>
              </w:rPr>
            </w:pPr>
            <w:r w:rsidRPr="00893839">
              <w:rPr>
                <w:rFonts w:ascii="Tahoma" w:hAnsi="Tahoma" w:cs="Tahoma"/>
                <w:bCs/>
                <w:sz w:val="18"/>
                <w:szCs w:val="18"/>
              </w:rPr>
              <w:t>Recursos hídricos</w:t>
            </w:r>
          </w:p>
        </w:tc>
        <w:tc>
          <w:tcPr>
            <w:tcW w:w="2555" w:type="dxa"/>
            <w:shd w:val="clear" w:color="auto" w:fill="auto"/>
            <w:tcMar>
              <w:top w:w="12" w:type="dxa"/>
              <w:left w:w="12" w:type="dxa"/>
              <w:bottom w:w="0" w:type="dxa"/>
              <w:right w:w="12" w:type="dxa"/>
            </w:tcMar>
            <w:vAlign w:val="center"/>
          </w:tcPr>
          <w:p w14:paraId="4F01C2D2" w14:textId="77777777" w:rsidR="00981288" w:rsidRPr="00893839" w:rsidRDefault="00981288" w:rsidP="00097EE2">
            <w:pPr>
              <w:jc w:val="right"/>
              <w:rPr>
                <w:rFonts w:ascii="Tahoma" w:hAnsi="Tahoma" w:cs="Tahoma"/>
                <w:bCs/>
                <w:sz w:val="18"/>
                <w:szCs w:val="18"/>
              </w:rPr>
            </w:pPr>
            <w:r w:rsidRPr="00893839">
              <w:rPr>
                <w:rFonts w:ascii="Tahoma" w:hAnsi="Tahoma" w:cs="Tahoma"/>
                <w:bCs/>
                <w:sz w:val="18"/>
                <w:szCs w:val="18"/>
              </w:rPr>
              <w:t>8.766.725,72</w:t>
            </w:r>
          </w:p>
        </w:tc>
        <w:tc>
          <w:tcPr>
            <w:tcW w:w="2198" w:type="dxa"/>
            <w:shd w:val="clear" w:color="auto" w:fill="auto"/>
            <w:tcMar>
              <w:top w:w="12" w:type="dxa"/>
              <w:left w:w="12" w:type="dxa"/>
              <w:bottom w:w="0" w:type="dxa"/>
              <w:right w:w="12" w:type="dxa"/>
            </w:tcMar>
            <w:vAlign w:val="center"/>
          </w:tcPr>
          <w:p w14:paraId="119BC7A3" w14:textId="77777777" w:rsidR="00981288" w:rsidRPr="00893839" w:rsidRDefault="00981288" w:rsidP="00097EE2">
            <w:pPr>
              <w:jc w:val="center"/>
              <w:rPr>
                <w:rFonts w:ascii="Tahoma" w:hAnsi="Tahoma" w:cs="Tahoma"/>
                <w:bCs/>
                <w:sz w:val="18"/>
                <w:szCs w:val="18"/>
              </w:rPr>
            </w:pPr>
            <w:r w:rsidRPr="00893839">
              <w:rPr>
                <w:rFonts w:ascii="Tahoma" w:hAnsi="Tahoma" w:cs="Tahoma"/>
                <w:bCs/>
                <w:sz w:val="18"/>
                <w:szCs w:val="18"/>
              </w:rPr>
              <w:t>8</w:t>
            </w:r>
          </w:p>
        </w:tc>
      </w:tr>
      <w:tr w:rsidR="00981288" w:rsidRPr="00893839" w14:paraId="1EAF6382" w14:textId="77777777" w:rsidTr="00145E5A">
        <w:trPr>
          <w:trHeight w:val="283"/>
          <w:jc w:val="center"/>
        </w:trPr>
        <w:tc>
          <w:tcPr>
            <w:tcW w:w="4108" w:type="dxa"/>
            <w:shd w:val="clear" w:color="auto" w:fill="auto"/>
            <w:tcMar>
              <w:top w:w="12" w:type="dxa"/>
              <w:left w:w="12" w:type="dxa"/>
              <w:bottom w:w="0" w:type="dxa"/>
              <w:right w:w="12" w:type="dxa"/>
            </w:tcMar>
            <w:vAlign w:val="center"/>
          </w:tcPr>
          <w:p w14:paraId="7A2F9E11" w14:textId="77777777" w:rsidR="00981288" w:rsidRPr="00893839" w:rsidRDefault="00981288" w:rsidP="00097EE2">
            <w:pPr>
              <w:rPr>
                <w:rFonts w:ascii="Tahoma" w:hAnsi="Tahoma" w:cs="Tahoma"/>
                <w:bCs/>
                <w:sz w:val="18"/>
                <w:szCs w:val="18"/>
              </w:rPr>
            </w:pPr>
            <w:r w:rsidRPr="00893839">
              <w:rPr>
                <w:rFonts w:ascii="Tahoma" w:hAnsi="Tahoma" w:cs="Tahoma"/>
                <w:bCs/>
                <w:sz w:val="18"/>
                <w:szCs w:val="18"/>
              </w:rPr>
              <w:t>Centros Nacionais Multiusuários</w:t>
            </w:r>
          </w:p>
        </w:tc>
        <w:tc>
          <w:tcPr>
            <w:tcW w:w="2555" w:type="dxa"/>
            <w:shd w:val="clear" w:color="auto" w:fill="auto"/>
            <w:tcMar>
              <w:top w:w="12" w:type="dxa"/>
              <w:left w:w="12" w:type="dxa"/>
              <w:bottom w:w="0" w:type="dxa"/>
              <w:right w:w="12" w:type="dxa"/>
            </w:tcMar>
            <w:vAlign w:val="center"/>
          </w:tcPr>
          <w:p w14:paraId="0FCFFD9F" w14:textId="77777777" w:rsidR="00981288" w:rsidRPr="00893839" w:rsidRDefault="00981288" w:rsidP="00097EE2">
            <w:pPr>
              <w:jc w:val="right"/>
              <w:rPr>
                <w:rFonts w:ascii="Tahoma" w:hAnsi="Tahoma" w:cs="Tahoma"/>
                <w:bCs/>
                <w:sz w:val="18"/>
                <w:szCs w:val="18"/>
              </w:rPr>
            </w:pPr>
            <w:r w:rsidRPr="00893839">
              <w:rPr>
                <w:rStyle w:val="ui-provider"/>
                <w:rFonts w:ascii="Tahoma" w:hAnsi="Tahoma" w:cs="Tahoma"/>
                <w:bCs/>
                <w:sz w:val="18"/>
                <w:szCs w:val="18"/>
              </w:rPr>
              <w:t>14.618.752,05</w:t>
            </w:r>
          </w:p>
        </w:tc>
        <w:tc>
          <w:tcPr>
            <w:tcW w:w="2198" w:type="dxa"/>
            <w:shd w:val="clear" w:color="auto" w:fill="auto"/>
            <w:tcMar>
              <w:top w:w="12" w:type="dxa"/>
              <w:left w:w="12" w:type="dxa"/>
              <w:bottom w:w="0" w:type="dxa"/>
              <w:right w:w="12" w:type="dxa"/>
            </w:tcMar>
            <w:vAlign w:val="center"/>
          </w:tcPr>
          <w:p w14:paraId="39417196" w14:textId="2E5D6B59" w:rsidR="00981288" w:rsidRPr="00893839" w:rsidRDefault="00060359" w:rsidP="00097EE2">
            <w:pPr>
              <w:jc w:val="center"/>
              <w:rPr>
                <w:rFonts w:ascii="Tahoma" w:hAnsi="Tahoma" w:cs="Tahoma"/>
                <w:bCs/>
                <w:sz w:val="18"/>
                <w:szCs w:val="18"/>
              </w:rPr>
            </w:pPr>
            <w:r w:rsidRPr="00893839">
              <w:rPr>
                <w:rFonts w:ascii="Tahoma" w:hAnsi="Tahoma" w:cs="Tahoma"/>
                <w:sz w:val="18"/>
                <w:szCs w:val="18"/>
              </w:rPr>
              <w:t>*</w:t>
            </w:r>
          </w:p>
        </w:tc>
      </w:tr>
      <w:tr w:rsidR="00981288" w:rsidRPr="00893839" w14:paraId="1889C67C" w14:textId="77777777" w:rsidTr="00145E5A">
        <w:trPr>
          <w:trHeight w:val="283"/>
          <w:jc w:val="center"/>
        </w:trPr>
        <w:tc>
          <w:tcPr>
            <w:tcW w:w="4108" w:type="dxa"/>
            <w:shd w:val="clear" w:color="auto" w:fill="auto"/>
            <w:tcMar>
              <w:top w:w="12" w:type="dxa"/>
              <w:left w:w="12" w:type="dxa"/>
              <w:bottom w:w="0" w:type="dxa"/>
              <w:right w:w="12" w:type="dxa"/>
            </w:tcMar>
            <w:vAlign w:val="center"/>
            <w:hideMark/>
          </w:tcPr>
          <w:p w14:paraId="018F10FD" w14:textId="77777777" w:rsidR="00981288" w:rsidRPr="00893839" w:rsidRDefault="00981288" w:rsidP="00097EE2">
            <w:pPr>
              <w:rPr>
                <w:rFonts w:ascii="Tahoma" w:hAnsi="Tahoma" w:cs="Tahoma"/>
                <w:bCs/>
                <w:sz w:val="18"/>
                <w:szCs w:val="18"/>
              </w:rPr>
            </w:pPr>
            <w:r w:rsidRPr="00893839">
              <w:rPr>
                <w:rFonts w:ascii="Tahoma" w:hAnsi="Tahoma" w:cs="Tahoma"/>
                <w:bCs/>
                <w:sz w:val="18"/>
                <w:szCs w:val="18"/>
              </w:rPr>
              <w:t>Cadeias produtivas da bioeconomia brasileira</w:t>
            </w:r>
          </w:p>
        </w:tc>
        <w:tc>
          <w:tcPr>
            <w:tcW w:w="2555" w:type="dxa"/>
            <w:shd w:val="clear" w:color="auto" w:fill="auto"/>
            <w:tcMar>
              <w:top w:w="12" w:type="dxa"/>
              <w:left w:w="12" w:type="dxa"/>
              <w:bottom w:w="0" w:type="dxa"/>
              <w:right w:w="12" w:type="dxa"/>
            </w:tcMar>
            <w:vAlign w:val="center"/>
          </w:tcPr>
          <w:p w14:paraId="688B5E06" w14:textId="77777777" w:rsidR="00981288" w:rsidRPr="00893839" w:rsidRDefault="00981288" w:rsidP="00097EE2">
            <w:pPr>
              <w:jc w:val="right"/>
              <w:rPr>
                <w:rFonts w:ascii="Tahoma" w:hAnsi="Tahoma" w:cs="Tahoma"/>
                <w:bCs/>
                <w:sz w:val="18"/>
                <w:szCs w:val="18"/>
              </w:rPr>
            </w:pPr>
            <w:r w:rsidRPr="00893839">
              <w:rPr>
                <w:rFonts w:ascii="Tahoma" w:hAnsi="Tahoma" w:cs="Tahoma"/>
                <w:bCs/>
                <w:sz w:val="18"/>
                <w:szCs w:val="18"/>
              </w:rPr>
              <w:t>71.225.076,61</w:t>
            </w:r>
          </w:p>
        </w:tc>
        <w:tc>
          <w:tcPr>
            <w:tcW w:w="2198" w:type="dxa"/>
            <w:shd w:val="clear" w:color="auto" w:fill="auto"/>
            <w:tcMar>
              <w:top w:w="12" w:type="dxa"/>
              <w:left w:w="12" w:type="dxa"/>
              <w:bottom w:w="0" w:type="dxa"/>
              <w:right w:w="12" w:type="dxa"/>
            </w:tcMar>
            <w:vAlign w:val="center"/>
          </w:tcPr>
          <w:p w14:paraId="45A2FB26" w14:textId="77777777" w:rsidR="00981288" w:rsidRPr="00893839" w:rsidRDefault="00981288" w:rsidP="00097EE2">
            <w:pPr>
              <w:jc w:val="center"/>
              <w:rPr>
                <w:rFonts w:ascii="Tahoma" w:hAnsi="Tahoma" w:cs="Tahoma"/>
                <w:bCs/>
                <w:sz w:val="18"/>
                <w:szCs w:val="18"/>
              </w:rPr>
            </w:pPr>
            <w:r w:rsidRPr="00893839">
              <w:rPr>
                <w:rFonts w:ascii="Tahoma" w:hAnsi="Tahoma" w:cs="Tahoma"/>
                <w:bCs/>
                <w:sz w:val="18"/>
                <w:szCs w:val="18"/>
              </w:rPr>
              <w:t>29</w:t>
            </w:r>
          </w:p>
        </w:tc>
      </w:tr>
    </w:tbl>
    <w:p w14:paraId="715B363F" w14:textId="58A3C2A0" w:rsidR="0043145B" w:rsidRPr="00893839" w:rsidRDefault="0043145B" w:rsidP="0043145B">
      <w:pPr>
        <w:spacing w:before="60" w:after="120"/>
        <w:rPr>
          <w:rFonts w:ascii="Tahoma" w:hAnsi="Tahoma" w:cs="Tahoma"/>
          <w:sz w:val="16"/>
          <w:szCs w:val="16"/>
        </w:rPr>
      </w:pPr>
      <w:r w:rsidRPr="00893839">
        <w:rPr>
          <w:rFonts w:ascii="Tahoma" w:hAnsi="Tahoma" w:cs="Tahoma"/>
          <w:sz w:val="16"/>
          <w:szCs w:val="16"/>
        </w:rPr>
        <w:t xml:space="preserve">* Recursos alocados aos </w:t>
      </w:r>
      <w:r w:rsidR="00621689">
        <w:rPr>
          <w:rFonts w:ascii="Tahoma" w:hAnsi="Tahoma" w:cs="Tahoma"/>
          <w:sz w:val="16"/>
          <w:szCs w:val="16"/>
        </w:rPr>
        <w:t xml:space="preserve">12 </w:t>
      </w:r>
      <w:r w:rsidRPr="00893839">
        <w:rPr>
          <w:rFonts w:ascii="Tahoma" w:hAnsi="Tahoma" w:cs="Tahoma"/>
          <w:sz w:val="16"/>
          <w:szCs w:val="16"/>
        </w:rPr>
        <w:t>projetos já aprovados no resultado da Chamada.</w:t>
      </w:r>
    </w:p>
    <w:p w14:paraId="56B448DB" w14:textId="77777777" w:rsidR="000C40B3" w:rsidRDefault="000C40B3" w:rsidP="00060359">
      <w:pPr>
        <w:spacing w:before="120" w:after="120" w:line="360" w:lineRule="auto"/>
        <w:rPr>
          <w:rFonts w:ascii="Tahoma" w:hAnsi="Tahoma" w:cs="Tahoma"/>
          <w:sz w:val="19"/>
          <w:szCs w:val="19"/>
        </w:rPr>
      </w:pPr>
    </w:p>
    <w:p w14:paraId="7EEC981F" w14:textId="2FF4A03E" w:rsidR="00060359" w:rsidRPr="00060359" w:rsidRDefault="00060359" w:rsidP="00851EC1">
      <w:pPr>
        <w:pStyle w:val="PargrafodaLista"/>
        <w:numPr>
          <w:ilvl w:val="0"/>
          <w:numId w:val="35"/>
        </w:numPr>
        <w:spacing w:before="120" w:after="120" w:line="360" w:lineRule="auto"/>
        <w:rPr>
          <w:rFonts w:ascii="Tahoma" w:hAnsi="Tahoma" w:cs="Tahoma"/>
          <w:sz w:val="19"/>
          <w:szCs w:val="19"/>
        </w:rPr>
      </w:pPr>
      <w:r w:rsidRPr="00060359">
        <w:rPr>
          <w:rFonts w:ascii="Tahoma" w:hAnsi="Tahoma" w:cs="Tahoma"/>
          <w:sz w:val="19"/>
          <w:szCs w:val="19"/>
        </w:rPr>
        <w:t xml:space="preserve">Parques Tecnológicos </w:t>
      </w:r>
    </w:p>
    <w:p w14:paraId="5594D153" w14:textId="7653113A" w:rsidR="00060359" w:rsidRPr="00060359" w:rsidRDefault="00060359" w:rsidP="00060359">
      <w:pPr>
        <w:spacing w:before="120" w:after="120" w:line="360" w:lineRule="auto"/>
        <w:rPr>
          <w:rFonts w:ascii="Tahoma" w:hAnsi="Tahoma" w:cs="Tahoma"/>
          <w:sz w:val="19"/>
          <w:szCs w:val="19"/>
        </w:rPr>
      </w:pPr>
      <w:r>
        <w:rPr>
          <w:rFonts w:ascii="Tahoma" w:hAnsi="Tahoma" w:cs="Tahoma"/>
          <w:sz w:val="19"/>
          <w:szCs w:val="19"/>
        </w:rPr>
        <w:t>Chamada lançada em 20</w:t>
      </w:r>
      <w:r w:rsidRPr="00060359">
        <w:rPr>
          <w:rFonts w:ascii="Tahoma" w:hAnsi="Tahoma" w:cs="Tahoma"/>
          <w:sz w:val="19"/>
          <w:szCs w:val="19"/>
        </w:rPr>
        <w:t xml:space="preserve">21 </w:t>
      </w:r>
      <w:r w:rsidR="00893839">
        <w:rPr>
          <w:rFonts w:ascii="Tahoma" w:hAnsi="Tahoma" w:cs="Tahoma"/>
          <w:sz w:val="19"/>
          <w:szCs w:val="19"/>
        </w:rPr>
        <w:t xml:space="preserve">que </w:t>
      </w:r>
      <w:r w:rsidRPr="00060359">
        <w:rPr>
          <w:rFonts w:ascii="Tahoma" w:hAnsi="Tahoma" w:cs="Tahoma"/>
          <w:sz w:val="19"/>
          <w:szCs w:val="19"/>
        </w:rPr>
        <w:t xml:space="preserve">selecionou propostas para concessão de recursos a </w:t>
      </w:r>
      <w:r w:rsidR="00893839">
        <w:rPr>
          <w:rFonts w:ascii="Tahoma" w:hAnsi="Tahoma" w:cs="Tahoma"/>
          <w:sz w:val="19"/>
          <w:szCs w:val="19"/>
        </w:rPr>
        <w:t>p</w:t>
      </w:r>
      <w:r w:rsidRPr="00060359">
        <w:rPr>
          <w:rFonts w:ascii="Tahoma" w:hAnsi="Tahoma" w:cs="Tahoma"/>
          <w:sz w:val="19"/>
          <w:szCs w:val="19"/>
        </w:rPr>
        <w:t xml:space="preserve">arques </w:t>
      </w:r>
      <w:r w:rsidR="00893839">
        <w:rPr>
          <w:rFonts w:ascii="Tahoma" w:hAnsi="Tahoma" w:cs="Tahoma"/>
          <w:sz w:val="19"/>
          <w:szCs w:val="19"/>
        </w:rPr>
        <w:t>t</w:t>
      </w:r>
      <w:r w:rsidRPr="00060359">
        <w:rPr>
          <w:rFonts w:ascii="Tahoma" w:hAnsi="Tahoma" w:cs="Tahoma"/>
          <w:sz w:val="19"/>
          <w:szCs w:val="19"/>
        </w:rPr>
        <w:t xml:space="preserve">ecnológicos em </w:t>
      </w:r>
      <w:r w:rsidR="00893839">
        <w:rPr>
          <w:rFonts w:ascii="Tahoma" w:hAnsi="Tahoma" w:cs="Tahoma"/>
          <w:sz w:val="19"/>
          <w:szCs w:val="19"/>
        </w:rPr>
        <w:t>i</w:t>
      </w:r>
      <w:r w:rsidRPr="00060359">
        <w:rPr>
          <w:rFonts w:ascii="Tahoma" w:hAnsi="Tahoma" w:cs="Tahoma"/>
          <w:sz w:val="19"/>
          <w:szCs w:val="19"/>
        </w:rPr>
        <w:t xml:space="preserve">mplantação ou em </w:t>
      </w:r>
      <w:r w:rsidR="00893839">
        <w:rPr>
          <w:rFonts w:ascii="Tahoma" w:hAnsi="Tahoma" w:cs="Tahoma"/>
          <w:sz w:val="19"/>
          <w:szCs w:val="19"/>
        </w:rPr>
        <w:t>o</w:t>
      </w:r>
      <w:r w:rsidRPr="00060359">
        <w:rPr>
          <w:rFonts w:ascii="Tahoma" w:hAnsi="Tahoma" w:cs="Tahoma"/>
          <w:sz w:val="19"/>
          <w:szCs w:val="19"/>
        </w:rPr>
        <w:t>peração como forma de incentivar o desenvolvimento tecnológico, o aumento da competitividade e a interação entre empresas e ICT</w:t>
      </w:r>
      <w:r w:rsidR="00893839">
        <w:rPr>
          <w:rFonts w:ascii="Tahoma" w:hAnsi="Tahoma" w:cs="Tahoma"/>
          <w:sz w:val="19"/>
          <w:szCs w:val="19"/>
        </w:rPr>
        <w:t>s</w:t>
      </w:r>
      <w:r w:rsidRPr="00060359">
        <w:rPr>
          <w:rFonts w:ascii="Tahoma" w:hAnsi="Tahoma" w:cs="Tahoma"/>
          <w:sz w:val="19"/>
          <w:szCs w:val="19"/>
        </w:rPr>
        <w:t xml:space="preserve">, </w:t>
      </w:r>
      <w:r w:rsidR="00893839">
        <w:rPr>
          <w:rFonts w:ascii="Tahoma" w:hAnsi="Tahoma" w:cs="Tahoma"/>
          <w:sz w:val="19"/>
          <w:szCs w:val="19"/>
        </w:rPr>
        <w:t>e</w:t>
      </w:r>
      <w:r w:rsidRPr="00060359">
        <w:rPr>
          <w:rFonts w:ascii="Tahoma" w:hAnsi="Tahoma" w:cs="Tahoma"/>
          <w:sz w:val="19"/>
          <w:szCs w:val="19"/>
        </w:rPr>
        <w:t xml:space="preserve"> promover o desenvolvimento de ecossistemas de inovação e da sociedade do conhecimento. Foram aprovadas 29 propostas, sendo 14 de parques em operação e 15 de parques em implantação, totalizando R$ 316.058.364,02 do FNDCT.</w:t>
      </w:r>
    </w:p>
    <w:p w14:paraId="492F44EE" w14:textId="77777777" w:rsidR="00060359" w:rsidRPr="00060359" w:rsidRDefault="00060359" w:rsidP="00060359">
      <w:pPr>
        <w:spacing w:before="120" w:after="120" w:line="360" w:lineRule="auto"/>
        <w:rPr>
          <w:rFonts w:ascii="Tahoma" w:hAnsi="Tahoma" w:cs="Tahoma"/>
          <w:sz w:val="19"/>
          <w:szCs w:val="19"/>
        </w:rPr>
      </w:pPr>
      <w:r w:rsidRPr="00060359">
        <w:rPr>
          <w:rFonts w:ascii="Tahoma" w:hAnsi="Tahoma" w:cs="Tahoma"/>
          <w:sz w:val="19"/>
          <w:szCs w:val="19"/>
        </w:rPr>
        <w:t>Esta chamada teve suplementação de recursos para aprovação de mais 18 projetos de parques em operação no valor de R$ 234.255.892,84 e 1 parque em implantação no valor de R$ 6.573.174,37, totalizando 19 projetos com R$ 240.829.067,21.</w:t>
      </w:r>
    </w:p>
    <w:p w14:paraId="357427E4" w14:textId="61A78273" w:rsidR="00060359" w:rsidRPr="00060359" w:rsidRDefault="000C40B3" w:rsidP="00060359">
      <w:pPr>
        <w:spacing w:before="120" w:after="120" w:line="360" w:lineRule="auto"/>
        <w:rPr>
          <w:rFonts w:ascii="Tahoma" w:hAnsi="Tahoma" w:cs="Tahoma"/>
          <w:sz w:val="19"/>
          <w:szCs w:val="19"/>
        </w:rPr>
      </w:pPr>
      <w:r>
        <w:rPr>
          <w:rFonts w:ascii="Tahoma" w:hAnsi="Tahoma" w:cs="Tahoma"/>
          <w:sz w:val="19"/>
          <w:szCs w:val="19"/>
        </w:rPr>
        <w:t>O</w:t>
      </w:r>
      <w:r w:rsidR="00060359" w:rsidRPr="00060359">
        <w:rPr>
          <w:rFonts w:ascii="Tahoma" w:hAnsi="Tahoma" w:cs="Tahoma"/>
          <w:sz w:val="19"/>
          <w:szCs w:val="19"/>
        </w:rPr>
        <w:t xml:space="preserve"> resultado da chamada após a suplementação foi </w:t>
      </w:r>
      <w:r>
        <w:rPr>
          <w:rFonts w:ascii="Tahoma" w:hAnsi="Tahoma" w:cs="Tahoma"/>
          <w:sz w:val="19"/>
          <w:szCs w:val="19"/>
        </w:rPr>
        <w:t xml:space="preserve">a aprovação </w:t>
      </w:r>
      <w:r w:rsidR="00060359" w:rsidRPr="00060359">
        <w:rPr>
          <w:rFonts w:ascii="Tahoma" w:hAnsi="Tahoma" w:cs="Tahoma"/>
          <w:sz w:val="19"/>
          <w:szCs w:val="19"/>
        </w:rPr>
        <w:t>de 48 projetos</w:t>
      </w:r>
      <w:r>
        <w:rPr>
          <w:rFonts w:ascii="Tahoma" w:hAnsi="Tahoma" w:cs="Tahoma"/>
          <w:sz w:val="19"/>
          <w:szCs w:val="19"/>
        </w:rPr>
        <w:t>,</w:t>
      </w:r>
      <w:r w:rsidR="00060359" w:rsidRPr="00060359">
        <w:rPr>
          <w:rFonts w:ascii="Tahoma" w:hAnsi="Tahoma" w:cs="Tahoma"/>
          <w:sz w:val="19"/>
          <w:szCs w:val="19"/>
        </w:rPr>
        <w:t xml:space="preserve"> no valor de R$ 556.887.431,23.</w:t>
      </w:r>
    </w:p>
    <w:p w14:paraId="442B2FF8" w14:textId="77777777" w:rsidR="00060359" w:rsidRPr="00060359" w:rsidRDefault="00060359" w:rsidP="00060359">
      <w:pPr>
        <w:spacing w:before="120" w:after="120" w:line="360" w:lineRule="auto"/>
        <w:rPr>
          <w:rFonts w:ascii="Tahoma" w:hAnsi="Tahoma" w:cs="Tahoma"/>
          <w:sz w:val="19"/>
          <w:szCs w:val="19"/>
        </w:rPr>
      </w:pPr>
    </w:p>
    <w:p w14:paraId="47DC0447" w14:textId="00D86C85" w:rsidR="00060359" w:rsidRPr="00060359" w:rsidRDefault="00060359" w:rsidP="00851EC1">
      <w:pPr>
        <w:pStyle w:val="PargrafodaLista"/>
        <w:numPr>
          <w:ilvl w:val="0"/>
          <w:numId w:val="35"/>
        </w:numPr>
        <w:spacing w:before="120" w:after="120" w:line="360" w:lineRule="auto"/>
        <w:rPr>
          <w:rFonts w:ascii="Tahoma" w:hAnsi="Tahoma" w:cs="Tahoma"/>
          <w:sz w:val="19"/>
          <w:szCs w:val="19"/>
        </w:rPr>
      </w:pPr>
      <w:r w:rsidRPr="00060359">
        <w:rPr>
          <w:rFonts w:ascii="Tahoma" w:hAnsi="Tahoma" w:cs="Tahoma"/>
          <w:sz w:val="19"/>
          <w:szCs w:val="19"/>
        </w:rPr>
        <w:t>Centros de Inovação</w:t>
      </w:r>
    </w:p>
    <w:p w14:paraId="5E9CE0B2" w14:textId="664DD034" w:rsidR="00060359" w:rsidRPr="00060359" w:rsidRDefault="00893839" w:rsidP="00060359">
      <w:pPr>
        <w:spacing w:before="120" w:after="120" w:line="360" w:lineRule="auto"/>
        <w:rPr>
          <w:rFonts w:ascii="Tahoma" w:hAnsi="Tahoma" w:cs="Tahoma"/>
          <w:sz w:val="19"/>
          <w:szCs w:val="19"/>
        </w:rPr>
      </w:pPr>
      <w:r>
        <w:rPr>
          <w:rFonts w:ascii="Tahoma" w:hAnsi="Tahoma" w:cs="Tahoma"/>
          <w:sz w:val="19"/>
          <w:szCs w:val="19"/>
        </w:rPr>
        <w:t>Apoio a</w:t>
      </w:r>
      <w:r w:rsidR="00060359" w:rsidRPr="00060359">
        <w:rPr>
          <w:rFonts w:ascii="Tahoma" w:hAnsi="Tahoma" w:cs="Tahoma"/>
          <w:sz w:val="19"/>
          <w:szCs w:val="19"/>
        </w:rPr>
        <w:t xml:space="preserve"> </w:t>
      </w:r>
      <w:r>
        <w:rPr>
          <w:rFonts w:ascii="Tahoma" w:hAnsi="Tahoma" w:cs="Tahoma"/>
          <w:sz w:val="19"/>
          <w:szCs w:val="19"/>
        </w:rPr>
        <w:t>c</w:t>
      </w:r>
      <w:r w:rsidR="00060359" w:rsidRPr="00060359">
        <w:rPr>
          <w:rFonts w:ascii="Tahoma" w:hAnsi="Tahoma" w:cs="Tahoma"/>
          <w:sz w:val="19"/>
          <w:szCs w:val="19"/>
        </w:rPr>
        <w:t xml:space="preserve">entros de </w:t>
      </w:r>
      <w:r>
        <w:rPr>
          <w:rFonts w:ascii="Tahoma" w:hAnsi="Tahoma" w:cs="Tahoma"/>
          <w:sz w:val="19"/>
          <w:szCs w:val="19"/>
        </w:rPr>
        <w:t>i</w:t>
      </w:r>
      <w:r w:rsidR="00060359" w:rsidRPr="00060359">
        <w:rPr>
          <w:rFonts w:ascii="Tahoma" w:hAnsi="Tahoma" w:cs="Tahoma"/>
          <w:sz w:val="19"/>
          <w:szCs w:val="19"/>
        </w:rPr>
        <w:t xml:space="preserve">novação situados em </w:t>
      </w:r>
      <w:r>
        <w:rPr>
          <w:rFonts w:ascii="Tahoma" w:hAnsi="Tahoma" w:cs="Tahoma"/>
          <w:sz w:val="19"/>
          <w:szCs w:val="19"/>
        </w:rPr>
        <w:t>m</w:t>
      </w:r>
      <w:r w:rsidR="00060359" w:rsidRPr="00060359">
        <w:rPr>
          <w:rFonts w:ascii="Tahoma" w:hAnsi="Tahoma" w:cs="Tahoma"/>
          <w:sz w:val="19"/>
          <w:szCs w:val="19"/>
        </w:rPr>
        <w:t>unicípios que possuam universidades, centros de pesquisa e institutos federais, mas não possuam parques tecnológicos em operação ou em implantação. Tendo sido lançad</w:t>
      </w:r>
      <w:r>
        <w:rPr>
          <w:rFonts w:ascii="Tahoma" w:hAnsi="Tahoma" w:cs="Tahoma"/>
          <w:sz w:val="19"/>
          <w:szCs w:val="19"/>
        </w:rPr>
        <w:t>a</w:t>
      </w:r>
      <w:r w:rsidR="00060359" w:rsidRPr="00060359">
        <w:rPr>
          <w:rFonts w:ascii="Tahoma" w:hAnsi="Tahoma" w:cs="Tahoma"/>
          <w:sz w:val="19"/>
          <w:szCs w:val="19"/>
        </w:rPr>
        <w:t xml:space="preserve"> em </w:t>
      </w:r>
      <w:r>
        <w:rPr>
          <w:rFonts w:ascii="Tahoma" w:hAnsi="Tahoma" w:cs="Tahoma"/>
          <w:sz w:val="19"/>
          <w:szCs w:val="19"/>
        </w:rPr>
        <w:t xml:space="preserve">dezembro de </w:t>
      </w:r>
      <w:r w:rsidR="00060359" w:rsidRPr="00060359">
        <w:rPr>
          <w:rFonts w:ascii="Tahoma" w:hAnsi="Tahoma" w:cs="Tahoma"/>
          <w:sz w:val="19"/>
          <w:szCs w:val="19"/>
        </w:rPr>
        <w:t>2021, tinha como objetivos (i) incentivar o desenvolvimento tecnológico, o aumento da competitividade e a interação entre empresas e ICT</w:t>
      </w:r>
      <w:r>
        <w:rPr>
          <w:rFonts w:ascii="Tahoma" w:hAnsi="Tahoma" w:cs="Tahoma"/>
          <w:sz w:val="19"/>
          <w:szCs w:val="19"/>
        </w:rPr>
        <w:t>s</w:t>
      </w:r>
      <w:r w:rsidR="00060359" w:rsidRPr="00060359">
        <w:rPr>
          <w:rFonts w:ascii="Tahoma" w:hAnsi="Tahoma" w:cs="Tahoma"/>
          <w:sz w:val="19"/>
          <w:szCs w:val="19"/>
        </w:rPr>
        <w:t xml:space="preserve">, bem como promover o desenvolvimento de ecossistemas de inovação e da sociedade do conhecimento; (ii) estimular a inserção da cultura da inovação nas empresas da região, ofertando infraestrutura física e serviços que apoiam o empreendedor desde o momento em que o negócio é apenas uma ideia até o momento que ele está pronto para escalar </w:t>
      </w:r>
      <w:r>
        <w:rPr>
          <w:rFonts w:ascii="Tahoma" w:hAnsi="Tahoma" w:cs="Tahoma"/>
          <w:sz w:val="19"/>
          <w:szCs w:val="19"/>
        </w:rPr>
        <w:lastRenderedPageBreak/>
        <w:t xml:space="preserve">sua produção para </w:t>
      </w:r>
      <w:r w:rsidR="00060359" w:rsidRPr="00060359">
        <w:rPr>
          <w:rFonts w:ascii="Tahoma" w:hAnsi="Tahoma" w:cs="Tahoma"/>
          <w:sz w:val="19"/>
          <w:szCs w:val="19"/>
        </w:rPr>
        <w:t>o mercado; (iii) promover a conexão de instituições âncora, empresas líder, empresas de base tecnológica, incubadoras de empresas, ICTs e empresas nascentes com mecanismos de geração de empreendimentos. Foram aprovadas 18 propostas no total de R$ 75.000.000,00 de recursos financeiros não reembolsáveis do FNDCT.</w:t>
      </w:r>
    </w:p>
    <w:p w14:paraId="436502C0" w14:textId="72445B74" w:rsidR="00060359" w:rsidRPr="00060359" w:rsidRDefault="00060359" w:rsidP="00060359">
      <w:pPr>
        <w:spacing w:before="120" w:after="120" w:line="360" w:lineRule="auto"/>
        <w:rPr>
          <w:rFonts w:ascii="Tahoma" w:hAnsi="Tahoma" w:cs="Tahoma"/>
          <w:sz w:val="19"/>
          <w:szCs w:val="19"/>
        </w:rPr>
      </w:pPr>
      <w:r w:rsidRPr="00060359">
        <w:rPr>
          <w:rFonts w:ascii="Tahoma" w:hAnsi="Tahoma" w:cs="Tahoma"/>
          <w:sz w:val="19"/>
          <w:szCs w:val="19"/>
        </w:rPr>
        <w:t xml:space="preserve">Esta chamada foi suplementada para aprovação de mais </w:t>
      </w:r>
      <w:r w:rsidR="00893839">
        <w:rPr>
          <w:rFonts w:ascii="Tahoma" w:hAnsi="Tahoma" w:cs="Tahoma"/>
          <w:sz w:val="19"/>
          <w:szCs w:val="19"/>
        </w:rPr>
        <w:t>oito</w:t>
      </w:r>
      <w:r w:rsidRPr="00060359">
        <w:rPr>
          <w:rFonts w:ascii="Tahoma" w:hAnsi="Tahoma" w:cs="Tahoma"/>
          <w:sz w:val="19"/>
          <w:szCs w:val="19"/>
        </w:rPr>
        <w:t xml:space="preserve"> projetos no valor de R$ 34.113.648,49</w:t>
      </w:r>
      <w:r w:rsidR="00893839">
        <w:rPr>
          <w:rFonts w:ascii="Tahoma" w:hAnsi="Tahoma" w:cs="Tahoma"/>
          <w:sz w:val="19"/>
          <w:szCs w:val="19"/>
        </w:rPr>
        <w:t>. Com isso, o</w:t>
      </w:r>
      <w:r w:rsidRPr="00060359">
        <w:rPr>
          <w:rFonts w:ascii="Tahoma" w:hAnsi="Tahoma" w:cs="Tahoma"/>
          <w:sz w:val="19"/>
          <w:szCs w:val="19"/>
        </w:rPr>
        <w:t xml:space="preserve"> resultado da chamada após a suplementação </w:t>
      </w:r>
      <w:r w:rsidR="00893839">
        <w:rPr>
          <w:rFonts w:ascii="Tahoma" w:hAnsi="Tahoma" w:cs="Tahoma"/>
          <w:sz w:val="19"/>
          <w:szCs w:val="19"/>
        </w:rPr>
        <w:t>foi o apoio a</w:t>
      </w:r>
      <w:r w:rsidRPr="00060359">
        <w:rPr>
          <w:rFonts w:ascii="Tahoma" w:hAnsi="Tahoma" w:cs="Tahoma"/>
          <w:sz w:val="19"/>
          <w:szCs w:val="19"/>
        </w:rPr>
        <w:t xml:space="preserve"> 26 projetos</w:t>
      </w:r>
      <w:r w:rsidR="000C40B3">
        <w:rPr>
          <w:rFonts w:ascii="Tahoma" w:hAnsi="Tahoma" w:cs="Tahoma"/>
          <w:sz w:val="19"/>
          <w:szCs w:val="19"/>
        </w:rPr>
        <w:t>,</w:t>
      </w:r>
      <w:r w:rsidRPr="00060359">
        <w:rPr>
          <w:rFonts w:ascii="Tahoma" w:hAnsi="Tahoma" w:cs="Tahoma"/>
          <w:sz w:val="19"/>
          <w:szCs w:val="19"/>
        </w:rPr>
        <w:t xml:space="preserve"> no valor de R$ 109.113.648,49.</w:t>
      </w:r>
    </w:p>
    <w:p w14:paraId="6280B934" w14:textId="77777777" w:rsidR="00D950E7" w:rsidRDefault="00D950E7" w:rsidP="00C82556">
      <w:pPr>
        <w:spacing w:before="120" w:after="120" w:line="360" w:lineRule="auto"/>
        <w:rPr>
          <w:rFonts w:ascii="Tahoma" w:hAnsi="Tahoma" w:cs="Tahoma"/>
          <w:sz w:val="19"/>
          <w:szCs w:val="19"/>
        </w:rPr>
      </w:pPr>
    </w:p>
    <w:p w14:paraId="6BED5DBF" w14:textId="707563C0" w:rsidR="00C82556" w:rsidRPr="00C82556" w:rsidRDefault="00C82556" w:rsidP="00851EC1">
      <w:pPr>
        <w:pStyle w:val="PargrafodaLista"/>
        <w:numPr>
          <w:ilvl w:val="0"/>
          <w:numId w:val="35"/>
        </w:numPr>
        <w:spacing w:before="120" w:after="120" w:line="360" w:lineRule="auto"/>
        <w:rPr>
          <w:rFonts w:ascii="Tahoma" w:hAnsi="Tahoma" w:cs="Tahoma"/>
          <w:sz w:val="19"/>
          <w:szCs w:val="19"/>
        </w:rPr>
      </w:pPr>
      <w:r w:rsidRPr="00C82556">
        <w:rPr>
          <w:rFonts w:ascii="Tahoma" w:hAnsi="Tahoma" w:cs="Tahoma"/>
          <w:sz w:val="19"/>
          <w:szCs w:val="19"/>
        </w:rPr>
        <w:t>Tecnologia Assistiva</w:t>
      </w:r>
    </w:p>
    <w:p w14:paraId="0C32575C" w14:textId="6478ED0B" w:rsidR="00C82556" w:rsidRPr="00C82556" w:rsidRDefault="00C82556" w:rsidP="00C82556">
      <w:pPr>
        <w:spacing w:before="120" w:after="120" w:line="360" w:lineRule="auto"/>
        <w:rPr>
          <w:rFonts w:ascii="Tahoma" w:hAnsi="Tahoma" w:cs="Tahoma"/>
          <w:sz w:val="19"/>
          <w:szCs w:val="19"/>
        </w:rPr>
      </w:pPr>
      <w:r>
        <w:rPr>
          <w:rFonts w:ascii="Tahoma" w:hAnsi="Tahoma" w:cs="Tahoma"/>
          <w:sz w:val="19"/>
          <w:szCs w:val="19"/>
        </w:rPr>
        <w:t>Objetivou</w:t>
      </w:r>
      <w:r w:rsidRPr="00C82556">
        <w:rPr>
          <w:rFonts w:ascii="Tahoma" w:hAnsi="Tahoma" w:cs="Tahoma"/>
          <w:sz w:val="19"/>
          <w:szCs w:val="19"/>
        </w:rPr>
        <w:t xml:space="preserve"> conceder apoio financeiro </w:t>
      </w:r>
      <w:r w:rsidR="00981288">
        <w:rPr>
          <w:rFonts w:ascii="Tahoma" w:hAnsi="Tahoma" w:cs="Tahoma"/>
          <w:sz w:val="19"/>
          <w:szCs w:val="19"/>
        </w:rPr>
        <w:t>a projetos</w:t>
      </w:r>
      <w:r w:rsidRPr="00C82556">
        <w:rPr>
          <w:rFonts w:ascii="Tahoma" w:hAnsi="Tahoma" w:cs="Tahoma"/>
          <w:sz w:val="19"/>
          <w:szCs w:val="19"/>
        </w:rPr>
        <w:t xml:space="preserve"> de tecnologia assistiva e estruturar o Sistema Nacional de Laboratórios de Tecnologia Assistiva (SisAssistiva-MCTI). O SisAssistiva-MCTI será constituído por um conjunto de laboratórios e de redes de laboratórios, de caráter multiusuário, de acesso aberto a usuários públicos e privados, direcionados à pesquisa, ao desenvolvimento tecnológico, à formação de capital humano, à prestação de serviços tecnológicos, ao empreendedorismo e à inovação em tecnologia assistiva.</w:t>
      </w:r>
    </w:p>
    <w:p w14:paraId="0CD1A4DA" w14:textId="6E48AB5D" w:rsidR="00AA1367" w:rsidRDefault="00C82556" w:rsidP="00C82556">
      <w:pPr>
        <w:spacing w:before="120" w:after="120" w:line="360" w:lineRule="auto"/>
        <w:rPr>
          <w:rFonts w:ascii="Tahoma" w:hAnsi="Tahoma" w:cs="Tahoma"/>
          <w:sz w:val="19"/>
          <w:szCs w:val="19"/>
        </w:rPr>
      </w:pPr>
      <w:r w:rsidRPr="00C82556">
        <w:rPr>
          <w:rFonts w:ascii="Tahoma" w:hAnsi="Tahoma" w:cs="Tahoma"/>
          <w:sz w:val="19"/>
          <w:szCs w:val="19"/>
        </w:rPr>
        <w:t xml:space="preserve">O resultado do edital foi divulgado em </w:t>
      </w:r>
      <w:r>
        <w:rPr>
          <w:rFonts w:ascii="Tahoma" w:hAnsi="Tahoma" w:cs="Tahoma"/>
          <w:sz w:val="19"/>
          <w:szCs w:val="19"/>
        </w:rPr>
        <w:t xml:space="preserve">junho de </w:t>
      </w:r>
      <w:r w:rsidRPr="00C82556">
        <w:rPr>
          <w:rFonts w:ascii="Tahoma" w:hAnsi="Tahoma" w:cs="Tahoma"/>
          <w:sz w:val="19"/>
          <w:szCs w:val="19"/>
        </w:rPr>
        <w:t xml:space="preserve">2023 com aprovação de 19 projetos no valor de R$ 49.110.489,23. Posteriormente, houve uma suplementação do orçamento, contemplando mais </w:t>
      </w:r>
      <w:r>
        <w:rPr>
          <w:rFonts w:ascii="Tahoma" w:hAnsi="Tahoma" w:cs="Tahoma"/>
          <w:sz w:val="19"/>
          <w:szCs w:val="19"/>
        </w:rPr>
        <w:t>nove</w:t>
      </w:r>
      <w:r w:rsidRPr="00C82556">
        <w:rPr>
          <w:rFonts w:ascii="Tahoma" w:hAnsi="Tahoma" w:cs="Tahoma"/>
          <w:sz w:val="19"/>
          <w:szCs w:val="19"/>
        </w:rPr>
        <w:t xml:space="preserve"> projetos com o valor de R$ 23.248.288,92.</w:t>
      </w:r>
    </w:p>
    <w:p w14:paraId="1A324F75" w14:textId="77777777" w:rsidR="007523A7" w:rsidRDefault="007523A7" w:rsidP="00C82556">
      <w:pPr>
        <w:spacing w:before="120" w:after="120" w:line="360" w:lineRule="auto"/>
        <w:rPr>
          <w:rFonts w:ascii="Tahoma" w:hAnsi="Tahoma" w:cs="Tahoma"/>
          <w:sz w:val="19"/>
          <w:szCs w:val="19"/>
        </w:rPr>
      </w:pPr>
    </w:p>
    <w:p w14:paraId="3C11EF67" w14:textId="354429BD" w:rsidR="00C82556" w:rsidRPr="00C82556" w:rsidRDefault="00C82556" w:rsidP="00851EC1">
      <w:pPr>
        <w:pStyle w:val="PargrafodaLista"/>
        <w:numPr>
          <w:ilvl w:val="0"/>
          <w:numId w:val="35"/>
        </w:numPr>
        <w:spacing w:before="120" w:after="120" w:line="360" w:lineRule="auto"/>
        <w:rPr>
          <w:rFonts w:ascii="Tahoma" w:hAnsi="Tahoma" w:cs="Tahoma"/>
          <w:sz w:val="19"/>
          <w:szCs w:val="19"/>
        </w:rPr>
      </w:pPr>
      <w:r w:rsidRPr="00C82556">
        <w:rPr>
          <w:rFonts w:ascii="Tahoma" w:hAnsi="Tahoma" w:cs="Tahoma"/>
          <w:sz w:val="19"/>
          <w:szCs w:val="19"/>
        </w:rPr>
        <w:t>Racionalização dos Usos da Água e a Gestão e o Monitoramento dos Recursos Hídricos</w:t>
      </w:r>
    </w:p>
    <w:p w14:paraId="171A0854" w14:textId="14CECE70" w:rsidR="00C82556" w:rsidRPr="00C82556" w:rsidRDefault="000B6290" w:rsidP="00C82556">
      <w:pPr>
        <w:spacing w:before="120" w:after="120" w:line="360" w:lineRule="auto"/>
        <w:rPr>
          <w:rFonts w:ascii="Tahoma" w:hAnsi="Tahoma" w:cs="Tahoma"/>
          <w:sz w:val="19"/>
          <w:szCs w:val="19"/>
        </w:rPr>
      </w:pPr>
      <w:r>
        <w:rPr>
          <w:rFonts w:ascii="Tahoma" w:hAnsi="Tahoma" w:cs="Tahoma"/>
          <w:sz w:val="19"/>
          <w:szCs w:val="19"/>
        </w:rPr>
        <w:t xml:space="preserve">Essa chamada pública buscou apoiar projetos de </w:t>
      </w:r>
      <w:r w:rsidR="00C82556" w:rsidRPr="00C82556">
        <w:rPr>
          <w:rFonts w:ascii="Tahoma" w:hAnsi="Tahoma" w:cs="Tahoma"/>
          <w:sz w:val="19"/>
          <w:szCs w:val="19"/>
        </w:rPr>
        <w:t>ICTs, inclu</w:t>
      </w:r>
      <w:r>
        <w:rPr>
          <w:rFonts w:ascii="Tahoma" w:hAnsi="Tahoma" w:cs="Tahoma"/>
          <w:sz w:val="19"/>
          <w:szCs w:val="19"/>
        </w:rPr>
        <w:t>indo projet</w:t>
      </w:r>
      <w:r w:rsidR="00C82556" w:rsidRPr="00C82556">
        <w:rPr>
          <w:rFonts w:ascii="Tahoma" w:hAnsi="Tahoma" w:cs="Tahoma"/>
          <w:sz w:val="19"/>
          <w:szCs w:val="19"/>
        </w:rPr>
        <w:t xml:space="preserve">os </w:t>
      </w:r>
      <w:r>
        <w:rPr>
          <w:rFonts w:ascii="Tahoma" w:hAnsi="Tahoma" w:cs="Tahoma"/>
          <w:sz w:val="19"/>
          <w:szCs w:val="19"/>
        </w:rPr>
        <w:t>em cooperação com e</w:t>
      </w:r>
      <w:r w:rsidR="00C82556" w:rsidRPr="00C82556">
        <w:rPr>
          <w:rFonts w:ascii="Tahoma" w:hAnsi="Tahoma" w:cs="Tahoma"/>
          <w:sz w:val="19"/>
          <w:szCs w:val="19"/>
        </w:rPr>
        <w:t>mpresas, em duas linhas temáticas (1) racionalização dos usos da água para o saneamento básico, o agronegócio e a indústria; e, (2) Gestão e monitoramento dos Recursos Hídricos.</w:t>
      </w:r>
    </w:p>
    <w:p w14:paraId="604B204B" w14:textId="79CCB8EA" w:rsidR="00C82556" w:rsidRDefault="000B6290" w:rsidP="00C82556">
      <w:pPr>
        <w:spacing w:before="120" w:after="120" w:line="360" w:lineRule="auto"/>
        <w:rPr>
          <w:rFonts w:ascii="Tahoma" w:hAnsi="Tahoma" w:cs="Tahoma"/>
          <w:sz w:val="19"/>
          <w:szCs w:val="19"/>
        </w:rPr>
      </w:pPr>
      <w:r>
        <w:rPr>
          <w:rFonts w:ascii="Tahoma" w:hAnsi="Tahoma" w:cs="Tahoma"/>
          <w:sz w:val="19"/>
          <w:szCs w:val="19"/>
        </w:rPr>
        <w:t>A partir do recebimento de uma demanda de R</w:t>
      </w:r>
      <w:r w:rsidRPr="000B6290">
        <w:rPr>
          <w:rFonts w:ascii="Tahoma" w:hAnsi="Tahoma" w:cs="Tahoma"/>
          <w:sz w:val="19"/>
          <w:szCs w:val="19"/>
        </w:rPr>
        <w:t>$ 82.925.183,39</w:t>
      </w:r>
      <w:r>
        <w:rPr>
          <w:rFonts w:ascii="Tahoma" w:hAnsi="Tahoma" w:cs="Tahoma"/>
          <w:sz w:val="19"/>
          <w:szCs w:val="19"/>
        </w:rPr>
        <w:t xml:space="preserve"> trazida por 66 propostas de financiamento, o</w:t>
      </w:r>
      <w:r w:rsidR="00C82556" w:rsidRPr="00C82556">
        <w:rPr>
          <w:rFonts w:ascii="Tahoma" w:hAnsi="Tahoma" w:cs="Tahoma"/>
          <w:sz w:val="19"/>
          <w:szCs w:val="19"/>
        </w:rPr>
        <w:t xml:space="preserve"> resultado da chamada foi divulgado em </w:t>
      </w:r>
      <w:r>
        <w:rPr>
          <w:rFonts w:ascii="Tahoma" w:hAnsi="Tahoma" w:cs="Tahoma"/>
          <w:sz w:val="19"/>
          <w:szCs w:val="19"/>
        </w:rPr>
        <w:t>janeiro de 2</w:t>
      </w:r>
      <w:r w:rsidR="00C82556" w:rsidRPr="00C82556">
        <w:rPr>
          <w:rFonts w:ascii="Tahoma" w:hAnsi="Tahoma" w:cs="Tahoma"/>
          <w:sz w:val="19"/>
          <w:szCs w:val="19"/>
        </w:rPr>
        <w:t xml:space="preserve">023 com aprovação de </w:t>
      </w:r>
      <w:r>
        <w:rPr>
          <w:rFonts w:ascii="Tahoma" w:hAnsi="Tahoma" w:cs="Tahoma"/>
          <w:sz w:val="19"/>
          <w:szCs w:val="19"/>
        </w:rPr>
        <w:t>sete</w:t>
      </w:r>
      <w:r w:rsidR="00C82556" w:rsidRPr="00C82556">
        <w:rPr>
          <w:rFonts w:ascii="Tahoma" w:hAnsi="Tahoma" w:cs="Tahoma"/>
          <w:sz w:val="19"/>
          <w:szCs w:val="19"/>
        </w:rPr>
        <w:t xml:space="preserve"> projetos no valor de R$ 9.798.025,56. Posteriormente, houve uma suplementação do</w:t>
      </w:r>
      <w:r>
        <w:rPr>
          <w:rFonts w:ascii="Tahoma" w:hAnsi="Tahoma" w:cs="Tahoma"/>
          <w:sz w:val="19"/>
          <w:szCs w:val="19"/>
        </w:rPr>
        <w:t>s</w:t>
      </w:r>
      <w:r w:rsidR="00C82556" w:rsidRPr="00C82556">
        <w:rPr>
          <w:rFonts w:ascii="Tahoma" w:hAnsi="Tahoma" w:cs="Tahoma"/>
          <w:sz w:val="19"/>
          <w:szCs w:val="19"/>
        </w:rPr>
        <w:t xml:space="preserve"> </w:t>
      </w:r>
      <w:r>
        <w:rPr>
          <w:rFonts w:ascii="Tahoma" w:hAnsi="Tahoma" w:cs="Tahoma"/>
          <w:sz w:val="19"/>
          <w:szCs w:val="19"/>
        </w:rPr>
        <w:t>recursos disponíveis para essa chamada</w:t>
      </w:r>
      <w:r w:rsidR="00C82556" w:rsidRPr="00C82556">
        <w:rPr>
          <w:rFonts w:ascii="Tahoma" w:hAnsi="Tahoma" w:cs="Tahoma"/>
          <w:sz w:val="19"/>
          <w:szCs w:val="19"/>
        </w:rPr>
        <w:t xml:space="preserve">, </w:t>
      </w:r>
      <w:r>
        <w:rPr>
          <w:rFonts w:ascii="Tahoma" w:hAnsi="Tahoma" w:cs="Tahoma"/>
          <w:sz w:val="19"/>
          <w:szCs w:val="19"/>
        </w:rPr>
        <w:t xml:space="preserve">o que permitiu </w:t>
      </w:r>
      <w:r w:rsidR="00C82556" w:rsidRPr="00C82556">
        <w:rPr>
          <w:rFonts w:ascii="Tahoma" w:hAnsi="Tahoma" w:cs="Tahoma"/>
          <w:sz w:val="19"/>
          <w:szCs w:val="19"/>
        </w:rPr>
        <w:t>contempla</w:t>
      </w:r>
      <w:r>
        <w:rPr>
          <w:rFonts w:ascii="Tahoma" w:hAnsi="Tahoma" w:cs="Tahoma"/>
          <w:sz w:val="19"/>
          <w:szCs w:val="19"/>
        </w:rPr>
        <w:t>r</w:t>
      </w:r>
      <w:r w:rsidR="00C82556" w:rsidRPr="00C82556">
        <w:rPr>
          <w:rFonts w:ascii="Tahoma" w:hAnsi="Tahoma" w:cs="Tahoma"/>
          <w:sz w:val="19"/>
          <w:szCs w:val="19"/>
        </w:rPr>
        <w:t xml:space="preserve"> mais </w:t>
      </w:r>
      <w:r>
        <w:rPr>
          <w:rFonts w:ascii="Tahoma" w:hAnsi="Tahoma" w:cs="Tahoma"/>
          <w:sz w:val="19"/>
          <w:szCs w:val="19"/>
        </w:rPr>
        <w:t>oito</w:t>
      </w:r>
      <w:r w:rsidR="00C82556" w:rsidRPr="00C82556">
        <w:rPr>
          <w:rFonts w:ascii="Tahoma" w:hAnsi="Tahoma" w:cs="Tahoma"/>
          <w:sz w:val="19"/>
          <w:szCs w:val="19"/>
        </w:rPr>
        <w:t xml:space="preserve"> projetos com o valor de R$ 8.766.725,72.</w:t>
      </w:r>
    </w:p>
    <w:p w14:paraId="452DEF6D" w14:textId="77777777" w:rsidR="00AA62D1" w:rsidRDefault="00AA62D1" w:rsidP="00C82556">
      <w:pPr>
        <w:spacing w:before="120" w:after="120" w:line="360" w:lineRule="auto"/>
        <w:rPr>
          <w:rFonts w:ascii="Tahoma" w:hAnsi="Tahoma" w:cs="Tahoma"/>
          <w:sz w:val="19"/>
          <w:szCs w:val="19"/>
        </w:rPr>
      </w:pPr>
    </w:p>
    <w:p w14:paraId="4EE3FCA8" w14:textId="26831E70" w:rsidR="00AA62D1" w:rsidRPr="00AA62D1" w:rsidRDefault="00AA62D1" w:rsidP="00851EC1">
      <w:pPr>
        <w:pStyle w:val="PargrafodaLista"/>
        <w:numPr>
          <w:ilvl w:val="0"/>
          <w:numId w:val="35"/>
        </w:numPr>
        <w:spacing w:before="120" w:after="120" w:line="360" w:lineRule="auto"/>
        <w:rPr>
          <w:rFonts w:ascii="Tahoma" w:hAnsi="Tahoma" w:cs="Tahoma"/>
          <w:sz w:val="19"/>
          <w:szCs w:val="19"/>
        </w:rPr>
      </w:pPr>
      <w:r w:rsidRPr="00AA62D1">
        <w:rPr>
          <w:rFonts w:ascii="Tahoma" w:hAnsi="Tahoma" w:cs="Tahoma"/>
          <w:sz w:val="19"/>
          <w:szCs w:val="19"/>
        </w:rPr>
        <w:t>Centros Nacionais de Multiusuários</w:t>
      </w:r>
    </w:p>
    <w:p w14:paraId="1B60A634" w14:textId="577AB285" w:rsidR="00AA62D1" w:rsidRPr="00AA62D1" w:rsidRDefault="00AA62D1" w:rsidP="00AA62D1">
      <w:pPr>
        <w:spacing w:before="120" w:after="120" w:line="360" w:lineRule="auto"/>
        <w:rPr>
          <w:rFonts w:ascii="Tahoma" w:hAnsi="Tahoma" w:cs="Tahoma"/>
          <w:sz w:val="19"/>
          <w:szCs w:val="19"/>
        </w:rPr>
      </w:pPr>
      <w:r>
        <w:rPr>
          <w:rFonts w:ascii="Tahoma" w:hAnsi="Tahoma" w:cs="Tahoma"/>
          <w:sz w:val="19"/>
          <w:szCs w:val="19"/>
        </w:rPr>
        <w:t>Com o objetivo de</w:t>
      </w:r>
      <w:r w:rsidRPr="00AA62D1">
        <w:rPr>
          <w:rFonts w:ascii="Tahoma" w:hAnsi="Tahoma" w:cs="Tahoma"/>
          <w:sz w:val="19"/>
          <w:szCs w:val="19"/>
        </w:rPr>
        <w:t xml:space="preserve"> fortalecer </w:t>
      </w:r>
      <w:r w:rsidR="002B6CA2">
        <w:rPr>
          <w:rFonts w:ascii="Tahoma" w:hAnsi="Tahoma" w:cs="Tahoma"/>
          <w:sz w:val="19"/>
          <w:szCs w:val="19"/>
        </w:rPr>
        <w:t>os c</w:t>
      </w:r>
      <w:r w:rsidRPr="00AA62D1">
        <w:rPr>
          <w:rFonts w:ascii="Tahoma" w:hAnsi="Tahoma" w:cs="Tahoma"/>
          <w:sz w:val="19"/>
          <w:szCs w:val="19"/>
        </w:rPr>
        <w:t xml:space="preserve">entros de </w:t>
      </w:r>
      <w:r w:rsidR="002B6CA2">
        <w:rPr>
          <w:rFonts w:ascii="Tahoma" w:hAnsi="Tahoma" w:cs="Tahoma"/>
          <w:sz w:val="19"/>
          <w:szCs w:val="19"/>
        </w:rPr>
        <w:t>p</w:t>
      </w:r>
      <w:r w:rsidRPr="00AA62D1">
        <w:rPr>
          <w:rFonts w:ascii="Tahoma" w:hAnsi="Tahoma" w:cs="Tahoma"/>
          <w:sz w:val="19"/>
          <w:szCs w:val="19"/>
        </w:rPr>
        <w:t xml:space="preserve">esquisa </w:t>
      </w:r>
      <w:r w:rsidR="002B6CA2">
        <w:rPr>
          <w:rFonts w:ascii="Tahoma" w:hAnsi="Tahoma" w:cs="Tahoma"/>
          <w:sz w:val="19"/>
          <w:szCs w:val="19"/>
        </w:rPr>
        <w:t>c</w:t>
      </w:r>
      <w:r w:rsidRPr="00AA62D1">
        <w:rPr>
          <w:rFonts w:ascii="Tahoma" w:hAnsi="Tahoma" w:cs="Tahoma"/>
          <w:sz w:val="19"/>
          <w:szCs w:val="19"/>
        </w:rPr>
        <w:t xml:space="preserve">ientífica e </w:t>
      </w:r>
      <w:r w:rsidR="002B6CA2">
        <w:rPr>
          <w:rFonts w:ascii="Tahoma" w:hAnsi="Tahoma" w:cs="Tahoma"/>
          <w:sz w:val="19"/>
          <w:szCs w:val="19"/>
        </w:rPr>
        <w:t>t</w:t>
      </w:r>
      <w:r w:rsidRPr="00AA62D1">
        <w:rPr>
          <w:rFonts w:ascii="Tahoma" w:hAnsi="Tahoma" w:cs="Tahoma"/>
          <w:sz w:val="19"/>
          <w:szCs w:val="19"/>
        </w:rPr>
        <w:t>ecnológica de caráter multiusuário já estabelecidos</w:t>
      </w:r>
      <w:r>
        <w:rPr>
          <w:rFonts w:ascii="Tahoma" w:hAnsi="Tahoma" w:cs="Tahoma"/>
          <w:sz w:val="19"/>
          <w:szCs w:val="19"/>
        </w:rPr>
        <w:t>, essa chamada pública apoiou a</w:t>
      </w:r>
      <w:r w:rsidRPr="00AA62D1">
        <w:rPr>
          <w:rFonts w:ascii="Tahoma" w:hAnsi="Tahoma" w:cs="Tahoma"/>
          <w:sz w:val="19"/>
          <w:szCs w:val="19"/>
        </w:rPr>
        <w:t xml:space="preserve"> implantação e melhoria da infraestrutura necessária </w:t>
      </w:r>
      <w:r w:rsidR="002B6CA2">
        <w:rPr>
          <w:rFonts w:ascii="Tahoma" w:hAnsi="Tahoma" w:cs="Tahoma"/>
          <w:sz w:val="19"/>
          <w:szCs w:val="19"/>
        </w:rPr>
        <w:t xml:space="preserve">para a </w:t>
      </w:r>
      <w:r w:rsidRPr="00AA62D1">
        <w:rPr>
          <w:rFonts w:ascii="Tahoma" w:hAnsi="Tahoma" w:cs="Tahoma"/>
          <w:sz w:val="19"/>
          <w:szCs w:val="19"/>
        </w:rPr>
        <w:t xml:space="preserve">consolidação </w:t>
      </w:r>
      <w:r>
        <w:rPr>
          <w:rFonts w:ascii="Tahoma" w:hAnsi="Tahoma" w:cs="Tahoma"/>
          <w:sz w:val="19"/>
          <w:szCs w:val="19"/>
        </w:rPr>
        <w:t xml:space="preserve">desses </w:t>
      </w:r>
      <w:r w:rsidR="002B6CA2">
        <w:rPr>
          <w:rFonts w:ascii="Tahoma" w:hAnsi="Tahoma" w:cs="Tahoma"/>
          <w:sz w:val="19"/>
          <w:szCs w:val="19"/>
        </w:rPr>
        <w:t>c</w:t>
      </w:r>
      <w:r>
        <w:rPr>
          <w:rFonts w:ascii="Tahoma" w:hAnsi="Tahoma" w:cs="Tahoma"/>
          <w:sz w:val="19"/>
          <w:szCs w:val="19"/>
        </w:rPr>
        <w:t>entros. Com isso, poderão a</w:t>
      </w:r>
      <w:r w:rsidRPr="00AA62D1">
        <w:rPr>
          <w:rFonts w:ascii="Tahoma" w:hAnsi="Tahoma" w:cs="Tahoma"/>
          <w:sz w:val="19"/>
          <w:szCs w:val="19"/>
        </w:rPr>
        <w:t>tuar como Centros Nacionais Multiusuários (CNM) em seus campos</w:t>
      </w:r>
      <w:r>
        <w:rPr>
          <w:rFonts w:ascii="Tahoma" w:hAnsi="Tahoma" w:cs="Tahoma"/>
          <w:sz w:val="19"/>
          <w:szCs w:val="19"/>
        </w:rPr>
        <w:t xml:space="preserve"> específicos. Fomentou também </w:t>
      </w:r>
      <w:r w:rsidRPr="00AA62D1">
        <w:rPr>
          <w:rFonts w:ascii="Tahoma" w:hAnsi="Tahoma" w:cs="Tahoma"/>
          <w:sz w:val="19"/>
          <w:szCs w:val="19"/>
        </w:rPr>
        <w:t xml:space="preserve">a cooperação entre os CNMs e as Fundações de Amparo à Pesquisa </w:t>
      </w:r>
      <w:r w:rsidR="002B6CA2">
        <w:rPr>
          <w:rFonts w:ascii="Tahoma" w:hAnsi="Tahoma" w:cs="Tahoma"/>
          <w:sz w:val="19"/>
          <w:szCs w:val="19"/>
        </w:rPr>
        <w:t>(</w:t>
      </w:r>
      <w:r w:rsidRPr="00AA62D1">
        <w:rPr>
          <w:rFonts w:ascii="Tahoma" w:hAnsi="Tahoma" w:cs="Tahoma"/>
          <w:sz w:val="19"/>
          <w:szCs w:val="19"/>
        </w:rPr>
        <w:t>FAPs</w:t>
      </w:r>
      <w:r w:rsidR="002B6CA2">
        <w:rPr>
          <w:rFonts w:ascii="Tahoma" w:hAnsi="Tahoma" w:cs="Tahoma"/>
          <w:sz w:val="19"/>
          <w:szCs w:val="19"/>
        </w:rPr>
        <w:t>)</w:t>
      </w:r>
      <w:r w:rsidRPr="00AA62D1">
        <w:rPr>
          <w:rFonts w:ascii="Tahoma" w:hAnsi="Tahoma" w:cs="Tahoma"/>
          <w:sz w:val="19"/>
          <w:szCs w:val="19"/>
        </w:rPr>
        <w:t>, de maneira a garantir a sustentabilidade e a operacionalidade dos laboratórios.</w:t>
      </w:r>
    </w:p>
    <w:p w14:paraId="56B97149" w14:textId="51EE252B" w:rsidR="00AA62D1" w:rsidRDefault="00AA62D1" w:rsidP="00AA62D1">
      <w:pPr>
        <w:spacing w:before="120" w:after="120" w:line="360" w:lineRule="auto"/>
        <w:rPr>
          <w:rFonts w:ascii="Tahoma" w:hAnsi="Tahoma" w:cs="Tahoma"/>
          <w:sz w:val="19"/>
          <w:szCs w:val="19"/>
        </w:rPr>
      </w:pPr>
      <w:r w:rsidRPr="00AA62D1">
        <w:rPr>
          <w:rFonts w:ascii="Tahoma" w:hAnsi="Tahoma" w:cs="Tahoma"/>
          <w:sz w:val="19"/>
          <w:szCs w:val="19"/>
        </w:rPr>
        <w:t xml:space="preserve">O resultado foi divulgado em </w:t>
      </w:r>
      <w:r>
        <w:rPr>
          <w:rFonts w:ascii="Tahoma" w:hAnsi="Tahoma" w:cs="Tahoma"/>
          <w:sz w:val="19"/>
          <w:szCs w:val="19"/>
        </w:rPr>
        <w:t xml:space="preserve">dezembro de </w:t>
      </w:r>
      <w:r w:rsidRPr="00AA62D1">
        <w:rPr>
          <w:rFonts w:ascii="Tahoma" w:hAnsi="Tahoma" w:cs="Tahoma"/>
          <w:sz w:val="19"/>
          <w:szCs w:val="19"/>
        </w:rPr>
        <w:t xml:space="preserve">2023 contemplando 12 propostas, </w:t>
      </w:r>
      <w:r>
        <w:rPr>
          <w:rFonts w:ascii="Tahoma" w:hAnsi="Tahoma" w:cs="Tahoma"/>
          <w:sz w:val="19"/>
          <w:szCs w:val="19"/>
        </w:rPr>
        <w:t xml:space="preserve">no valor total de </w:t>
      </w:r>
      <w:r w:rsidRPr="00AA62D1">
        <w:rPr>
          <w:rFonts w:ascii="Tahoma" w:hAnsi="Tahoma" w:cs="Tahoma"/>
          <w:sz w:val="19"/>
          <w:szCs w:val="19"/>
        </w:rPr>
        <w:t>R$ 164.618.752,10</w:t>
      </w:r>
      <w:r>
        <w:rPr>
          <w:rFonts w:ascii="Tahoma" w:hAnsi="Tahoma" w:cs="Tahoma"/>
          <w:sz w:val="19"/>
          <w:szCs w:val="19"/>
        </w:rPr>
        <w:t xml:space="preserve">, </w:t>
      </w:r>
      <w:r w:rsidRPr="00AA62D1">
        <w:rPr>
          <w:rFonts w:ascii="Tahoma" w:hAnsi="Tahoma" w:cs="Tahoma"/>
          <w:sz w:val="19"/>
          <w:szCs w:val="19"/>
        </w:rPr>
        <w:t>já contando com suplementação de recursos no valor de mais de R$ 14 milhões.</w:t>
      </w:r>
      <w:r w:rsidR="007209AC">
        <w:rPr>
          <w:rFonts w:ascii="Tahoma" w:hAnsi="Tahoma" w:cs="Tahoma"/>
          <w:sz w:val="19"/>
          <w:szCs w:val="19"/>
        </w:rPr>
        <w:t xml:space="preserve"> Para chegar a esse resultado, avaliamos uma demanda de </w:t>
      </w:r>
      <w:r w:rsidR="007209AC" w:rsidRPr="007209AC">
        <w:rPr>
          <w:rFonts w:ascii="Tahoma" w:hAnsi="Tahoma" w:cs="Tahoma"/>
          <w:sz w:val="19"/>
          <w:szCs w:val="19"/>
        </w:rPr>
        <w:t>137</w:t>
      </w:r>
      <w:r w:rsidR="007209AC">
        <w:rPr>
          <w:rFonts w:ascii="Tahoma" w:hAnsi="Tahoma" w:cs="Tahoma"/>
          <w:sz w:val="19"/>
          <w:szCs w:val="19"/>
        </w:rPr>
        <w:t xml:space="preserve"> propostas, no valor de mais de </w:t>
      </w:r>
      <w:r w:rsidR="007209AC" w:rsidRPr="007209AC">
        <w:rPr>
          <w:rFonts w:ascii="Tahoma" w:hAnsi="Tahoma" w:cs="Tahoma"/>
          <w:sz w:val="19"/>
          <w:szCs w:val="19"/>
        </w:rPr>
        <w:t>R$ 2</w:t>
      </w:r>
      <w:r w:rsidR="007209AC">
        <w:rPr>
          <w:rFonts w:ascii="Tahoma" w:hAnsi="Tahoma" w:cs="Tahoma"/>
          <w:sz w:val="19"/>
          <w:szCs w:val="19"/>
        </w:rPr>
        <w:t xml:space="preserve"> bilhões.</w:t>
      </w:r>
    </w:p>
    <w:p w14:paraId="4AAF016F" w14:textId="5623B784" w:rsidR="002B6CA2" w:rsidRPr="002B6CA2" w:rsidRDefault="002B6CA2" w:rsidP="00851EC1">
      <w:pPr>
        <w:pStyle w:val="PargrafodaLista"/>
        <w:numPr>
          <w:ilvl w:val="0"/>
          <w:numId w:val="35"/>
        </w:numPr>
        <w:spacing w:before="120" w:after="120" w:line="360" w:lineRule="auto"/>
        <w:rPr>
          <w:rFonts w:ascii="Tahoma" w:hAnsi="Tahoma" w:cs="Tahoma"/>
          <w:sz w:val="19"/>
          <w:szCs w:val="19"/>
        </w:rPr>
      </w:pPr>
      <w:r w:rsidRPr="002B6CA2">
        <w:rPr>
          <w:rFonts w:ascii="Tahoma" w:hAnsi="Tahoma" w:cs="Tahoma"/>
          <w:sz w:val="19"/>
          <w:szCs w:val="19"/>
        </w:rPr>
        <w:lastRenderedPageBreak/>
        <w:t>Cadeias produtivas da bioeconomia</w:t>
      </w:r>
    </w:p>
    <w:p w14:paraId="36D6D591" w14:textId="23DBD492" w:rsidR="002B6CA2" w:rsidRPr="002B6CA2" w:rsidRDefault="002B6CA2" w:rsidP="002B6CA2">
      <w:pPr>
        <w:spacing w:before="120" w:after="120" w:line="360" w:lineRule="auto"/>
        <w:rPr>
          <w:rFonts w:ascii="Tahoma" w:hAnsi="Tahoma" w:cs="Tahoma"/>
          <w:sz w:val="19"/>
          <w:szCs w:val="19"/>
        </w:rPr>
      </w:pPr>
      <w:r>
        <w:rPr>
          <w:rFonts w:ascii="Tahoma" w:hAnsi="Tahoma" w:cs="Tahoma"/>
          <w:sz w:val="19"/>
          <w:szCs w:val="19"/>
        </w:rPr>
        <w:t xml:space="preserve">Apoiou </w:t>
      </w:r>
      <w:r w:rsidRPr="002B6CA2">
        <w:rPr>
          <w:rFonts w:ascii="Tahoma" w:hAnsi="Tahoma" w:cs="Tahoma"/>
          <w:sz w:val="19"/>
          <w:szCs w:val="19"/>
        </w:rPr>
        <w:t xml:space="preserve">iniciativas </w:t>
      </w:r>
      <w:r>
        <w:rPr>
          <w:rFonts w:ascii="Tahoma" w:hAnsi="Tahoma" w:cs="Tahoma"/>
          <w:sz w:val="19"/>
          <w:szCs w:val="19"/>
        </w:rPr>
        <w:t>para</w:t>
      </w:r>
      <w:r w:rsidRPr="002B6CA2">
        <w:rPr>
          <w:rFonts w:ascii="Tahoma" w:hAnsi="Tahoma" w:cs="Tahoma"/>
          <w:sz w:val="19"/>
          <w:szCs w:val="19"/>
        </w:rPr>
        <w:t xml:space="preserve"> o desenvolvimento de novas soluções para cadeias produtivas da bioeconomia, sejam elas científicas, tecnológicas, inovações em produtos, serviços, processos</w:t>
      </w:r>
      <w:r>
        <w:rPr>
          <w:rFonts w:ascii="Tahoma" w:hAnsi="Tahoma" w:cs="Tahoma"/>
          <w:sz w:val="19"/>
          <w:szCs w:val="19"/>
        </w:rPr>
        <w:t xml:space="preserve"> ou</w:t>
      </w:r>
      <w:r w:rsidRPr="002B6CA2">
        <w:rPr>
          <w:rFonts w:ascii="Tahoma" w:hAnsi="Tahoma" w:cs="Tahoma"/>
          <w:sz w:val="19"/>
          <w:szCs w:val="19"/>
        </w:rPr>
        <w:t xml:space="preserve"> modelos de negócio com base na biodiversidade brasileira e acesso a mercados.</w:t>
      </w:r>
    </w:p>
    <w:p w14:paraId="4DCF6872" w14:textId="60EDCD23" w:rsidR="002327B2" w:rsidRDefault="002B6CA2" w:rsidP="002B6CA2">
      <w:pPr>
        <w:spacing w:before="120" w:after="120" w:line="360" w:lineRule="auto"/>
        <w:rPr>
          <w:rFonts w:ascii="Tahoma" w:hAnsi="Tahoma" w:cs="Tahoma"/>
          <w:sz w:val="19"/>
          <w:szCs w:val="19"/>
        </w:rPr>
      </w:pPr>
      <w:r w:rsidRPr="002B6CA2">
        <w:rPr>
          <w:rFonts w:ascii="Tahoma" w:hAnsi="Tahoma" w:cs="Tahoma"/>
          <w:sz w:val="19"/>
          <w:szCs w:val="19"/>
        </w:rPr>
        <w:t xml:space="preserve">A chamada teve seu resultado </w:t>
      </w:r>
      <w:r>
        <w:rPr>
          <w:rFonts w:ascii="Tahoma" w:hAnsi="Tahoma" w:cs="Tahoma"/>
          <w:sz w:val="19"/>
          <w:szCs w:val="19"/>
        </w:rPr>
        <w:t xml:space="preserve">publicado </w:t>
      </w:r>
      <w:r w:rsidRPr="002B6CA2">
        <w:rPr>
          <w:rFonts w:ascii="Tahoma" w:hAnsi="Tahoma" w:cs="Tahoma"/>
          <w:sz w:val="19"/>
          <w:szCs w:val="19"/>
        </w:rPr>
        <w:t xml:space="preserve">em </w:t>
      </w:r>
      <w:r>
        <w:rPr>
          <w:rFonts w:ascii="Tahoma" w:hAnsi="Tahoma" w:cs="Tahoma"/>
          <w:sz w:val="19"/>
          <w:szCs w:val="19"/>
        </w:rPr>
        <w:t xml:space="preserve">julho de </w:t>
      </w:r>
      <w:r w:rsidRPr="002B6CA2">
        <w:rPr>
          <w:rFonts w:ascii="Tahoma" w:hAnsi="Tahoma" w:cs="Tahoma"/>
          <w:sz w:val="19"/>
          <w:szCs w:val="19"/>
        </w:rPr>
        <w:t xml:space="preserve">2023 com </w:t>
      </w:r>
      <w:r>
        <w:rPr>
          <w:rFonts w:ascii="Tahoma" w:hAnsi="Tahoma" w:cs="Tahoma"/>
          <w:sz w:val="19"/>
          <w:szCs w:val="19"/>
        </w:rPr>
        <w:t>a aprovação de dez</w:t>
      </w:r>
      <w:r w:rsidRPr="002B6CA2">
        <w:rPr>
          <w:rFonts w:ascii="Tahoma" w:hAnsi="Tahoma" w:cs="Tahoma"/>
          <w:sz w:val="19"/>
          <w:szCs w:val="19"/>
        </w:rPr>
        <w:t xml:space="preserve"> projetos e um total de R$ 26.162.450,08. Posteriormente houve uma suplementação de R$ 71.225.076,61, contemplando mais 29 projetos.</w:t>
      </w:r>
      <w:r>
        <w:rPr>
          <w:rFonts w:ascii="Tahoma" w:hAnsi="Tahoma" w:cs="Tahoma"/>
          <w:sz w:val="19"/>
          <w:szCs w:val="19"/>
        </w:rPr>
        <w:t xml:space="preserve"> Recebemos uma de</w:t>
      </w:r>
      <w:r w:rsidRPr="002B6CA2">
        <w:rPr>
          <w:rFonts w:ascii="Tahoma" w:hAnsi="Tahoma" w:cs="Tahoma"/>
          <w:sz w:val="19"/>
          <w:szCs w:val="19"/>
        </w:rPr>
        <w:t xml:space="preserve">manda </w:t>
      </w:r>
      <w:r>
        <w:rPr>
          <w:rFonts w:ascii="Tahoma" w:hAnsi="Tahoma" w:cs="Tahoma"/>
          <w:sz w:val="19"/>
          <w:szCs w:val="19"/>
        </w:rPr>
        <w:t xml:space="preserve">de </w:t>
      </w:r>
      <w:r w:rsidRPr="002B6CA2">
        <w:rPr>
          <w:rFonts w:ascii="Tahoma" w:hAnsi="Tahoma" w:cs="Tahoma"/>
          <w:sz w:val="19"/>
          <w:szCs w:val="19"/>
        </w:rPr>
        <w:t>91</w:t>
      </w:r>
      <w:r>
        <w:rPr>
          <w:rFonts w:ascii="Tahoma" w:hAnsi="Tahoma" w:cs="Tahoma"/>
          <w:sz w:val="19"/>
          <w:szCs w:val="19"/>
        </w:rPr>
        <w:t xml:space="preserve"> propostas, que solicitaram um total de </w:t>
      </w:r>
      <w:r w:rsidRPr="002B6CA2">
        <w:rPr>
          <w:rFonts w:ascii="Tahoma" w:hAnsi="Tahoma" w:cs="Tahoma"/>
          <w:sz w:val="19"/>
          <w:szCs w:val="19"/>
        </w:rPr>
        <w:t>R$ 240.663.496,76</w:t>
      </w:r>
      <w:r>
        <w:rPr>
          <w:rFonts w:ascii="Tahoma" w:hAnsi="Tahoma" w:cs="Tahoma"/>
          <w:sz w:val="19"/>
          <w:szCs w:val="19"/>
        </w:rPr>
        <w:t>.</w:t>
      </w:r>
    </w:p>
    <w:p w14:paraId="1718B4ED" w14:textId="77777777" w:rsidR="002020E7" w:rsidRDefault="002020E7" w:rsidP="002B6CA2">
      <w:pPr>
        <w:spacing w:before="120" w:after="120" w:line="360" w:lineRule="auto"/>
        <w:rPr>
          <w:rFonts w:ascii="Tahoma" w:hAnsi="Tahoma" w:cs="Tahoma"/>
          <w:sz w:val="19"/>
          <w:szCs w:val="19"/>
        </w:rPr>
      </w:pPr>
    </w:p>
    <w:p w14:paraId="424B1558" w14:textId="78D45AAA" w:rsidR="00851EC1" w:rsidRPr="00851EC1" w:rsidRDefault="00851EC1" w:rsidP="002B6CA2">
      <w:pPr>
        <w:spacing w:before="120" w:after="120" w:line="360" w:lineRule="auto"/>
        <w:rPr>
          <w:rFonts w:ascii="Tahoma" w:hAnsi="Tahoma" w:cs="Tahoma"/>
          <w:color w:val="0098BA"/>
          <w:sz w:val="19"/>
          <w:szCs w:val="19"/>
        </w:rPr>
      </w:pPr>
      <w:r w:rsidRPr="00851EC1">
        <w:rPr>
          <w:rFonts w:ascii="Tahoma" w:hAnsi="Tahoma" w:cs="Tahoma"/>
          <w:color w:val="0098BA"/>
          <w:sz w:val="19"/>
          <w:szCs w:val="19"/>
        </w:rPr>
        <w:t>Resultados quantitativos</w:t>
      </w:r>
    </w:p>
    <w:p w14:paraId="3D2124F0" w14:textId="26C3D83B" w:rsidR="00681449" w:rsidRDefault="00851EC1" w:rsidP="002B6CA2">
      <w:pPr>
        <w:spacing w:before="120" w:after="120" w:line="360" w:lineRule="auto"/>
        <w:rPr>
          <w:rFonts w:ascii="Tahoma" w:hAnsi="Tahoma" w:cs="Tahoma"/>
          <w:sz w:val="19"/>
          <w:szCs w:val="19"/>
        </w:rPr>
      </w:pPr>
      <w:r>
        <w:rPr>
          <w:rFonts w:ascii="Tahoma" w:hAnsi="Tahoma" w:cs="Tahoma"/>
          <w:sz w:val="19"/>
          <w:szCs w:val="19"/>
        </w:rPr>
        <w:t>E</w:t>
      </w:r>
      <w:r w:rsidR="00681449">
        <w:rPr>
          <w:rFonts w:ascii="Tahoma" w:hAnsi="Tahoma" w:cs="Tahoma"/>
          <w:sz w:val="19"/>
          <w:szCs w:val="19"/>
        </w:rPr>
        <w:t>m 2023, os resultados quantitativos do financiamento não reembolsável a ICTs foram impactados pela continuidade da operação de ações iniciadas em exercícios anteriores e pelo aumento da disponibilidade de recursos do FNDCT.</w:t>
      </w:r>
    </w:p>
    <w:p w14:paraId="7FDFE81B" w14:textId="7E765F6F" w:rsidR="00B06B7D" w:rsidRPr="00681449" w:rsidRDefault="00B06B7D" w:rsidP="00B06B7D">
      <w:pPr>
        <w:autoSpaceDE w:val="0"/>
        <w:spacing w:before="120"/>
        <w:ind w:right="54"/>
        <w:jc w:val="right"/>
        <w:rPr>
          <w:sz w:val="22"/>
          <w:szCs w:val="22"/>
        </w:rPr>
      </w:pPr>
      <w:r w:rsidRPr="00681449">
        <w:rPr>
          <w:rFonts w:ascii="Tahoma" w:hAnsi="Tahoma" w:cs="Tahoma"/>
          <w:bCs/>
          <w:color w:val="000000"/>
          <w:sz w:val="18"/>
          <w:szCs w:val="18"/>
        </w:rPr>
        <w:t>Posição em 31/12/2023</w:t>
      </w:r>
    </w:p>
    <w:tbl>
      <w:tblPr>
        <w:tblW w:w="9284" w:type="dxa"/>
        <w:tblBorders>
          <w:top w:val="single" w:sz="4" w:space="0" w:color="A6A6A6"/>
          <w:bottom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119"/>
        <w:gridCol w:w="1276"/>
        <w:gridCol w:w="1812"/>
        <w:gridCol w:w="1328"/>
        <w:gridCol w:w="1749"/>
      </w:tblGrid>
      <w:tr w:rsidR="00D26ABB" w14:paraId="3F96CBA7" w14:textId="77777777" w:rsidTr="00D26ABB">
        <w:trPr>
          <w:trHeight w:val="315"/>
          <w:tblHeader/>
        </w:trPr>
        <w:tc>
          <w:tcPr>
            <w:tcW w:w="3119" w:type="dxa"/>
            <w:vMerge w:val="restart"/>
            <w:shd w:val="clear" w:color="auto" w:fill="0098BA"/>
            <w:tcMar>
              <w:top w:w="0" w:type="dxa"/>
              <w:left w:w="70" w:type="dxa"/>
              <w:bottom w:w="0" w:type="dxa"/>
              <w:right w:w="70" w:type="dxa"/>
            </w:tcMar>
            <w:vAlign w:val="center"/>
          </w:tcPr>
          <w:p w14:paraId="4BD84BEB" w14:textId="77777777" w:rsidR="00B06B7D" w:rsidRDefault="00B06B7D" w:rsidP="00097EE2">
            <w:pPr>
              <w:jc w:val="center"/>
              <w:rPr>
                <w:rFonts w:ascii="Tahoma" w:hAnsi="Tahoma" w:cs="Tahoma"/>
                <w:color w:val="FFFFFF"/>
                <w:sz w:val="19"/>
                <w:szCs w:val="19"/>
              </w:rPr>
            </w:pPr>
            <w:r>
              <w:rPr>
                <w:rFonts w:ascii="Tahoma" w:hAnsi="Tahoma" w:cs="Tahoma"/>
                <w:color w:val="FFFFFF"/>
                <w:sz w:val="19"/>
                <w:szCs w:val="19"/>
              </w:rPr>
              <w:t>Financiamento não reembolsável a ICTs</w:t>
            </w:r>
          </w:p>
        </w:tc>
        <w:tc>
          <w:tcPr>
            <w:tcW w:w="3088" w:type="dxa"/>
            <w:gridSpan w:val="2"/>
            <w:shd w:val="clear" w:color="auto" w:fill="0098BA"/>
            <w:tcMar>
              <w:top w:w="0" w:type="dxa"/>
              <w:left w:w="70" w:type="dxa"/>
              <w:bottom w:w="0" w:type="dxa"/>
              <w:right w:w="70" w:type="dxa"/>
            </w:tcMar>
            <w:vAlign w:val="center"/>
          </w:tcPr>
          <w:p w14:paraId="43E556CE" w14:textId="13FF1C36" w:rsidR="00B06B7D" w:rsidRDefault="00B06B7D" w:rsidP="00097EE2">
            <w:pPr>
              <w:jc w:val="center"/>
              <w:rPr>
                <w:rFonts w:ascii="Tahoma" w:hAnsi="Tahoma" w:cs="Tahoma"/>
                <w:color w:val="FFFFFF"/>
                <w:sz w:val="19"/>
                <w:szCs w:val="19"/>
              </w:rPr>
            </w:pPr>
            <w:r>
              <w:rPr>
                <w:rFonts w:ascii="Tahoma" w:hAnsi="Tahoma" w:cs="Tahoma"/>
                <w:color w:val="FFFFFF"/>
                <w:sz w:val="19"/>
                <w:szCs w:val="19"/>
              </w:rPr>
              <w:t>2022</w:t>
            </w:r>
          </w:p>
        </w:tc>
        <w:tc>
          <w:tcPr>
            <w:tcW w:w="3077" w:type="dxa"/>
            <w:gridSpan w:val="2"/>
            <w:shd w:val="clear" w:color="auto" w:fill="0098BA"/>
            <w:tcMar>
              <w:top w:w="0" w:type="dxa"/>
              <w:left w:w="70" w:type="dxa"/>
              <w:bottom w:w="0" w:type="dxa"/>
              <w:right w:w="70" w:type="dxa"/>
            </w:tcMar>
            <w:vAlign w:val="center"/>
          </w:tcPr>
          <w:p w14:paraId="503FEDE8" w14:textId="442A0554" w:rsidR="00B06B7D" w:rsidRDefault="00B06B7D" w:rsidP="00097EE2">
            <w:pPr>
              <w:jc w:val="center"/>
              <w:rPr>
                <w:rFonts w:ascii="Tahoma" w:hAnsi="Tahoma" w:cs="Tahoma"/>
                <w:color w:val="FFFFFF"/>
                <w:sz w:val="19"/>
                <w:szCs w:val="19"/>
              </w:rPr>
            </w:pPr>
            <w:r>
              <w:rPr>
                <w:rFonts w:ascii="Tahoma" w:hAnsi="Tahoma" w:cs="Tahoma"/>
                <w:color w:val="FFFFFF"/>
                <w:sz w:val="19"/>
                <w:szCs w:val="19"/>
              </w:rPr>
              <w:t>2023</w:t>
            </w:r>
          </w:p>
        </w:tc>
      </w:tr>
      <w:tr w:rsidR="00E10F93" w14:paraId="69A4C498" w14:textId="77777777" w:rsidTr="00D26ABB">
        <w:trPr>
          <w:trHeight w:val="642"/>
          <w:tblHeader/>
        </w:trPr>
        <w:tc>
          <w:tcPr>
            <w:tcW w:w="3119" w:type="dxa"/>
            <w:vMerge/>
            <w:shd w:val="clear" w:color="auto" w:fill="0098BA"/>
            <w:tcMar>
              <w:top w:w="0" w:type="dxa"/>
              <w:left w:w="70" w:type="dxa"/>
              <w:bottom w:w="0" w:type="dxa"/>
              <w:right w:w="70" w:type="dxa"/>
            </w:tcMar>
            <w:vAlign w:val="center"/>
          </w:tcPr>
          <w:p w14:paraId="170F8E80" w14:textId="77777777" w:rsidR="00B06B7D" w:rsidRDefault="00B06B7D" w:rsidP="00097EE2">
            <w:pPr>
              <w:rPr>
                <w:rFonts w:ascii="Tahoma" w:hAnsi="Tahoma" w:cs="Tahoma"/>
                <w:color w:val="FFFFFF"/>
                <w:sz w:val="19"/>
                <w:szCs w:val="19"/>
              </w:rPr>
            </w:pPr>
          </w:p>
        </w:tc>
        <w:tc>
          <w:tcPr>
            <w:tcW w:w="1276" w:type="dxa"/>
            <w:shd w:val="clear" w:color="auto" w:fill="0098BA"/>
            <w:tcMar>
              <w:top w:w="0" w:type="dxa"/>
              <w:left w:w="70" w:type="dxa"/>
              <w:bottom w:w="0" w:type="dxa"/>
              <w:right w:w="70" w:type="dxa"/>
            </w:tcMar>
            <w:vAlign w:val="center"/>
          </w:tcPr>
          <w:p w14:paraId="4ADA8D41" w14:textId="77777777" w:rsidR="00B06B7D" w:rsidRDefault="00B06B7D" w:rsidP="00097EE2">
            <w:pPr>
              <w:jc w:val="center"/>
              <w:rPr>
                <w:rFonts w:ascii="Tahoma" w:hAnsi="Tahoma" w:cs="Tahoma"/>
                <w:color w:val="FFFFFF"/>
                <w:sz w:val="19"/>
                <w:szCs w:val="19"/>
              </w:rPr>
            </w:pPr>
            <w:r>
              <w:rPr>
                <w:rFonts w:ascii="Tahoma" w:hAnsi="Tahoma" w:cs="Tahoma"/>
                <w:color w:val="FFFFFF"/>
                <w:sz w:val="19"/>
                <w:szCs w:val="19"/>
              </w:rPr>
              <w:t>Nº de projetos</w:t>
            </w:r>
          </w:p>
        </w:tc>
        <w:tc>
          <w:tcPr>
            <w:tcW w:w="1812" w:type="dxa"/>
            <w:shd w:val="clear" w:color="auto" w:fill="0098BA"/>
            <w:tcMar>
              <w:top w:w="0" w:type="dxa"/>
              <w:left w:w="70" w:type="dxa"/>
              <w:bottom w:w="0" w:type="dxa"/>
              <w:right w:w="70" w:type="dxa"/>
            </w:tcMar>
            <w:vAlign w:val="center"/>
          </w:tcPr>
          <w:p w14:paraId="3D69DEC4" w14:textId="77777777" w:rsidR="00B06B7D" w:rsidRDefault="00B06B7D" w:rsidP="00097EE2">
            <w:pPr>
              <w:jc w:val="center"/>
              <w:rPr>
                <w:rFonts w:ascii="Tahoma" w:hAnsi="Tahoma" w:cs="Tahoma"/>
                <w:color w:val="FFFFFF"/>
                <w:sz w:val="19"/>
                <w:szCs w:val="19"/>
              </w:rPr>
            </w:pPr>
            <w:r>
              <w:rPr>
                <w:rFonts w:ascii="Tahoma" w:hAnsi="Tahoma" w:cs="Tahoma"/>
                <w:color w:val="FFFFFF"/>
                <w:sz w:val="19"/>
                <w:szCs w:val="19"/>
              </w:rPr>
              <w:t>R$</w:t>
            </w:r>
          </w:p>
        </w:tc>
        <w:tc>
          <w:tcPr>
            <w:tcW w:w="1328" w:type="dxa"/>
            <w:shd w:val="clear" w:color="auto" w:fill="0098BA"/>
            <w:tcMar>
              <w:top w:w="0" w:type="dxa"/>
              <w:left w:w="70" w:type="dxa"/>
              <w:bottom w:w="0" w:type="dxa"/>
              <w:right w:w="70" w:type="dxa"/>
            </w:tcMar>
            <w:vAlign w:val="center"/>
          </w:tcPr>
          <w:p w14:paraId="2193CB1D" w14:textId="77777777" w:rsidR="00B06B7D" w:rsidRDefault="00B06B7D" w:rsidP="00097EE2">
            <w:pPr>
              <w:jc w:val="center"/>
              <w:rPr>
                <w:rFonts w:ascii="Tahoma" w:hAnsi="Tahoma" w:cs="Tahoma"/>
                <w:color w:val="FFFFFF"/>
                <w:sz w:val="19"/>
                <w:szCs w:val="19"/>
              </w:rPr>
            </w:pPr>
            <w:r>
              <w:rPr>
                <w:rFonts w:ascii="Tahoma" w:hAnsi="Tahoma" w:cs="Tahoma"/>
                <w:color w:val="FFFFFF"/>
                <w:sz w:val="19"/>
                <w:szCs w:val="19"/>
              </w:rPr>
              <w:t>Nº de projetos</w:t>
            </w:r>
          </w:p>
        </w:tc>
        <w:tc>
          <w:tcPr>
            <w:tcW w:w="1749" w:type="dxa"/>
            <w:shd w:val="clear" w:color="auto" w:fill="0098BA"/>
            <w:tcMar>
              <w:top w:w="0" w:type="dxa"/>
              <w:left w:w="70" w:type="dxa"/>
              <w:bottom w:w="0" w:type="dxa"/>
              <w:right w:w="70" w:type="dxa"/>
            </w:tcMar>
            <w:vAlign w:val="center"/>
          </w:tcPr>
          <w:p w14:paraId="3DE3DD12" w14:textId="77777777" w:rsidR="00B06B7D" w:rsidRDefault="00B06B7D" w:rsidP="00097EE2">
            <w:pPr>
              <w:jc w:val="center"/>
              <w:rPr>
                <w:rFonts w:ascii="Tahoma" w:hAnsi="Tahoma" w:cs="Tahoma"/>
                <w:color w:val="FFFFFF"/>
                <w:sz w:val="19"/>
                <w:szCs w:val="19"/>
              </w:rPr>
            </w:pPr>
            <w:r>
              <w:rPr>
                <w:rFonts w:ascii="Tahoma" w:hAnsi="Tahoma" w:cs="Tahoma"/>
                <w:color w:val="FFFFFF"/>
                <w:sz w:val="19"/>
                <w:szCs w:val="19"/>
              </w:rPr>
              <w:t>R$</w:t>
            </w:r>
          </w:p>
        </w:tc>
      </w:tr>
      <w:tr w:rsidR="00E10F93" w14:paraId="62D3DC52" w14:textId="77777777" w:rsidTr="00E10F93">
        <w:trPr>
          <w:trHeight w:val="315"/>
        </w:trPr>
        <w:tc>
          <w:tcPr>
            <w:tcW w:w="3119" w:type="dxa"/>
            <w:shd w:val="clear" w:color="auto" w:fill="auto"/>
            <w:tcMar>
              <w:top w:w="0" w:type="dxa"/>
              <w:left w:w="70" w:type="dxa"/>
              <w:bottom w:w="0" w:type="dxa"/>
              <w:right w:w="70" w:type="dxa"/>
            </w:tcMar>
            <w:vAlign w:val="center"/>
          </w:tcPr>
          <w:p w14:paraId="7116D8E0" w14:textId="77777777" w:rsidR="00E10F93" w:rsidRDefault="00E10F93" w:rsidP="00E10F93">
            <w:pPr>
              <w:ind w:firstLine="134"/>
              <w:rPr>
                <w:rFonts w:ascii="Tahoma" w:hAnsi="Tahoma" w:cs="Tahoma"/>
                <w:sz w:val="19"/>
                <w:szCs w:val="19"/>
              </w:rPr>
            </w:pPr>
            <w:r>
              <w:rPr>
                <w:rFonts w:ascii="Tahoma" w:hAnsi="Tahoma" w:cs="Tahoma"/>
                <w:sz w:val="19"/>
                <w:szCs w:val="19"/>
              </w:rPr>
              <w:t>Contratação</w:t>
            </w:r>
          </w:p>
        </w:tc>
        <w:tc>
          <w:tcPr>
            <w:tcW w:w="1276" w:type="dxa"/>
            <w:shd w:val="clear" w:color="auto" w:fill="auto"/>
            <w:tcMar>
              <w:top w:w="0" w:type="dxa"/>
              <w:left w:w="70" w:type="dxa"/>
              <w:bottom w:w="0" w:type="dxa"/>
              <w:right w:w="70" w:type="dxa"/>
            </w:tcMar>
            <w:vAlign w:val="center"/>
          </w:tcPr>
          <w:p w14:paraId="148B0B87" w14:textId="5506C243" w:rsidR="00E10F93" w:rsidRDefault="00E10F93" w:rsidP="00E10F93">
            <w:pPr>
              <w:jc w:val="center"/>
              <w:rPr>
                <w:rFonts w:ascii="Tahoma" w:hAnsi="Tahoma" w:cs="Tahoma"/>
                <w:sz w:val="19"/>
                <w:szCs w:val="19"/>
              </w:rPr>
            </w:pPr>
            <w:r>
              <w:rPr>
                <w:rFonts w:ascii="Tahoma" w:hAnsi="Tahoma" w:cs="Tahoma"/>
                <w:sz w:val="19"/>
                <w:szCs w:val="19"/>
              </w:rPr>
              <w:t>429</w:t>
            </w:r>
          </w:p>
        </w:tc>
        <w:tc>
          <w:tcPr>
            <w:tcW w:w="1812" w:type="dxa"/>
            <w:shd w:val="clear" w:color="auto" w:fill="auto"/>
            <w:tcMar>
              <w:top w:w="0" w:type="dxa"/>
              <w:left w:w="70" w:type="dxa"/>
              <w:bottom w:w="0" w:type="dxa"/>
              <w:right w:w="70" w:type="dxa"/>
            </w:tcMar>
            <w:vAlign w:val="center"/>
          </w:tcPr>
          <w:p w14:paraId="35460127" w14:textId="5034AEF9" w:rsidR="00E10F93" w:rsidRDefault="00E10F93" w:rsidP="00E10F93">
            <w:pPr>
              <w:ind w:firstLine="134"/>
              <w:jc w:val="right"/>
              <w:rPr>
                <w:rFonts w:ascii="Tahoma" w:hAnsi="Tahoma" w:cs="Tahoma"/>
                <w:sz w:val="19"/>
                <w:szCs w:val="19"/>
              </w:rPr>
            </w:pPr>
            <w:r>
              <w:rPr>
                <w:rFonts w:ascii="Tahoma" w:hAnsi="Tahoma" w:cs="Tahoma"/>
                <w:sz w:val="19"/>
                <w:szCs w:val="19"/>
              </w:rPr>
              <w:t>2.351.733.468, 91</w:t>
            </w:r>
          </w:p>
        </w:tc>
        <w:tc>
          <w:tcPr>
            <w:tcW w:w="1328" w:type="dxa"/>
            <w:shd w:val="clear" w:color="auto" w:fill="auto"/>
            <w:tcMar>
              <w:top w:w="0" w:type="dxa"/>
              <w:left w:w="70" w:type="dxa"/>
              <w:bottom w:w="0" w:type="dxa"/>
              <w:right w:w="70" w:type="dxa"/>
            </w:tcMar>
            <w:vAlign w:val="center"/>
          </w:tcPr>
          <w:p w14:paraId="59A6F71B" w14:textId="445F1142" w:rsidR="00E10F93" w:rsidRDefault="00E10F93" w:rsidP="00E10F93">
            <w:pPr>
              <w:jc w:val="center"/>
              <w:rPr>
                <w:rFonts w:ascii="Tahoma" w:hAnsi="Tahoma" w:cs="Tahoma"/>
                <w:sz w:val="19"/>
                <w:szCs w:val="19"/>
              </w:rPr>
            </w:pPr>
            <w:r w:rsidRPr="00E10F93">
              <w:rPr>
                <w:rFonts w:ascii="Tahoma" w:hAnsi="Tahoma" w:cs="Tahoma"/>
                <w:sz w:val="19"/>
                <w:szCs w:val="19"/>
              </w:rPr>
              <w:t>370</w:t>
            </w:r>
          </w:p>
        </w:tc>
        <w:tc>
          <w:tcPr>
            <w:tcW w:w="1749" w:type="dxa"/>
            <w:shd w:val="clear" w:color="auto" w:fill="auto"/>
            <w:tcMar>
              <w:top w:w="0" w:type="dxa"/>
              <w:left w:w="70" w:type="dxa"/>
              <w:bottom w:w="0" w:type="dxa"/>
              <w:right w:w="70" w:type="dxa"/>
            </w:tcMar>
            <w:vAlign w:val="center"/>
          </w:tcPr>
          <w:p w14:paraId="75629AA7" w14:textId="10296492" w:rsidR="00E10F93" w:rsidRDefault="00E10F93" w:rsidP="00E10F93">
            <w:pPr>
              <w:ind w:firstLine="134"/>
              <w:jc w:val="right"/>
              <w:rPr>
                <w:rFonts w:ascii="Tahoma" w:hAnsi="Tahoma" w:cs="Tahoma"/>
                <w:sz w:val="19"/>
                <w:szCs w:val="19"/>
              </w:rPr>
            </w:pPr>
            <w:r w:rsidRPr="00E10F93">
              <w:rPr>
                <w:rFonts w:ascii="Tahoma" w:hAnsi="Tahoma" w:cs="Tahoma"/>
                <w:sz w:val="19"/>
                <w:szCs w:val="19"/>
              </w:rPr>
              <w:t>1.287.941.596,31</w:t>
            </w:r>
          </w:p>
        </w:tc>
      </w:tr>
      <w:tr w:rsidR="00E10F93" w14:paraId="7619B164" w14:textId="77777777" w:rsidTr="00E10F93">
        <w:trPr>
          <w:trHeight w:val="315"/>
        </w:trPr>
        <w:tc>
          <w:tcPr>
            <w:tcW w:w="3119" w:type="dxa"/>
            <w:shd w:val="clear" w:color="auto" w:fill="auto"/>
            <w:tcMar>
              <w:top w:w="0" w:type="dxa"/>
              <w:left w:w="70" w:type="dxa"/>
              <w:bottom w:w="0" w:type="dxa"/>
              <w:right w:w="70" w:type="dxa"/>
            </w:tcMar>
            <w:vAlign w:val="center"/>
          </w:tcPr>
          <w:p w14:paraId="74B8261B" w14:textId="77777777" w:rsidR="00B06B7D" w:rsidRDefault="00B06B7D" w:rsidP="00B06B7D">
            <w:pPr>
              <w:ind w:firstLine="134"/>
              <w:rPr>
                <w:rFonts w:ascii="Tahoma" w:hAnsi="Tahoma" w:cs="Tahoma"/>
                <w:color w:val="000000"/>
                <w:sz w:val="19"/>
                <w:szCs w:val="19"/>
              </w:rPr>
            </w:pPr>
            <w:r>
              <w:rPr>
                <w:rFonts w:ascii="Tahoma" w:hAnsi="Tahoma" w:cs="Tahoma"/>
                <w:color w:val="000000"/>
                <w:sz w:val="19"/>
                <w:szCs w:val="19"/>
              </w:rPr>
              <w:t>Liberação</w:t>
            </w:r>
          </w:p>
        </w:tc>
        <w:tc>
          <w:tcPr>
            <w:tcW w:w="1276" w:type="dxa"/>
            <w:shd w:val="clear" w:color="auto" w:fill="auto"/>
            <w:tcMar>
              <w:top w:w="0" w:type="dxa"/>
              <w:left w:w="70" w:type="dxa"/>
              <w:bottom w:w="0" w:type="dxa"/>
              <w:right w:w="70" w:type="dxa"/>
            </w:tcMar>
            <w:vAlign w:val="center"/>
          </w:tcPr>
          <w:p w14:paraId="579ABE5C" w14:textId="3B3F678D" w:rsidR="00B06B7D" w:rsidRDefault="00B06B7D" w:rsidP="00B06B7D">
            <w:pPr>
              <w:jc w:val="center"/>
              <w:rPr>
                <w:rFonts w:ascii="Tahoma" w:hAnsi="Tahoma" w:cs="Tahoma"/>
                <w:sz w:val="19"/>
                <w:szCs w:val="19"/>
              </w:rPr>
            </w:pPr>
            <w:r>
              <w:rPr>
                <w:rFonts w:ascii="Tahoma" w:hAnsi="Tahoma" w:cs="Tahoma"/>
                <w:sz w:val="19"/>
                <w:szCs w:val="19"/>
              </w:rPr>
              <w:t>508</w:t>
            </w:r>
          </w:p>
        </w:tc>
        <w:tc>
          <w:tcPr>
            <w:tcW w:w="1812" w:type="dxa"/>
            <w:shd w:val="clear" w:color="auto" w:fill="auto"/>
            <w:tcMar>
              <w:top w:w="0" w:type="dxa"/>
              <w:left w:w="70" w:type="dxa"/>
              <w:bottom w:w="0" w:type="dxa"/>
              <w:right w:w="70" w:type="dxa"/>
            </w:tcMar>
            <w:vAlign w:val="center"/>
          </w:tcPr>
          <w:p w14:paraId="6685C6A1" w14:textId="5045602A" w:rsidR="00B06B7D" w:rsidRDefault="00B06B7D" w:rsidP="00B06B7D">
            <w:pPr>
              <w:ind w:firstLine="134"/>
              <w:jc w:val="right"/>
              <w:rPr>
                <w:rFonts w:ascii="Tahoma" w:hAnsi="Tahoma" w:cs="Tahoma"/>
                <w:sz w:val="19"/>
                <w:szCs w:val="19"/>
              </w:rPr>
            </w:pPr>
            <w:r>
              <w:rPr>
                <w:rFonts w:ascii="Tahoma" w:hAnsi="Tahoma" w:cs="Tahoma"/>
                <w:sz w:val="19"/>
                <w:szCs w:val="19"/>
              </w:rPr>
              <w:t>793.801.76</w:t>
            </w:r>
            <w:r w:rsidR="00E10F93">
              <w:rPr>
                <w:rFonts w:ascii="Tahoma" w:hAnsi="Tahoma" w:cs="Tahoma"/>
                <w:sz w:val="19"/>
                <w:szCs w:val="19"/>
              </w:rPr>
              <w:t>4,75</w:t>
            </w:r>
          </w:p>
        </w:tc>
        <w:tc>
          <w:tcPr>
            <w:tcW w:w="1328" w:type="dxa"/>
            <w:shd w:val="clear" w:color="auto" w:fill="auto"/>
            <w:tcMar>
              <w:top w:w="0" w:type="dxa"/>
              <w:left w:w="70" w:type="dxa"/>
              <w:bottom w:w="0" w:type="dxa"/>
              <w:right w:w="70" w:type="dxa"/>
            </w:tcMar>
            <w:vAlign w:val="center"/>
          </w:tcPr>
          <w:p w14:paraId="35220E51" w14:textId="35FBEA31" w:rsidR="00B06B7D" w:rsidRDefault="00E10F93" w:rsidP="00B06B7D">
            <w:pPr>
              <w:jc w:val="center"/>
              <w:rPr>
                <w:rFonts w:ascii="Tahoma" w:hAnsi="Tahoma" w:cs="Tahoma"/>
                <w:sz w:val="19"/>
                <w:szCs w:val="19"/>
              </w:rPr>
            </w:pPr>
            <w:r w:rsidRPr="00E10F93">
              <w:rPr>
                <w:rFonts w:ascii="Tahoma" w:hAnsi="Tahoma" w:cs="Tahoma"/>
                <w:sz w:val="19"/>
                <w:szCs w:val="19"/>
              </w:rPr>
              <w:t>622</w:t>
            </w:r>
          </w:p>
        </w:tc>
        <w:tc>
          <w:tcPr>
            <w:tcW w:w="1749" w:type="dxa"/>
            <w:shd w:val="clear" w:color="auto" w:fill="auto"/>
            <w:tcMar>
              <w:top w:w="0" w:type="dxa"/>
              <w:left w:w="70" w:type="dxa"/>
              <w:bottom w:w="0" w:type="dxa"/>
              <w:right w:w="70" w:type="dxa"/>
            </w:tcMar>
            <w:vAlign w:val="center"/>
          </w:tcPr>
          <w:p w14:paraId="768C0E9E" w14:textId="405BB2C1" w:rsidR="00B06B7D" w:rsidRDefault="00E10F93" w:rsidP="00B06B7D">
            <w:pPr>
              <w:ind w:firstLine="134"/>
              <w:jc w:val="right"/>
              <w:rPr>
                <w:rFonts w:ascii="Tahoma" w:hAnsi="Tahoma" w:cs="Tahoma"/>
                <w:sz w:val="19"/>
                <w:szCs w:val="19"/>
              </w:rPr>
            </w:pPr>
            <w:r w:rsidRPr="00E10F93">
              <w:rPr>
                <w:rFonts w:ascii="Tahoma" w:hAnsi="Tahoma" w:cs="Tahoma"/>
                <w:sz w:val="19"/>
                <w:szCs w:val="19"/>
              </w:rPr>
              <w:t>1.513.190.367,09</w:t>
            </w:r>
          </w:p>
        </w:tc>
      </w:tr>
    </w:tbl>
    <w:p w14:paraId="52B73C0B" w14:textId="0A018FD0" w:rsidR="00B06B7D" w:rsidRPr="009E1779" w:rsidRDefault="00B06B7D" w:rsidP="00B06B7D">
      <w:pPr>
        <w:autoSpaceDE w:val="0"/>
        <w:spacing w:after="120"/>
        <w:textAlignment w:val="center"/>
        <w:rPr>
          <w:rFonts w:ascii="Tahoma" w:hAnsi="Tahoma" w:cs="Tahoma"/>
          <w:color w:val="000000"/>
          <w:sz w:val="18"/>
          <w:szCs w:val="18"/>
        </w:rPr>
      </w:pPr>
      <w:r w:rsidRPr="00681449">
        <w:rPr>
          <w:rFonts w:ascii="Tahoma" w:hAnsi="Tahoma" w:cs="Tahoma"/>
          <w:color w:val="000000"/>
          <w:sz w:val="18"/>
          <w:szCs w:val="18"/>
        </w:rPr>
        <w:t xml:space="preserve">Dados obtidos em: </w:t>
      </w:r>
      <w:r w:rsidR="00E10F93" w:rsidRPr="00681449">
        <w:rPr>
          <w:rFonts w:ascii="Tahoma" w:hAnsi="Tahoma" w:cs="Tahoma"/>
          <w:color w:val="000000"/>
          <w:sz w:val="18"/>
          <w:szCs w:val="18"/>
        </w:rPr>
        <w:t>fev/24</w:t>
      </w:r>
    </w:p>
    <w:p w14:paraId="3DA13A9F" w14:textId="77777777" w:rsidR="009E1779" w:rsidRDefault="009E1779" w:rsidP="00C82556">
      <w:pPr>
        <w:spacing w:before="120" w:after="120" w:line="360" w:lineRule="auto"/>
        <w:rPr>
          <w:rFonts w:ascii="Tahoma" w:hAnsi="Tahoma" w:cs="Tahoma"/>
          <w:sz w:val="19"/>
          <w:szCs w:val="19"/>
        </w:rPr>
      </w:pPr>
    </w:p>
    <w:p w14:paraId="02A32E7B" w14:textId="77777777" w:rsidR="00E87EF3" w:rsidRPr="009E1779" w:rsidRDefault="00E87EF3" w:rsidP="00C82556">
      <w:pPr>
        <w:spacing w:before="120" w:after="120" w:line="360" w:lineRule="auto"/>
        <w:rPr>
          <w:rFonts w:ascii="Tahoma" w:hAnsi="Tahoma" w:cs="Tahoma"/>
          <w:sz w:val="19"/>
          <w:szCs w:val="19"/>
        </w:rPr>
      </w:pPr>
    </w:p>
    <w:p w14:paraId="59371687" w14:textId="77777777" w:rsidR="00E87EF3" w:rsidRPr="00BB7B36" w:rsidRDefault="00E87EF3" w:rsidP="00E87EF3">
      <w:pPr>
        <w:spacing w:before="120" w:after="120" w:line="360" w:lineRule="auto"/>
        <w:rPr>
          <w:rFonts w:ascii="Tahoma" w:hAnsi="Tahoma" w:cs="Tahoma"/>
          <w:color w:val="0098BA"/>
          <w:sz w:val="19"/>
          <w:szCs w:val="19"/>
        </w:rPr>
      </w:pPr>
      <w:r w:rsidRPr="00077B27">
        <w:rPr>
          <w:rFonts w:ascii="Tahoma" w:hAnsi="Tahoma" w:cs="Tahoma"/>
          <w:color w:val="0098BA"/>
          <w:sz w:val="19"/>
          <w:szCs w:val="19"/>
        </w:rPr>
        <w:t>Exemplos de projetos apoiados</w:t>
      </w:r>
    </w:p>
    <w:p w14:paraId="5BAD4425" w14:textId="7604F8E0" w:rsidR="00DB5DCC" w:rsidRDefault="00DB5DCC" w:rsidP="00BB7B36">
      <w:pPr>
        <w:spacing w:before="120" w:after="120"/>
        <w:rPr>
          <w:rFonts w:ascii="Tahoma" w:hAnsi="Tahoma" w:cs="Tahoma"/>
          <w:sz w:val="19"/>
          <w:szCs w:val="19"/>
        </w:rPr>
      </w:pPr>
      <w:r>
        <w:rPr>
          <w:noProof/>
        </w:rPr>
        <w:drawing>
          <wp:inline distT="0" distB="0" distL="0" distR="0" wp14:anchorId="37CCA0BD" wp14:editId="1773BE15">
            <wp:extent cx="5795010" cy="3259455"/>
            <wp:effectExtent l="0" t="0" r="0" b="0"/>
            <wp:docPr id="15984252"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252" name=""/>
                    <pic:cNvPicPr/>
                  </pic:nvPicPr>
                  <pic:blipFill>
                    <a:blip r:embed="rId116">
                      <a:extLst>
                        <a:ext uri="{96DAC541-7B7A-43D3-8B79-37D633B846F1}">
                          <asvg:svgBlip xmlns:asvg="http://schemas.microsoft.com/office/drawing/2016/SVG/main" r:embed="rId117"/>
                        </a:ext>
                      </a:extLst>
                    </a:blip>
                    <a:stretch>
                      <a:fillRect/>
                    </a:stretch>
                  </pic:blipFill>
                  <pic:spPr>
                    <a:xfrm>
                      <a:off x="0" y="0"/>
                      <a:ext cx="5795010" cy="3259455"/>
                    </a:xfrm>
                    <a:prstGeom prst="rect">
                      <a:avLst/>
                    </a:prstGeom>
                  </pic:spPr>
                </pic:pic>
              </a:graphicData>
            </a:graphic>
          </wp:inline>
        </w:drawing>
      </w:r>
    </w:p>
    <w:p w14:paraId="4F2503C4" w14:textId="49539362" w:rsidR="00DB5DCC" w:rsidRDefault="00DB5DCC" w:rsidP="00BB7B36">
      <w:pPr>
        <w:spacing w:before="120" w:after="120"/>
        <w:rPr>
          <w:rFonts w:ascii="Tahoma" w:hAnsi="Tahoma" w:cs="Tahoma"/>
          <w:sz w:val="19"/>
          <w:szCs w:val="19"/>
        </w:rPr>
      </w:pPr>
      <w:r>
        <w:rPr>
          <w:noProof/>
        </w:rPr>
        <w:lastRenderedPageBreak/>
        <w:drawing>
          <wp:inline distT="0" distB="0" distL="0" distR="0" wp14:anchorId="2649DF95" wp14:editId="4E4FDBBB">
            <wp:extent cx="5795010" cy="3259455"/>
            <wp:effectExtent l="0" t="0" r="0" b="0"/>
            <wp:docPr id="37712764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27641" name=""/>
                    <pic:cNvPicPr/>
                  </pic:nvPicPr>
                  <pic:blipFill>
                    <a:blip r:embed="rId118">
                      <a:extLst>
                        <a:ext uri="{96DAC541-7B7A-43D3-8B79-37D633B846F1}">
                          <asvg:svgBlip xmlns:asvg="http://schemas.microsoft.com/office/drawing/2016/SVG/main" r:embed="rId119"/>
                        </a:ext>
                      </a:extLst>
                    </a:blip>
                    <a:stretch>
                      <a:fillRect/>
                    </a:stretch>
                  </pic:blipFill>
                  <pic:spPr>
                    <a:xfrm>
                      <a:off x="0" y="0"/>
                      <a:ext cx="5795010" cy="3259455"/>
                    </a:xfrm>
                    <a:prstGeom prst="rect">
                      <a:avLst/>
                    </a:prstGeom>
                  </pic:spPr>
                </pic:pic>
              </a:graphicData>
            </a:graphic>
          </wp:inline>
        </w:drawing>
      </w:r>
    </w:p>
    <w:p w14:paraId="64C0DAAB" w14:textId="77777777" w:rsidR="00DB5DCC" w:rsidRDefault="00DB5DCC">
      <w:pPr>
        <w:spacing w:before="120" w:after="120" w:line="360" w:lineRule="auto"/>
        <w:rPr>
          <w:rFonts w:ascii="Tahoma" w:hAnsi="Tahoma" w:cs="Tahoma"/>
          <w:sz w:val="19"/>
          <w:szCs w:val="19"/>
        </w:rPr>
      </w:pPr>
    </w:p>
    <w:p w14:paraId="72ED9E7C" w14:textId="7A17F404" w:rsidR="00DB5DCC" w:rsidRDefault="00DB5DCC">
      <w:pPr>
        <w:spacing w:before="120" w:after="120" w:line="360" w:lineRule="auto"/>
        <w:rPr>
          <w:rFonts w:ascii="Tahoma" w:hAnsi="Tahoma" w:cs="Tahoma"/>
          <w:sz w:val="19"/>
          <w:szCs w:val="19"/>
        </w:rPr>
      </w:pPr>
      <w:r>
        <w:rPr>
          <w:noProof/>
        </w:rPr>
        <w:drawing>
          <wp:inline distT="0" distB="0" distL="0" distR="0" wp14:anchorId="03F92921" wp14:editId="68AD864C">
            <wp:extent cx="5795010" cy="3259455"/>
            <wp:effectExtent l="0" t="0" r="0" b="0"/>
            <wp:docPr id="13744727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7271" name=""/>
                    <pic:cNvPicPr/>
                  </pic:nvPicPr>
                  <pic:blipFill>
                    <a:blip r:embed="rId120">
                      <a:extLst>
                        <a:ext uri="{96DAC541-7B7A-43D3-8B79-37D633B846F1}">
                          <asvg:svgBlip xmlns:asvg="http://schemas.microsoft.com/office/drawing/2016/SVG/main" r:embed="rId121"/>
                        </a:ext>
                      </a:extLst>
                    </a:blip>
                    <a:stretch>
                      <a:fillRect/>
                    </a:stretch>
                  </pic:blipFill>
                  <pic:spPr>
                    <a:xfrm>
                      <a:off x="0" y="0"/>
                      <a:ext cx="5795010" cy="3259455"/>
                    </a:xfrm>
                    <a:prstGeom prst="rect">
                      <a:avLst/>
                    </a:prstGeom>
                  </pic:spPr>
                </pic:pic>
              </a:graphicData>
            </a:graphic>
          </wp:inline>
        </w:drawing>
      </w:r>
    </w:p>
    <w:p w14:paraId="2E38A236" w14:textId="77777777" w:rsidR="00DB5DCC" w:rsidRDefault="00DB5DCC">
      <w:pPr>
        <w:spacing w:before="120" w:after="120" w:line="360" w:lineRule="auto"/>
        <w:rPr>
          <w:rFonts w:ascii="Tahoma" w:hAnsi="Tahoma" w:cs="Tahoma"/>
          <w:sz w:val="19"/>
          <w:szCs w:val="19"/>
        </w:rPr>
      </w:pPr>
    </w:p>
    <w:p w14:paraId="72DF8E6B" w14:textId="5AB8710E" w:rsidR="00DB5DCC" w:rsidRDefault="00DB5DCC">
      <w:pPr>
        <w:spacing w:before="120" w:after="120" w:line="360" w:lineRule="auto"/>
        <w:rPr>
          <w:rFonts w:ascii="Tahoma" w:hAnsi="Tahoma" w:cs="Tahoma"/>
          <w:sz w:val="19"/>
          <w:szCs w:val="19"/>
        </w:rPr>
      </w:pPr>
      <w:r>
        <w:rPr>
          <w:noProof/>
        </w:rPr>
        <w:lastRenderedPageBreak/>
        <w:drawing>
          <wp:inline distT="0" distB="0" distL="0" distR="0" wp14:anchorId="70D606AA" wp14:editId="64060AFE">
            <wp:extent cx="5795010" cy="3259455"/>
            <wp:effectExtent l="0" t="0" r="0" b="0"/>
            <wp:docPr id="1457898992"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98992" name=""/>
                    <pic:cNvPicPr/>
                  </pic:nvPicPr>
                  <pic:blipFill>
                    <a:blip r:embed="rId122">
                      <a:extLst>
                        <a:ext uri="{96DAC541-7B7A-43D3-8B79-37D633B846F1}">
                          <asvg:svgBlip xmlns:asvg="http://schemas.microsoft.com/office/drawing/2016/SVG/main" r:embed="rId123"/>
                        </a:ext>
                      </a:extLst>
                    </a:blip>
                    <a:stretch>
                      <a:fillRect/>
                    </a:stretch>
                  </pic:blipFill>
                  <pic:spPr>
                    <a:xfrm>
                      <a:off x="0" y="0"/>
                      <a:ext cx="5795010" cy="3259455"/>
                    </a:xfrm>
                    <a:prstGeom prst="rect">
                      <a:avLst/>
                    </a:prstGeom>
                  </pic:spPr>
                </pic:pic>
              </a:graphicData>
            </a:graphic>
          </wp:inline>
        </w:drawing>
      </w:r>
    </w:p>
    <w:p w14:paraId="0500D97C" w14:textId="77777777" w:rsidR="00DB5DCC" w:rsidRDefault="00DB5DCC">
      <w:pPr>
        <w:spacing w:before="120" w:after="120" w:line="360" w:lineRule="auto"/>
        <w:rPr>
          <w:rFonts w:ascii="Tahoma" w:hAnsi="Tahoma" w:cs="Tahoma"/>
          <w:sz w:val="19"/>
          <w:szCs w:val="19"/>
        </w:rPr>
      </w:pPr>
    </w:p>
    <w:p w14:paraId="0CC8C97B" w14:textId="0141F5FF" w:rsidR="00DB5DCC" w:rsidRDefault="00DB5DCC">
      <w:pPr>
        <w:spacing w:before="120" w:after="120" w:line="360" w:lineRule="auto"/>
        <w:rPr>
          <w:rFonts w:ascii="Tahoma" w:hAnsi="Tahoma" w:cs="Tahoma"/>
          <w:sz w:val="19"/>
          <w:szCs w:val="19"/>
        </w:rPr>
      </w:pPr>
      <w:r>
        <w:rPr>
          <w:noProof/>
        </w:rPr>
        <w:drawing>
          <wp:inline distT="0" distB="0" distL="0" distR="0" wp14:anchorId="5A86E079" wp14:editId="56E09600">
            <wp:extent cx="5795010" cy="3259455"/>
            <wp:effectExtent l="0" t="0" r="0" b="0"/>
            <wp:docPr id="1655891096"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891096" name=""/>
                    <pic:cNvPicPr/>
                  </pic:nvPicPr>
                  <pic:blipFill>
                    <a:blip r:embed="rId124">
                      <a:extLst>
                        <a:ext uri="{96DAC541-7B7A-43D3-8B79-37D633B846F1}">
                          <asvg:svgBlip xmlns:asvg="http://schemas.microsoft.com/office/drawing/2016/SVG/main" r:embed="rId125"/>
                        </a:ext>
                      </a:extLst>
                    </a:blip>
                    <a:stretch>
                      <a:fillRect/>
                    </a:stretch>
                  </pic:blipFill>
                  <pic:spPr>
                    <a:xfrm>
                      <a:off x="0" y="0"/>
                      <a:ext cx="5795010" cy="3259455"/>
                    </a:xfrm>
                    <a:prstGeom prst="rect">
                      <a:avLst/>
                    </a:prstGeom>
                  </pic:spPr>
                </pic:pic>
              </a:graphicData>
            </a:graphic>
          </wp:inline>
        </w:drawing>
      </w:r>
    </w:p>
    <w:p w14:paraId="4FAD3642" w14:textId="77777777" w:rsidR="00DB5DCC" w:rsidRDefault="00DB5DCC">
      <w:pPr>
        <w:spacing w:before="120" w:after="120" w:line="360" w:lineRule="auto"/>
        <w:rPr>
          <w:rFonts w:ascii="Tahoma" w:hAnsi="Tahoma" w:cs="Tahoma"/>
          <w:sz w:val="19"/>
          <w:szCs w:val="19"/>
        </w:rPr>
      </w:pPr>
    </w:p>
    <w:p w14:paraId="3A3B2484" w14:textId="559807E9" w:rsidR="00DB5DCC" w:rsidRDefault="00DB5DCC">
      <w:pPr>
        <w:spacing w:before="120" w:after="120" w:line="360" w:lineRule="auto"/>
        <w:rPr>
          <w:rFonts w:ascii="Tahoma" w:hAnsi="Tahoma" w:cs="Tahoma"/>
          <w:sz w:val="19"/>
          <w:szCs w:val="19"/>
        </w:rPr>
      </w:pPr>
      <w:r>
        <w:rPr>
          <w:noProof/>
        </w:rPr>
        <w:lastRenderedPageBreak/>
        <w:drawing>
          <wp:inline distT="0" distB="0" distL="0" distR="0" wp14:anchorId="44744D63" wp14:editId="08C00CA6">
            <wp:extent cx="5795010" cy="3259455"/>
            <wp:effectExtent l="0" t="0" r="0" b="0"/>
            <wp:docPr id="13791505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5051" name=""/>
                    <pic:cNvPicPr/>
                  </pic:nvPicPr>
                  <pic:blipFill>
                    <a:blip r:embed="rId126">
                      <a:extLst>
                        <a:ext uri="{96DAC541-7B7A-43D3-8B79-37D633B846F1}">
                          <asvg:svgBlip xmlns:asvg="http://schemas.microsoft.com/office/drawing/2016/SVG/main" r:embed="rId127"/>
                        </a:ext>
                      </a:extLst>
                    </a:blip>
                    <a:stretch>
                      <a:fillRect/>
                    </a:stretch>
                  </pic:blipFill>
                  <pic:spPr>
                    <a:xfrm>
                      <a:off x="0" y="0"/>
                      <a:ext cx="5795010" cy="3259455"/>
                    </a:xfrm>
                    <a:prstGeom prst="rect">
                      <a:avLst/>
                    </a:prstGeom>
                  </pic:spPr>
                </pic:pic>
              </a:graphicData>
            </a:graphic>
          </wp:inline>
        </w:drawing>
      </w:r>
    </w:p>
    <w:p w14:paraId="08D5A21E" w14:textId="77777777" w:rsidR="00DB5DCC" w:rsidRDefault="00DB5DCC">
      <w:pPr>
        <w:spacing w:before="120" w:after="120" w:line="360" w:lineRule="auto"/>
        <w:rPr>
          <w:rFonts w:ascii="Tahoma" w:hAnsi="Tahoma" w:cs="Tahoma"/>
          <w:sz w:val="19"/>
          <w:szCs w:val="19"/>
        </w:rPr>
      </w:pPr>
    </w:p>
    <w:p w14:paraId="572333C3" w14:textId="4609C30E" w:rsidR="00DB5DCC" w:rsidRDefault="00DB5DCC">
      <w:pPr>
        <w:spacing w:before="120" w:after="120" w:line="360" w:lineRule="auto"/>
        <w:rPr>
          <w:rFonts w:ascii="Tahoma" w:hAnsi="Tahoma" w:cs="Tahoma"/>
          <w:sz w:val="19"/>
          <w:szCs w:val="19"/>
        </w:rPr>
      </w:pPr>
      <w:r>
        <w:rPr>
          <w:noProof/>
        </w:rPr>
        <w:drawing>
          <wp:inline distT="0" distB="0" distL="0" distR="0" wp14:anchorId="7F8CD5D6" wp14:editId="4AB1E9A3">
            <wp:extent cx="5795010" cy="3259455"/>
            <wp:effectExtent l="0" t="0" r="0" b="0"/>
            <wp:docPr id="763994226"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94226" name=""/>
                    <pic:cNvPicPr/>
                  </pic:nvPicPr>
                  <pic:blipFill>
                    <a:blip r:embed="rId128">
                      <a:extLst>
                        <a:ext uri="{96DAC541-7B7A-43D3-8B79-37D633B846F1}">
                          <asvg:svgBlip xmlns:asvg="http://schemas.microsoft.com/office/drawing/2016/SVG/main" r:embed="rId129"/>
                        </a:ext>
                      </a:extLst>
                    </a:blip>
                    <a:stretch>
                      <a:fillRect/>
                    </a:stretch>
                  </pic:blipFill>
                  <pic:spPr>
                    <a:xfrm>
                      <a:off x="0" y="0"/>
                      <a:ext cx="5795010" cy="3259455"/>
                    </a:xfrm>
                    <a:prstGeom prst="rect">
                      <a:avLst/>
                    </a:prstGeom>
                  </pic:spPr>
                </pic:pic>
              </a:graphicData>
            </a:graphic>
          </wp:inline>
        </w:drawing>
      </w:r>
    </w:p>
    <w:p w14:paraId="2E28C594" w14:textId="77777777" w:rsidR="00DB5DCC" w:rsidRDefault="00DB5DCC">
      <w:pPr>
        <w:spacing w:before="120" w:after="120" w:line="360" w:lineRule="auto"/>
        <w:rPr>
          <w:rFonts w:ascii="Tahoma" w:hAnsi="Tahoma" w:cs="Tahoma"/>
          <w:sz w:val="19"/>
          <w:szCs w:val="19"/>
        </w:rPr>
      </w:pPr>
    </w:p>
    <w:p w14:paraId="6787F8A8" w14:textId="67EB1670" w:rsidR="00DB5DCC" w:rsidRDefault="00DB5DCC">
      <w:pPr>
        <w:spacing w:before="120" w:after="120" w:line="360" w:lineRule="auto"/>
        <w:rPr>
          <w:rFonts w:ascii="Tahoma" w:hAnsi="Tahoma" w:cs="Tahoma"/>
          <w:sz w:val="19"/>
          <w:szCs w:val="19"/>
        </w:rPr>
      </w:pPr>
      <w:r>
        <w:rPr>
          <w:noProof/>
        </w:rPr>
        <w:lastRenderedPageBreak/>
        <w:drawing>
          <wp:inline distT="0" distB="0" distL="0" distR="0" wp14:anchorId="40C8B9C7" wp14:editId="0C9A5321">
            <wp:extent cx="5795010" cy="3259455"/>
            <wp:effectExtent l="0" t="0" r="0" b="0"/>
            <wp:docPr id="957585815"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85815" name=""/>
                    <pic:cNvPicPr/>
                  </pic:nvPicPr>
                  <pic:blipFill>
                    <a:blip r:embed="rId130">
                      <a:extLst>
                        <a:ext uri="{96DAC541-7B7A-43D3-8B79-37D633B846F1}">
                          <asvg:svgBlip xmlns:asvg="http://schemas.microsoft.com/office/drawing/2016/SVG/main" r:embed="rId131"/>
                        </a:ext>
                      </a:extLst>
                    </a:blip>
                    <a:stretch>
                      <a:fillRect/>
                    </a:stretch>
                  </pic:blipFill>
                  <pic:spPr>
                    <a:xfrm>
                      <a:off x="0" y="0"/>
                      <a:ext cx="5795010" cy="3259455"/>
                    </a:xfrm>
                    <a:prstGeom prst="rect">
                      <a:avLst/>
                    </a:prstGeom>
                  </pic:spPr>
                </pic:pic>
              </a:graphicData>
            </a:graphic>
          </wp:inline>
        </w:drawing>
      </w:r>
    </w:p>
    <w:p w14:paraId="51D5D602" w14:textId="77777777" w:rsidR="00DB5DCC" w:rsidRDefault="00DB5DCC">
      <w:pPr>
        <w:spacing w:before="120" w:after="120" w:line="360" w:lineRule="auto"/>
        <w:rPr>
          <w:rFonts w:ascii="Tahoma" w:hAnsi="Tahoma" w:cs="Tahoma"/>
          <w:sz w:val="19"/>
          <w:szCs w:val="19"/>
        </w:rPr>
      </w:pPr>
    </w:p>
    <w:p w14:paraId="16241CF2" w14:textId="51A36481" w:rsidR="00DB5DCC" w:rsidRDefault="00DB5DCC">
      <w:pPr>
        <w:spacing w:before="120" w:after="120" w:line="360" w:lineRule="auto"/>
        <w:rPr>
          <w:rFonts w:ascii="Tahoma" w:hAnsi="Tahoma" w:cs="Tahoma"/>
          <w:sz w:val="19"/>
          <w:szCs w:val="19"/>
        </w:rPr>
      </w:pPr>
      <w:r>
        <w:rPr>
          <w:noProof/>
        </w:rPr>
        <w:drawing>
          <wp:inline distT="0" distB="0" distL="0" distR="0" wp14:anchorId="045377EB" wp14:editId="2BA8FA62">
            <wp:extent cx="5795010" cy="3259455"/>
            <wp:effectExtent l="0" t="0" r="0" b="0"/>
            <wp:docPr id="102104661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46610" name=""/>
                    <pic:cNvPicPr/>
                  </pic:nvPicPr>
                  <pic:blipFill>
                    <a:blip r:embed="rId132">
                      <a:extLst>
                        <a:ext uri="{96DAC541-7B7A-43D3-8B79-37D633B846F1}">
                          <asvg:svgBlip xmlns:asvg="http://schemas.microsoft.com/office/drawing/2016/SVG/main" r:embed="rId133"/>
                        </a:ext>
                      </a:extLst>
                    </a:blip>
                    <a:stretch>
                      <a:fillRect/>
                    </a:stretch>
                  </pic:blipFill>
                  <pic:spPr>
                    <a:xfrm>
                      <a:off x="0" y="0"/>
                      <a:ext cx="5795010" cy="3259455"/>
                    </a:xfrm>
                    <a:prstGeom prst="rect">
                      <a:avLst/>
                    </a:prstGeom>
                  </pic:spPr>
                </pic:pic>
              </a:graphicData>
            </a:graphic>
          </wp:inline>
        </w:drawing>
      </w:r>
    </w:p>
    <w:p w14:paraId="307E5A87" w14:textId="77777777" w:rsidR="00DB5DCC" w:rsidRDefault="00DB5DCC">
      <w:pPr>
        <w:spacing w:before="120" w:after="120" w:line="360" w:lineRule="auto"/>
        <w:rPr>
          <w:rFonts w:ascii="Tahoma" w:hAnsi="Tahoma" w:cs="Tahoma"/>
          <w:sz w:val="19"/>
          <w:szCs w:val="19"/>
        </w:rPr>
      </w:pPr>
    </w:p>
    <w:p w14:paraId="0F18C08E" w14:textId="540EBE39" w:rsidR="002020E7" w:rsidRDefault="002020E7">
      <w:pPr>
        <w:spacing w:after="160"/>
        <w:textAlignment w:val="baseline"/>
        <w:rPr>
          <w:rFonts w:ascii="Tahoma" w:hAnsi="Tahoma" w:cs="Tahoma"/>
          <w:sz w:val="19"/>
          <w:szCs w:val="19"/>
        </w:rPr>
      </w:pPr>
      <w:r>
        <w:rPr>
          <w:rFonts w:ascii="Tahoma" w:hAnsi="Tahoma" w:cs="Tahoma"/>
          <w:sz w:val="19"/>
          <w:szCs w:val="19"/>
        </w:rPr>
        <w:br w:type="page"/>
      </w:r>
    </w:p>
    <w:p w14:paraId="64938FED" w14:textId="2D2972AD" w:rsidR="00BE6D01" w:rsidRDefault="00BE6D01" w:rsidP="00BE6D01">
      <w:pPr>
        <w:pStyle w:val="Ttulo2"/>
        <w:spacing w:before="0" w:after="120" w:line="360" w:lineRule="auto"/>
        <w:ind w:left="862" w:hanging="578"/>
        <w:rPr>
          <w:rFonts w:ascii="Tahoma" w:hAnsi="Tahoma" w:cs="Tahoma"/>
          <w:color w:val="0098BA"/>
          <w:sz w:val="24"/>
          <w:szCs w:val="24"/>
        </w:rPr>
      </w:pPr>
      <w:bookmarkStart w:id="60" w:name="_Toc163025250"/>
      <w:bookmarkStart w:id="61" w:name="_Toc162512587"/>
      <w:bookmarkStart w:id="62" w:name="_Toc70439216"/>
      <w:bookmarkStart w:id="63" w:name="_Toc92410424"/>
      <w:bookmarkStart w:id="64" w:name="_Toc92995161"/>
      <w:bookmarkStart w:id="65" w:name="_Toc93683623"/>
      <w:bookmarkStart w:id="66" w:name="_Toc94256460"/>
      <w:bookmarkStart w:id="67" w:name="_Toc94278187"/>
      <w:bookmarkStart w:id="68" w:name="_Toc97244793"/>
      <w:bookmarkStart w:id="69" w:name="_Toc105003781"/>
      <w:bookmarkStart w:id="70" w:name="_Toc105006464"/>
      <w:bookmarkStart w:id="71" w:name="_Toc131692234"/>
      <w:r w:rsidRPr="00442376">
        <w:rPr>
          <w:rFonts w:ascii="Tahoma" w:hAnsi="Tahoma" w:cs="Tahoma"/>
          <w:color w:val="0098BA"/>
          <w:sz w:val="24"/>
          <w:szCs w:val="24"/>
        </w:rPr>
        <w:lastRenderedPageBreak/>
        <w:t xml:space="preserve">Desempenho operacional </w:t>
      </w:r>
      <w:r>
        <w:rPr>
          <w:rFonts w:ascii="Tahoma" w:hAnsi="Tahoma" w:cs="Tahoma"/>
          <w:color w:val="0098BA"/>
          <w:sz w:val="24"/>
          <w:szCs w:val="24"/>
        </w:rPr>
        <w:t xml:space="preserve">- </w:t>
      </w:r>
      <w:r w:rsidRPr="000C40B3">
        <w:rPr>
          <w:rFonts w:ascii="Tahoma" w:hAnsi="Tahoma" w:cs="Tahoma"/>
          <w:color w:val="0098BA"/>
          <w:sz w:val="24"/>
          <w:szCs w:val="24"/>
        </w:rPr>
        <w:t xml:space="preserve">Eixo: </w:t>
      </w:r>
      <w:r w:rsidRPr="00BE6D01">
        <w:rPr>
          <w:rFonts w:ascii="Tahoma" w:hAnsi="Tahoma" w:cs="Tahoma"/>
          <w:color w:val="0098BA"/>
          <w:sz w:val="24"/>
          <w:szCs w:val="24"/>
        </w:rPr>
        <w:t>Pesquisa, desenvolvimento e inovação</w:t>
      </w:r>
      <w:bookmarkEnd w:id="60"/>
      <w:bookmarkEnd w:id="61"/>
    </w:p>
    <w:bookmarkEnd w:id="62"/>
    <w:bookmarkEnd w:id="63"/>
    <w:bookmarkEnd w:id="64"/>
    <w:bookmarkEnd w:id="65"/>
    <w:bookmarkEnd w:id="66"/>
    <w:bookmarkEnd w:id="67"/>
    <w:bookmarkEnd w:id="68"/>
    <w:bookmarkEnd w:id="69"/>
    <w:bookmarkEnd w:id="70"/>
    <w:bookmarkEnd w:id="71"/>
    <w:p w14:paraId="28119519" w14:textId="539A7101" w:rsidR="002E5990" w:rsidRDefault="002E5990" w:rsidP="002E5990">
      <w:pPr>
        <w:spacing w:before="120" w:after="120" w:line="360" w:lineRule="auto"/>
        <w:rPr>
          <w:rFonts w:ascii="Tahoma" w:hAnsi="Tahoma" w:cs="Tahoma"/>
          <w:sz w:val="19"/>
          <w:szCs w:val="19"/>
        </w:rPr>
      </w:pPr>
      <w:r w:rsidRPr="00AA1367">
        <w:rPr>
          <w:rFonts w:ascii="Tahoma" w:hAnsi="Tahoma" w:cs="Tahoma"/>
          <w:sz w:val="19"/>
          <w:szCs w:val="19"/>
        </w:rPr>
        <w:t>O</w:t>
      </w:r>
      <w:r>
        <w:rPr>
          <w:rFonts w:ascii="Tahoma" w:hAnsi="Tahoma" w:cs="Tahoma"/>
          <w:sz w:val="19"/>
          <w:szCs w:val="19"/>
        </w:rPr>
        <w:t>s</w:t>
      </w:r>
      <w:r w:rsidRPr="00AA1367">
        <w:rPr>
          <w:rFonts w:ascii="Tahoma" w:hAnsi="Tahoma" w:cs="Tahoma"/>
          <w:sz w:val="19"/>
          <w:szCs w:val="19"/>
        </w:rPr>
        <w:t xml:space="preserve"> instrumento</w:t>
      </w:r>
      <w:r>
        <w:rPr>
          <w:rFonts w:ascii="Tahoma" w:hAnsi="Tahoma" w:cs="Tahoma"/>
          <w:sz w:val="19"/>
          <w:szCs w:val="19"/>
        </w:rPr>
        <w:t>s</w:t>
      </w:r>
      <w:r w:rsidRPr="00AA1367">
        <w:rPr>
          <w:rFonts w:ascii="Tahoma" w:hAnsi="Tahoma" w:cs="Tahoma"/>
          <w:sz w:val="19"/>
          <w:szCs w:val="19"/>
        </w:rPr>
        <w:t xml:space="preserve"> financeiro</w:t>
      </w:r>
      <w:r>
        <w:rPr>
          <w:rFonts w:ascii="Tahoma" w:hAnsi="Tahoma" w:cs="Tahoma"/>
          <w:sz w:val="19"/>
          <w:szCs w:val="19"/>
        </w:rPr>
        <w:t>s</w:t>
      </w:r>
      <w:r w:rsidRPr="00AA1367">
        <w:rPr>
          <w:rFonts w:ascii="Tahoma" w:hAnsi="Tahoma" w:cs="Tahoma"/>
          <w:sz w:val="19"/>
          <w:szCs w:val="19"/>
        </w:rPr>
        <w:t xml:space="preserve"> utilizado</w:t>
      </w:r>
      <w:r>
        <w:rPr>
          <w:rFonts w:ascii="Tahoma" w:hAnsi="Tahoma" w:cs="Tahoma"/>
          <w:sz w:val="19"/>
          <w:szCs w:val="19"/>
        </w:rPr>
        <w:t>s</w:t>
      </w:r>
      <w:r w:rsidRPr="00AA1367">
        <w:rPr>
          <w:rFonts w:ascii="Tahoma" w:hAnsi="Tahoma" w:cs="Tahoma"/>
          <w:sz w:val="19"/>
          <w:szCs w:val="19"/>
        </w:rPr>
        <w:t xml:space="preserve"> para o alcance de resultados n</w:t>
      </w:r>
      <w:r>
        <w:rPr>
          <w:rFonts w:ascii="Tahoma" w:hAnsi="Tahoma" w:cs="Tahoma"/>
          <w:sz w:val="19"/>
          <w:szCs w:val="19"/>
        </w:rPr>
        <w:t>esse</w:t>
      </w:r>
      <w:r w:rsidRPr="00AA1367">
        <w:rPr>
          <w:rFonts w:ascii="Tahoma" w:hAnsi="Tahoma" w:cs="Tahoma"/>
          <w:sz w:val="19"/>
          <w:szCs w:val="19"/>
        </w:rPr>
        <w:t xml:space="preserve"> eixo </w:t>
      </w:r>
      <w:r>
        <w:rPr>
          <w:rFonts w:ascii="Tahoma" w:hAnsi="Tahoma" w:cs="Tahoma"/>
          <w:sz w:val="19"/>
          <w:szCs w:val="19"/>
        </w:rPr>
        <w:t>são a subvenção econômica, operada de forma direta, o crédito para empresas, operado direta e descentralizadamente, e o apoio com recursos não reembolsáveis para empresas (Finep 2030 Empresarial).</w:t>
      </w:r>
    </w:p>
    <w:p w14:paraId="2655BDED" w14:textId="77777777" w:rsidR="00366AC3" w:rsidRDefault="00366AC3">
      <w:pPr>
        <w:spacing w:before="120" w:after="120" w:line="360" w:lineRule="auto"/>
        <w:rPr>
          <w:rFonts w:ascii="Tahoma" w:hAnsi="Tahoma" w:cs="Tahoma"/>
          <w:sz w:val="19"/>
          <w:szCs w:val="19"/>
        </w:rPr>
      </w:pPr>
    </w:p>
    <w:p w14:paraId="1176A1DB" w14:textId="2AF73018" w:rsidR="00366AC3" w:rsidRPr="00BE6D01" w:rsidRDefault="002E5990" w:rsidP="00BE6D01">
      <w:pPr>
        <w:pStyle w:val="Ttulo3"/>
        <w:spacing w:before="120" w:after="120" w:line="360" w:lineRule="auto"/>
        <w:rPr>
          <w:rFonts w:ascii="Tahoma" w:hAnsi="Tahoma" w:cs="Tahoma"/>
          <w:color w:val="0098BA"/>
          <w:sz w:val="22"/>
          <w:szCs w:val="22"/>
        </w:rPr>
      </w:pPr>
      <w:bookmarkStart w:id="72" w:name="_Toc163025251"/>
      <w:bookmarkStart w:id="73" w:name="_Toc162512588"/>
      <w:r w:rsidRPr="00BE6D01">
        <w:rPr>
          <w:rFonts w:ascii="Tahoma" w:hAnsi="Tahoma" w:cs="Tahoma"/>
          <w:color w:val="0098BA"/>
          <w:sz w:val="22"/>
          <w:szCs w:val="22"/>
        </w:rPr>
        <w:t>Subvenção</w:t>
      </w:r>
      <w:r w:rsidR="002D022C" w:rsidRPr="00BE6D01">
        <w:rPr>
          <w:rFonts w:ascii="Tahoma" w:hAnsi="Tahoma" w:cs="Tahoma"/>
          <w:color w:val="0098BA"/>
          <w:sz w:val="22"/>
          <w:szCs w:val="22"/>
        </w:rPr>
        <w:t xml:space="preserve"> econômica a empresas</w:t>
      </w:r>
      <w:r w:rsidR="00BE6D01">
        <w:rPr>
          <w:rFonts w:ascii="Tahoma" w:hAnsi="Tahoma" w:cs="Tahoma"/>
          <w:color w:val="0098BA"/>
          <w:sz w:val="22"/>
          <w:szCs w:val="22"/>
        </w:rPr>
        <w:t xml:space="preserve"> (operação direta)</w:t>
      </w:r>
      <w:bookmarkEnd w:id="72"/>
      <w:bookmarkEnd w:id="73"/>
    </w:p>
    <w:p w14:paraId="2B3560CF" w14:textId="0E85337A" w:rsidR="00D950E7" w:rsidRPr="00D950E7" w:rsidRDefault="00D950E7" w:rsidP="00D950E7">
      <w:pPr>
        <w:spacing w:before="120" w:after="120" w:line="360" w:lineRule="auto"/>
        <w:rPr>
          <w:rFonts w:ascii="Tahoma" w:hAnsi="Tahoma" w:cs="Tahoma"/>
          <w:sz w:val="19"/>
          <w:szCs w:val="19"/>
        </w:rPr>
      </w:pPr>
      <w:r w:rsidRPr="00D950E7">
        <w:rPr>
          <w:rFonts w:ascii="Tahoma" w:hAnsi="Tahoma" w:cs="Tahoma"/>
          <w:sz w:val="19"/>
          <w:szCs w:val="19"/>
        </w:rPr>
        <w:t xml:space="preserve">O objetivo fundamental da subvenção econômica é compartilhar com as empresas os riscos do desenvolvimento de produtos, processos e serviços </w:t>
      </w:r>
      <w:r>
        <w:rPr>
          <w:rFonts w:ascii="Tahoma" w:hAnsi="Tahoma" w:cs="Tahoma"/>
          <w:sz w:val="19"/>
          <w:szCs w:val="19"/>
        </w:rPr>
        <w:t xml:space="preserve">inovadores, </w:t>
      </w:r>
      <w:r w:rsidRPr="00D950E7">
        <w:rPr>
          <w:rFonts w:ascii="Tahoma" w:hAnsi="Tahoma" w:cs="Tahoma"/>
          <w:sz w:val="19"/>
          <w:szCs w:val="19"/>
        </w:rPr>
        <w:t xml:space="preserve">voltados à superação de desafios sociais ou tecnológicos. </w:t>
      </w:r>
    </w:p>
    <w:p w14:paraId="27063D0E" w14:textId="2752DE7D" w:rsidR="00366AC3" w:rsidRDefault="00D950E7" w:rsidP="00D950E7">
      <w:pPr>
        <w:spacing w:before="120" w:after="120" w:line="360" w:lineRule="auto"/>
        <w:rPr>
          <w:rFonts w:ascii="Tahoma" w:hAnsi="Tahoma" w:cs="Tahoma"/>
          <w:sz w:val="19"/>
          <w:szCs w:val="19"/>
        </w:rPr>
      </w:pPr>
      <w:r>
        <w:rPr>
          <w:rFonts w:ascii="Tahoma" w:hAnsi="Tahoma" w:cs="Tahoma"/>
          <w:sz w:val="19"/>
          <w:szCs w:val="19"/>
        </w:rPr>
        <w:t>Como no financiamento não reembolsável a ICTs</w:t>
      </w:r>
      <w:r w:rsidRPr="00D950E7">
        <w:rPr>
          <w:rFonts w:ascii="Tahoma" w:hAnsi="Tahoma" w:cs="Tahoma"/>
          <w:sz w:val="19"/>
          <w:szCs w:val="19"/>
        </w:rPr>
        <w:t>, os recursos financeiros</w:t>
      </w:r>
      <w:r>
        <w:rPr>
          <w:rFonts w:ascii="Tahoma" w:hAnsi="Tahoma" w:cs="Tahoma"/>
          <w:sz w:val="19"/>
          <w:szCs w:val="19"/>
        </w:rPr>
        <w:t xml:space="preserve"> concedidos</w:t>
      </w:r>
      <w:r w:rsidR="00A01EA1">
        <w:rPr>
          <w:rFonts w:ascii="Tahoma" w:hAnsi="Tahoma" w:cs="Tahoma"/>
          <w:sz w:val="19"/>
          <w:szCs w:val="19"/>
        </w:rPr>
        <w:t xml:space="preserve"> </w:t>
      </w:r>
      <w:r w:rsidRPr="00D950E7">
        <w:rPr>
          <w:rFonts w:ascii="Tahoma" w:hAnsi="Tahoma" w:cs="Tahoma"/>
          <w:sz w:val="19"/>
          <w:szCs w:val="19"/>
        </w:rPr>
        <w:t>não precisam ser devolvidos e o retorno do apoio público recebido se dá na forma dos produtos e serviços desenvolvidos que geram competitividade para as empresas e trazem avanços para a sociedade brasileira.</w:t>
      </w:r>
    </w:p>
    <w:p w14:paraId="45979AD9" w14:textId="44F53CD2" w:rsidR="00A01EA1" w:rsidRDefault="00A01EA1" w:rsidP="00D950E7">
      <w:pPr>
        <w:spacing w:before="120" w:after="120" w:line="360" w:lineRule="auto"/>
        <w:rPr>
          <w:rFonts w:ascii="Tahoma" w:hAnsi="Tahoma" w:cs="Tahoma"/>
          <w:sz w:val="19"/>
          <w:szCs w:val="19"/>
        </w:rPr>
      </w:pPr>
      <w:r w:rsidRPr="00A01EA1">
        <w:rPr>
          <w:rFonts w:ascii="Tahoma" w:hAnsi="Tahoma" w:cs="Tahoma"/>
          <w:sz w:val="19"/>
          <w:szCs w:val="19"/>
        </w:rPr>
        <w:t xml:space="preserve">A Finep obteve nos editais correspondentes, grande número de propostas com elevado grau de maturidade, que na ocasião, por falta de recursos, não puderam ser contempladas. </w:t>
      </w:r>
      <w:r w:rsidR="00363F80">
        <w:rPr>
          <w:rFonts w:ascii="Tahoma" w:hAnsi="Tahoma" w:cs="Tahoma"/>
          <w:sz w:val="19"/>
          <w:szCs w:val="19"/>
        </w:rPr>
        <w:t>C</w:t>
      </w:r>
      <w:r w:rsidRPr="00A01EA1">
        <w:rPr>
          <w:rFonts w:ascii="Tahoma" w:hAnsi="Tahoma" w:cs="Tahoma"/>
          <w:sz w:val="19"/>
          <w:szCs w:val="19"/>
        </w:rPr>
        <w:t>om a recomposição do FNDCT e a aderência dos projetos às diretrizes do</w:t>
      </w:r>
      <w:r w:rsidR="007D161B">
        <w:rPr>
          <w:rFonts w:ascii="Tahoma" w:hAnsi="Tahoma" w:cs="Tahoma"/>
          <w:sz w:val="19"/>
          <w:szCs w:val="19"/>
        </w:rPr>
        <w:t xml:space="preserve"> </w:t>
      </w:r>
      <w:r w:rsidR="007D161B" w:rsidRPr="007D161B">
        <w:rPr>
          <w:rFonts w:ascii="Tahoma" w:hAnsi="Tahoma" w:cs="Tahoma"/>
          <w:sz w:val="19"/>
          <w:szCs w:val="19"/>
        </w:rPr>
        <w:t>Plano Anual de Investimento</w:t>
      </w:r>
      <w:r w:rsidR="00363F80">
        <w:rPr>
          <w:rFonts w:ascii="Tahoma" w:hAnsi="Tahoma" w:cs="Tahoma"/>
          <w:sz w:val="19"/>
          <w:szCs w:val="19"/>
        </w:rPr>
        <w:t xml:space="preserve"> 2023</w:t>
      </w:r>
      <w:r w:rsidRPr="00A01EA1">
        <w:rPr>
          <w:rFonts w:ascii="Tahoma" w:hAnsi="Tahoma" w:cs="Tahoma"/>
          <w:sz w:val="19"/>
          <w:szCs w:val="19"/>
        </w:rPr>
        <w:t>, o apoio foi aprovado.</w:t>
      </w:r>
    </w:p>
    <w:p w14:paraId="663A6A25" w14:textId="77777777" w:rsidR="00366AC3" w:rsidRDefault="00366AC3">
      <w:pPr>
        <w:spacing w:before="120" w:after="120" w:line="360" w:lineRule="auto"/>
        <w:rPr>
          <w:rFonts w:ascii="Tahoma" w:hAnsi="Tahoma" w:cs="Tahoma"/>
          <w:sz w:val="19"/>
          <w:szCs w:val="19"/>
        </w:rPr>
      </w:pPr>
    </w:p>
    <w:p w14:paraId="72679020" w14:textId="77777777" w:rsidR="00D950E7" w:rsidRDefault="00D950E7" w:rsidP="00D950E7">
      <w:pPr>
        <w:spacing w:before="120" w:after="120" w:line="360" w:lineRule="auto"/>
        <w:rPr>
          <w:rFonts w:ascii="Tahoma" w:eastAsiaTheme="minorHAnsi" w:hAnsi="Tahoma" w:cs="Tahoma"/>
          <w:color w:val="0098BA"/>
          <w:sz w:val="19"/>
          <w:szCs w:val="19"/>
          <w:lang w:eastAsia="en-US"/>
        </w:rPr>
      </w:pPr>
      <w:r>
        <w:rPr>
          <w:rFonts w:ascii="Tahoma" w:eastAsiaTheme="minorHAnsi" w:hAnsi="Tahoma" w:cs="Tahoma"/>
          <w:color w:val="0098BA"/>
          <w:sz w:val="19"/>
          <w:szCs w:val="19"/>
          <w:lang w:eastAsia="en-US"/>
        </w:rPr>
        <w:t>Ações em destaque</w:t>
      </w:r>
    </w:p>
    <w:p w14:paraId="7CCD0609" w14:textId="5091A5B4" w:rsidR="00C34804" w:rsidRPr="002020E7" w:rsidRDefault="00D950E7">
      <w:pPr>
        <w:spacing w:before="120" w:after="120" w:line="360" w:lineRule="auto"/>
        <w:rPr>
          <w:rFonts w:ascii="Tahoma" w:eastAsiaTheme="minorHAnsi" w:hAnsi="Tahoma" w:cs="Tahoma"/>
          <w:color w:val="0098BA"/>
          <w:sz w:val="19"/>
          <w:szCs w:val="19"/>
          <w:lang w:eastAsia="en-US"/>
        </w:rPr>
      </w:pPr>
      <w:r w:rsidRPr="008E2474">
        <w:rPr>
          <w:rFonts w:ascii="Tahoma" w:eastAsiaTheme="minorHAnsi" w:hAnsi="Tahoma" w:cs="Tahoma"/>
          <w:color w:val="0098BA"/>
          <w:sz w:val="19"/>
          <w:szCs w:val="19"/>
          <w:lang w:eastAsia="en-US"/>
        </w:rPr>
        <w:t>Chamada</w:t>
      </w:r>
      <w:r>
        <w:rPr>
          <w:rFonts w:ascii="Tahoma" w:eastAsiaTheme="minorHAnsi" w:hAnsi="Tahoma" w:cs="Tahoma"/>
          <w:color w:val="0098BA"/>
          <w:sz w:val="19"/>
          <w:szCs w:val="19"/>
          <w:lang w:eastAsia="en-US"/>
        </w:rPr>
        <w:t>s</w:t>
      </w:r>
      <w:r w:rsidRPr="008E2474">
        <w:rPr>
          <w:rFonts w:ascii="Tahoma" w:eastAsiaTheme="minorHAnsi" w:hAnsi="Tahoma" w:cs="Tahoma"/>
          <w:color w:val="0098BA"/>
          <w:sz w:val="19"/>
          <w:szCs w:val="19"/>
          <w:lang w:eastAsia="en-US"/>
        </w:rPr>
        <w:t xml:space="preserve"> públicas </w:t>
      </w:r>
      <w:r>
        <w:rPr>
          <w:rFonts w:ascii="Tahoma" w:eastAsiaTheme="minorHAnsi" w:hAnsi="Tahoma" w:cs="Tahoma"/>
          <w:color w:val="0098BA"/>
          <w:sz w:val="19"/>
          <w:szCs w:val="19"/>
          <w:lang w:eastAsia="en-US"/>
        </w:rPr>
        <w:t xml:space="preserve">lançadas em 2022 e </w:t>
      </w:r>
      <w:r w:rsidRPr="008E2474">
        <w:rPr>
          <w:rFonts w:ascii="Tahoma" w:eastAsiaTheme="minorHAnsi" w:hAnsi="Tahoma" w:cs="Tahoma"/>
          <w:color w:val="0098BA"/>
          <w:sz w:val="19"/>
          <w:szCs w:val="19"/>
          <w:lang w:eastAsia="en-US"/>
        </w:rPr>
        <w:t>finalizadas em 2023</w:t>
      </w:r>
      <w:r>
        <w:rPr>
          <w:rFonts w:ascii="Tahoma" w:eastAsiaTheme="minorHAnsi" w:hAnsi="Tahoma" w:cs="Tahoma"/>
          <w:color w:val="0098BA"/>
          <w:sz w:val="19"/>
          <w:szCs w:val="19"/>
          <w:lang w:eastAsia="en-US"/>
        </w:rPr>
        <w:t xml:space="preserve">, </w:t>
      </w:r>
      <w:r w:rsidR="008305B1">
        <w:rPr>
          <w:rFonts w:ascii="Tahoma" w:eastAsiaTheme="minorHAnsi" w:hAnsi="Tahoma" w:cs="Tahoma"/>
          <w:color w:val="0098BA"/>
          <w:sz w:val="19"/>
          <w:szCs w:val="19"/>
          <w:lang w:eastAsia="en-US"/>
        </w:rPr>
        <w:t>sem</w:t>
      </w:r>
      <w:r>
        <w:rPr>
          <w:rFonts w:ascii="Tahoma" w:eastAsiaTheme="minorHAnsi" w:hAnsi="Tahoma" w:cs="Tahoma"/>
          <w:color w:val="0098BA"/>
          <w:sz w:val="19"/>
          <w:szCs w:val="19"/>
          <w:lang w:eastAsia="en-US"/>
        </w:rPr>
        <w:t xml:space="preserve"> suplementação de recurs</w:t>
      </w:r>
      <w:r w:rsidR="00EB37BC">
        <w:rPr>
          <w:rFonts w:ascii="Tahoma" w:eastAsiaTheme="minorHAnsi" w:hAnsi="Tahoma" w:cs="Tahoma"/>
          <w:color w:val="0098BA"/>
          <w:sz w:val="19"/>
          <w:szCs w:val="19"/>
          <w:lang w:eastAsia="en-US"/>
        </w:rPr>
        <w:t>os</w:t>
      </w:r>
    </w:p>
    <w:p w14:paraId="2702A745" w14:textId="3CB44891" w:rsidR="00A01EA1" w:rsidRPr="00A01EA1" w:rsidRDefault="00A01EA1" w:rsidP="00077B27">
      <w:pPr>
        <w:pStyle w:val="PargrafodaLista"/>
        <w:numPr>
          <w:ilvl w:val="0"/>
          <w:numId w:val="35"/>
        </w:numPr>
        <w:spacing w:before="120" w:after="120" w:line="360" w:lineRule="auto"/>
        <w:rPr>
          <w:rFonts w:ascii="Tahoma" w:hAnsi="Tahoma" w:cs="Tahoma"/>
          <w:sz w:val="19"/>
          <w:szCs w:val="19"/>
        </w:rPr>
      </w:pPr>
      <w:r w:rsidRPr="00A01EA1">
        <w:rPr>
          <w:rFonts w:ascii="Tahoma" w:hAnsi="Tahoma" w:cs="Tahoma"/>
          <w:sz w:val="19"/>
          <w:szCs w:val="19"/>
        </w:rPr>
        <w:t>Cidades Inteligentes e Sustentáveis</w:t>
      </w:r>
    </w:p>
    <w:p w14:paraId="2BD7CA86" w14:textId="65645E36" w:rsidR="00A01EA1" w:rsidRPr="00A01EA1" w:rsidRDefault="00A01EA1" w:rsidP="00A01EA1">
      <w:pPr>
        <w:spacing w:before="120" w:after="120" w:line="360" w:lineRule="auto"/>
        <w:rPr>
          <w:rFonts w:ascii="Tahoma" w:hAnsi="Tahoma" w:cs="Tahoma"/>
          <w:sz w:val="19"/>
          <w:szCs w:val="19"/>
        </w:rPr>
      </w:pPr>
      <w:r w:rsidRPr="00A01EA1">
        <w:rPr>
          <w:rFonts w:ascii="Tahoma" w:hAnsi="Tahoma" w:cs="Tahoma"/>
          <w:sz w:val="19"/>
          <w:szCs w:val="19"/>
        </w:rPr>
        <w:t xml:space="preserve">Este edital lançado em </w:t>
      </w:r>
      <w:r>
        <w:rPr>
          <w:rFonts w:ascii="Tahoma" w:hAnsi="Tahoma" w:cs="Tahoma"/>
          <w:sz w:val="19"/>
          <w:szCs w:val="19"/>
        </w:rPr>
        <w:t xml:space="preserve">junho de </w:t>
      </w:r>
      <w:r w:rsidRPr="00A01EA1">
        <w:rPr>
          <w:rFonts w:ascii="Tahoma" w:hAnsi="Tahoma" w:cs="Tahoma"/>
          <w:sz w:val="19"/>
          <w:szCs w:val="19"/>
        </w:rPr>
        <w:t>2022 teve como objetivo conceder recursos de subvenção econômica para apoiar projetos de interesse de municípios brasileiros que executem programa ou iniciativa de absorção de soluções inovadoras</w:t>
      </w:r>
      <w:r>
        <w:rPr>
          <w:rFonts w:ascii="Tahoma" w:hAnsi="Tahoma" w:cs="Tahoma"/>
          <w:sz w:val="19"/>
          <w:szCs w:val="19"/>
        </w:rPr>
        <w:t xml:space="preserve">. Essas soluções devem </w:t>
      </w:r>
      <w:r w:rsidRPr="00A01EA1">
        <w:rPr>
          <w:rFonts w:ascii="Tahoma" w:hAnsi="Tahoma" w:cs="Tahoma"/>
          <w:sz w:val="19"/>
          <w:szCs w:val="19"/>
        </w:rPr>
        <w:t>visa</w:t>
      </w:r>
      <w:r>
        <w:rPr>
          <w:rFonts w:ascii="Tahoma" w:hAnsi="Tahoma" w:cs="Tahoma"/>
          <w:sz w:val="19"/>
          <w:szCs w:val="19"/>
        </w:rPr>
        <w:t xml:space="preserve">r a </w:t>
      </w:r>
      <w:r w:rsidRPr="00A01EA1">
        <w:rPr>
          <w:rFonts w:ascii="Tahoma" w:hAnsi="Tahoma" w:cs="Tahoma"/>
          <w:sz w:val="19"/>
          <w:szCs w:val="19"/>
        </w:rPr>
        <w:t xml:space="preserve">reorganização e transformação territoriais de modo a otimizar a eficiência das operações urbanas, o uso de recursos, o meio ambiente e a qualidade de vida da população nas áreas de mobilidade urbana, iluminação pública e gestão de resíduos. </w:t>
      </w:r>
    </w:p>
    <w:p w14:paraId="6902A1DC" w14:textId="7F196FA4" w:rsidR="00A01EA1" w:rsidRDefault="00A01EA1" w:rsidP="00A01EA1">
      <w:pPr>
        <w:spacing w:before="120" w:after="120" w:line="360" w:lineRule="auto"/>
        <w:rPr>
          <w:rFonts w:ascii="Tahoma" w:hAnsi="Tahoma" w:cs="Tahoma"/>
          <w:sz w:val="19"/>
          <w:szCs w:val="19"/>
        </w:rPr>
      </w:pPr>
      <w:r w:rsidRPr="00A01EA1">
        <w:rPr>
          <w:rFonts w:ascii="Tahoma" w:hAnsi="Tahoma" w:cs="Tahoma"/>
          <w:sz w:val="19"/>
          <w:szCs w:val="19"/>
        </w:rPr>
        <w:t xml:space="preserve">O resultado </w:t>
      </w:r>
      <w:r>
        <w:rPr>
          <w:rFonts w:ascii="Tahoma" w:hAnsi="Tahoma" w:cs="Tahoma"/>
          <w:sz w:val="19"/>
          <w:szCs w:val="19"/>
        </w:rPr>
        <w:t>dessa seleção</w:t>
      </w:r>
      <w:r w:rsidRPr="00A01EA1">
        <w:rPr>
          <w:rFonts w:ascii="Tahoma" w:hAnsi="Tahoma" w:cs="Tahoma"/>
          <w:sz w:val="19"/>
          <w:szCs w:val="19"/>
        </w:rPr>
        <w:t xml:space="preserve"> foi divulgado em </w:t>
      </w:r>
      <w:r>
        <w:rPr>
          <w:rFonts w:ascii="Tahoma" w:hAnsi="Tahoma" w:cs="Tahoma"/>
          <w:sz w:val="19"/>
          <w:szCs w:val="19"/>
        </w:rPr>
        <w:t xml:space="preserve">janeiro de </w:t>
      </w:r>
      <w:r w:rsidRPr="00A01EA1">
        <w:rPr>
          <w:rFonts w:ascii="Tahoma" w:hAnsi="Tahoma" w:cs="Tahoma"/>
          <w:sz w:val="19"/>
          <w:szCs w:val="19"/>
        </w:rPr>
        <w:t>2023.</w:t>
      </w:r>
      <w:r>
        <w:rPr>
          <w:rFonts w:ascii="Tahoma" w:hAnsi="Tahoma" w:cs="Tahoma"/>
          <w:sz w:val="19"/>
          <w:szCs w:val="19"/>
        </w:rPr>
        <w:t xml:space="preserve"> Foram aprovados cinco projetos, no valor de R</w:t>
      </w:r>
      <w:r w:rsidRPr="00A01EA1">
        <w:rPr>
          <w:rFonts w:ascii="Tahoma" w:hAnsi="Tahoma" w:cs="Tahoma"/>
          <w:sz w:val="19"/>
          <w:szCs w:val="19"/>
        </w:rPr>
        <w:t>$ 26.609.228,00</w:t>
      </w:r>
      <w:r>
        <w:rPr>
          <w:rFonts w:ascii="Tahoma" w:hAnsi="Tahoma" w:cs="Tahoma"/>
          <w:sz w:val="19"/>
          <w:szCs w:val="19"/>
        </w:rPr>
        <w:t xml:space="preserve">, a partir de uma demanda de </w:t>
      </w:r>
      <w:r w:rsidRPr="00A01EA1">
        <w:rPr>
          <w:rFonts w:ascii="Tahoma" w:hAnsi="Tahoma" w:cs="Tahoma"/>
          <w:sz w:val="19"/>
          <w:szCs w:val="19"/>
        </w:rPr>
        <w:t>R$ 86.103.581,19</w:t>
      </w:r>
    </w:p>
    <w:p w14:paraId="4E433829" w14:textId="77777777" w:rsidR="00A01EA1" w:rsidRDefault="00A01EA1">
      <w:pPr>
        <w:spacing w:before="120" w:after="120" w:line="360" w:lineRule="auto"/>
        <w:rPr>
          <w:rFonts w:ascii="Tahoma" w:hAnsi="Tahoma" w:cs="Tahoma"/>
          <w:sz w:val="19"/>
          <w:szCs w:val="19"/>
        </w:rPr>
      </w:pPr>
    </w:p>
    <w:p w14:paraId="65506CA3" w14:textId="5EA3C1D2" w:rsidR="00D51817" w:rsidRPr="00D51817" w:rsidRDefault="00D51817" w:rsidP="00077B27">
      <w:pPr>
        <w:pStyle w:val="PargrafodaLista"/>
        <w:numPr>
          <w:ilvl w:val="0"/>
          <w:numId w:val="35"/>
        </w:numPr>
        <w:spacing w:before="120" w:after="120" w:line="360" w:lineRule="auto"/>
        <w:rPr>
          <w:rFonts w:ascii="Tahoma" w:hAnsi="Tahoma" w:cs="Tahoma"/>
          <w:sz w:val="19"/>
          <w:szCs w:val="19"/>
        </w:rPr>
      </w:pPr>
      <w:r w:rsidRPr="00D51817">
        <w:rPr>
          <w:rFonts w:ascii="Tahoma" w:hAnsi="Tahoma" w:cs="Tahoma"/>
          <w:sz w:val="19"/>
          <w:szCs w:val="19"/>
        </w:rPr>
        <w:t>Desafio Finep/ABDI</w:t>
      </w:r>
    </w:p>
    <w:p w14:paraId="596491D0" w14:textId="7306FA35" w:rsidR="00D51817" w:rsidRPr="00D51817" w:rsidRDefault="00D51817" w:rsidP="00D51817">
      <w:pPr>
        <w:spacing w:before="120" w:after="120" w:line="360" w:lineRule="auto"/>
        <w:rPr>
          <w:rFonts w:ascii="Tahoma" w:hAnsi="Tahoma" w:cs="Tahoma"/>
          <w:sz w:val="19"/>
          <w:szCs w:val="19"/>
        </w:rPr>
      </w:pPr>
      <w:r>
        <w:rPr>
          <w:rFonts w:ascii="Tahoma" w:hAnsi="Tahoma" w:cs="Tahoma"/>
          <w:sz w:val="19"/>
          <w:szCs w:val="19"/>
        </w:rPr>
        <w:t>Esse</w:t>
      </w:r>
      <w:r w:rsidRPr="00D51817">
        <w:rPr>
          <w:rFonts w:ascii="Tahoma" w:hAnsi="Tahoma" w:cs="Tahoma"/>
          <w:sz w:val="19"/>
          <w:szCs w:val="19"/>
        </w:rPr>
        <w:t xml:space="preserve"> programa visa estimular a competitividade das empresas de base tecnológica e </w:t>
      </w:r>
      <w:r w:rsidRPr="00254F4A">
        <w:rPr>
          <w:rFonts w:ascii="Tahoma" w:hAnsi="Tahoma"/>
          <w:i/>
          <w:sz w:val="19"/>
        </w:rPr>
        <w:t>startups</w:t>
      </w:r>
      <w:r w:rsidRPr="00D51817">
        <w:rPr>
          <w:rFonts w:ascii="Tahoma" w:hAnsi="Tahoma" w:cs="Tahoma"/>
          <w:sz w:val="19"/>
          <w:szCs w:val="19"/>
        </w:rPr>
        <w:t xml:space="preserve">, gerando soluções inovadoras para o enfrentamento dos principais desafios tecnológicos estratégicos </w:t>
      </w:r>
      <w:r>
        <w:rPr>
          <w:rFonts w:ascii="Tahoma" w:hAnsi="Tahoma" w:cs="Tahoma"/>
          <w:sz w:val="19"/>
          <w:szCs w:val="19"/>
        </w:rPr>
        <w:t>d</w:t>
      </w:r>
      <w:r w:rsidRPr="00D51817">
        <w:rPr>
          <w:rFonts w:ascii="Tahoma" w:hAnsi="Tahoma" w:cs="Tahoma"/>
          <w:sz w:val="19"/>
          <w:szCs w:val="19"/>
        </w:rPr>
        <w:t xml:space="preserve">o </w:t>
      </w:r>
      <w:r>
        <w:rPr>
          <w:rFonts w:ascii="Tahoma" w:hAnsi="Tahoma" w:cs="Tahoma"/>
          <w:sz w:val="19"/>
          <w:szCs w:val="19"/>
        </w:rPr>
        <w:t>p</w:t>
      </w:r>
      <w:r w:rsidRPr="00D51817">
        <w:rPr>
          <w:rFonts w:ascii="Tahoma" w:hAnsi="Tahoma" w:cs="Tahoma"/>
          <w:sz w:val="19"/>
          <w:szCs w:val="19"/>
        </w:rPr>
        <w:t xml:space="preserve">aís. Em parceria com a ABDI - Agência Brasileira de Desenvolvimento Industrial, </w:t>
      </w:r>
      <w:r>
        <w:rPr>
          <w:rFonts w:ascii="Tahoma" w:hAnsi="Tahoma" w:cs="Tahoma"/>
          <w:sz w:val="19"/>
          <w:szCs w:val="19"/>
        </w:rPr>
        <w:t>buscamos fomentar</w:t>
      </w:r>
      <w:r w:rsidRPr="00D51817">
        <w:rPr>
          <w:rFonts w:ascii="Tahoma" w:hAnsi="Tahoma" w:cs="Tahoma"/>
          <w:sz w:val="19"/>
          <w:szCs w:val="19"/>
        </w:rPr>
        <w:t xml:space="preserve"> e encontrar soluções para segurança do trabalho industrial.</w:t>
      </w:r>
    </w:p>
    <w:p w14:paraId="66BF3F9F" w14:textId="56B2462A" w:rsidR="002E5990" w:rsidRDefault="00D51817" w:rsidP="00D51817">
      <w:pPr>
        <w:spacing w:before="120" w:after="120" w:line="360" w:lineRule="auto"/>
        <w:rPr>
          <w:rFonts w:ascii="Tahoma" w:hAnsi="Tahoma" w:cs="Tahoma"/>
          <w:sz w:val="19"/>
          <w:szCs w:val="19"/>
        </w:rPr>
      </w:pPr>
      <w:r w:rsidRPr="00D51817">
        <w:rPr>
          <w:rFonts w:ascii="Tahoma" w:hAnsi="Tahoma" w:cs="Tahoma"/>
          <w:sz w:val="19"/>
          <w:szCs w:val="19"/>
        </w:rPr>
        <w:lastRenderedPageBreak/>
        <w:t xml:space="preserve">Empregando um formato de competição tecnológica, </w:t>
      </w:r>
      <w:r>
        <w:rPr>
          <w:rFonts w:ascii="Tahoma" w:hAnsi="Tahoma" w:cs="Tahoma"/>
          <w:sz w:val="19"/>
          <w:szCs w:val="19"/>
        </w:rPr>
        <w:t>a Chamada pública</w:t>
      </w:r>
      <w:r w:rsidRPr="00D51817">
        <w:rPr>
          <w:rFonts w:ascii="Tahoma" w:hAnsi="Tahoma" w:cs="Tahoma"/>
          <w:sz w:val="19"/>
          <w:szCs w:val="19"/>
        </w:rPr>
        <w:t xml:space="preserve"> foi lançad</w:t>
      </w:r>
      <w:r>
        <w:rPr>
          <w:rFonts w:ascii="Tahoma" w:hAnsi="Tahoma" w:cs="Tahoma"/>
          <w:sz w:val="19"/>
          <w:szCs w:val="19"/>
        </w:rPr>
        <w:t>a</w:t>
      </w:r>
      <w:r w:rsidRPr="00D51817">
        <w:rPr>
          <w:rFonts w:ascii="Tahoma" w:hAnsi="Tahoma" w:cs="Tahoma"/>
          <w:sz w:val="19"/>
          <w:szCs w:val="19"/>
        </w:rPr>
        <w:t xml:space="preserve"> em </w:t>
      </w:r>
      <w:r>
        <w:rPr>
          <w:rFonts w:ascii="Tahoma" w:hAnsi="Tahoma" w:cs="Tahoma"/>
          <w:sz w:val="19"/>
          <w:szCs w:val="19"/>
        </w:rPr>
        <w:t>julho de 20</w:t>
      </w:r>
      <w:r w:rsidRPr="00D51817">
        <w:rPr>
          <w:rFonts w:ascii="Tahoma" w:hAnsi="Tahoma" w:cs="Tahoma"/>
          <w:sz w:val="19"/>
          <w:szCs w:val="19"/>
        </w:rPr>
        <w:t xml:space="preserve">22 e seu resultado </w:t>
      </w:r>
      <w:r>
        <w:rPr>
          <w:rFonts w:ascii="Tahoma" w:hAnsi="Tahoma" w:cs="Tahoma"/>
          <w:sz w:val="19"/>
          <w:szCs w:val="19"/>
        </w:rPr>
        <w:t>foi publicado</w:t>
      </w:r>
      <w:r w:rsidRPr="00D51817">
        <w:rPr>
          <w:rFonts w:ascii="Tahoma" w:hAnsi="Tahoma" w:cs="Tahoma"/>
          <w:sz w:val="19"/>
          <w:szCs w:val="19"/>
        </w:rPr>
        <w:t xml:space="preserve"> em </w:t>
      </w:r>
      <w:r>
        <w:rPr>
          <w:rFonts w:ascii="Tahoma" w:hAnsi="Tahoma" w:cs="Tahoma"/>
          <w:sz w:val="19"/>
          <w:szCs w:val="19"/>
        </w:rPr>
        <w:t xml:space="preserve">janeiro de </w:t>
      </w:r>
      <w:r w:rsidRPr="00D51817">
        <w:rPr>
          <w:rFonts w:ascii="Tahoma" w:hAnsi="Tahoma" w:cs="Tahoma"/>
          <w:sz w:val="19"/>
          <w:szCs w:val="19"/>
        </w:rPr>
        <w:t xml:space="preserve">2023, </w:t>
      </w:r>
      <w:r w:rsidR="00FC0274">
        <w:rPr>
          <w:rFonts w:ascii="Tahoma" w:hAnsi="Tahoma" w:cs="Tahoma"/>
          <w:sz w:val="19"/>
          <w:szCs w:val="19"/>
        </w:rPr>
        <w:t xml:space="preserve">com a aprovação de </w:t>
      </w:r>
      <w:r>
        <w:rPr>
          <w:rFonts w:ascii="Tahoma" w:hAnsi="Tahoma" w:cs="Tahoma"/>
          <w:sz w:val="19"/>
          <w:szCs w:val="19"/>
        </w:rPr>
        <w:t>cinco</w:t>
      </w:r>
      <w:r w:rsidRPr="00D51817">
        <w:rPr>
          <w:rFonts w:ascii="Tahoma" w:hAnsi="Tahoma" w:cs="Tahoma"/>
          <w:sz w:val="19"/>
          <w:szCs w:val="19"/>
        </w:rPr>
        <w:t xml:space="preserve"> projetos</w:t>
      </w:r>
      <w:r w:rsidR="00FC0274">
        <w:rPr>
          <w:rFonts w:ascii="Tahoma" w:hAnsi="Tahoma" w:cs="Tahoma"/>
          <w:sz w:val="19"/>
          <w:szCs w:val="19"/>
        </w:rPr>
        <w:t>,</w:t>
      </w:r>
      <w:r w:rsidRPr="00D51817">
        <w:rPr>
          <w:rFonts w:ascii="Tahoma" w:hAnsi="Tahoma" w:cs="Tahoma"/>
          <w:sz w:val="19"/>
          <w:szCs w:val="19"/>
        </w:rPr>
        <w:t xml:space="preserve"> </w:t>
      </w:r>
      <w:r>
        <w:rPr>
          <w:rFonts w:ascii="Tahoma" w:hAnsi="Tahoma" w:cs="Tahoma"/>
          <w:sz w:val="19"/>
          <w:szCs w:val="19"/>
        </w:rPr>
        <w:t xml:space="preserve">no valor </w:t>
      </w:r>
      <w:r w:rsidR="00F370A8">
        <w:rPr>
          <w:rFonts w:ascii="Tahoma" w:hAnsi="Tahoma" w:cs="Tahoma"/>
          <w:sz w:val="19"/>
          <w:szCs w:val="19"/>
        </w:rPr>
        <w:t xml:space="preserve">total </w:t>
      </w:r>
      <w:r>
        <w:rPr>
          <w:rFonts w:ascii="Tahoma" w:hAnsi="Tahoma" w:cs="Tahoma"/>
          <w:sz w:val="19"/>
          <w:szCs w:val="19"/>
        </w:rPr>
        <w:t xml:space="preserve">de </w:t>
      </w:r>
      <w:r w:rsidRPr="00D51817">
        <w:rPr>
          <w:rFonts w:ascii="Tahoma" w:hAnsi="Tahoma" w:cs="Tahoma"/>
          <w:sz w:val="19"/>
          <w:szCs w:val="19"/>
        </w:rPr>
        <w:t>R$ 1.492.926,04</w:t>
      </w:r>
      <w:r>
        <w:rPr>
          <w:rFonts w:ascii="Tahoma" w:hAnsi="Tahoma" w:cs="Tahoma"/>
          <w:sz w:val="19"/>
          <w:szCs w:val="19"/>
        </w:rPr>
        <w:t>.</w:t>
      </w:r>
    </w:p>
    <w:p w14:paraId="29DA37A8" w14:textId="312E23A6" w:rsidR="008305B1" w:rsidRPr="008E2474" w:rsidRDefault="008305B1" w:rsidP="008305B1">
      <w:pPr>
        <w:spacing w:before="120" w:after="120" w:line="360" w:lineRule="auto"/>
        <w:rPr>
          <w:rFonts w:ascii="Tahoma" w:eastAsiaTheme="minorHAnsi" w:hAnsi="Tahoma" w:cs="Tahoma"/>
          <w:color w:val="0098BA"/>
          <w:sz w:val="19"/>
          <w:szCs w:val="19"/>
          <w:lang w:eastAsia="en-US"/>
        </w:rPr>
      </w:pPr>
      <w:r w:rsidRPr="008E2474">
        <w:rPr>
          <w:rFonts w:ascii="Tahoma" w:eastAsiaTheme="minorHAnsi" w:hAnsi="Tahoma" w:cs="Tahoma"/>
          <w:color w:val="0098BA"/>
          <w:sz w:val="19"/>
          <w:szCs w:val="19"/>
          <w:lang w:eastAsia="en-US"/>
        </w:rPr>
        <w:t>Chamada</w:t>
      </w:r>
      <w:r>
        <w:rPr>
          <w:rFonts w:ascii="Tahoma" w:eastAsiaTheme="minorHAnsi" w:hAnsi="Tahoma" w:cs="Tahoma"/>
          <w:color w:val="0098BA"/>
          <w:sz w:val="19"/>
          <w:szCs w:val="19"/>
          <w:lang w:eastAsia="en-US"/>
        </w:rPr>
        <w:t>s</w:t>
      </w:r>
      <w:r w:rsidRPr="008E2474">
        <w:rPr>
          <w:rFonts w:ascii="Tahoma" w:eastAsiaTheme="minorHAnsi" w:hAnsi="Tahoma" w:cs="Tahoma"/>
          <w:color w:val="0098BA"/>
          <w:sz w:val="19"/>
          <w:szCs w:val="19"/>
          <w:lang w:eastAsia="en-US"/>
        </w:rPr>
        <w:t xml:space="preserve"> públicas finalizadas em 2023</w:t>
      </w:r>
      <w:r>
        <w:rPr>
          <w:rFonts w:ascii="Tahoma" w:eastAsiaTheme="minorHAnsi" w:hAnsi="Tahoma" w:cs="Tahoma"/>
          <w:color w:val="0098BA"/>
          <w:sz w:val="19"/>
          <w:szCs w:val="19"/>
          <w:lang w:eastAsia="en-US"/>
        </w:rPr>
        <w:t>, com suplementação de recursos</w:t>
      </w:r>
    </w:p>
    <w:tbl>
      <w:tblPr>
        <w:tblW w:w="8861" w:type="dxa"/>
        <w:jc w:val="center"/>
        <w:tblCellMar>
          <w:left w:w="0" w:type="dxa"/>
          <w:right w:w="0" w:type="dxa"/>
        </w:tblCellMar>
        <w:tblLook w:val="0600" w:firstRow="0" w:lastRow="0" w:firstColumn="0" w:lastColumn="0" w:noHBand="1" w:noVBand="1"/>
      </w:tblPr>
      <w:tblGrid>
        <w:gridCol w:w="4108"/>
        <w:gridCol w:w="2555"/>
        <w:gridCol w:w="2198"/>
      </w:tblGrid>
      <w:tr w:rsidR="008305B1" w:rsidRPr="00893839" w14:paraId="517178AE" w14:textId="77777777" w:rsidTr="00097EE2">
        <w:trPr>
          <w:trHeight w:val="397"/>
          <w:tblHeader/>
          <w:jc w:val="center"/>
        </w:trPr>
        <w:tc>
          <w:tcPr>
            <w:tcW w:w="4108" w:type="dxa"/>
            <w:tcBorders>
              <w:top w:val="single" w:sz="2" w:space="0" w:color="BFBFBF"/>
              <w:left w:val="single" w:sz="2" w:space="0" w:color="BFBFBF"/>
              <w:bottom w:val="single" w:sz="2" w:space="0" w:color="BFBFBF"/>
              <w:right w:val="single" w:sz="2" w:space="0" w:color="BFBFBF"/>
            </w:tcBorders>
            <w:shd w:val="clear" w:color="auto" w:fill="0098BA"/>
            <w:tcMar>
              <w:top w:w="12" w:type="dxa"/>
              <w:left w:w="12" w:type="dxa"/>
              <w:bottom w:w="0" w:type="dxa"/>
              <w:right w:w="12" w:type="dxa"/>
            </w:tcMar>
            <w:vAlign w:val="center"/>
            <w:hideMark/>
          </w:tcPr>
          <w:p w14:paraId="5A00A1D7" w14:textId="77777777" w:rsidR="008305B1" w:rsidRPr="00893839" w:rsidRDefault="008305B1" w:rsidP="00097EE2">
            <w:pPr>
              <w:jc w:val="center"/>
              <w:rPr>
                <w:rFonts w:ascii="Tahoma" w:hAnsi="Tahoma" w:cs="Tahoma"/>
                <w:color w:val="FFFFFF" w:themeColor="background1"/>
                <w:sz w:val="18"/>
                <w:szCs w:val="18"/>
              </w:rPr>
            </w:pPr>
            <w:r w:rsidRPr="00893839">
              <w:rPr>
                <w:rFonts w:ascii="Tahoma" w:hAnsi="Tahoma" w:cs="Tahoma"/>
                <w:color w:val="FFFFFF" w:themeColor="background1"/>
                <w:sz w:val="18"/>
                <w:szCs w:val="18"/>
              </w:rPr>
              <w:t>Chamada Pública</w:t>
            </w:r>
          </w:p>
        </w:tc>
        <w:tc>
          <w:tcPr>
            <w:tcW w:w="2555" w:type="dxa"/>
            <w:tcBorders>
              <w:top w:val="single" w:sz="2" w:space="0" w:color="BFBFBF"/>
              <w:left w:val="single" w:sz="2" w:space="0" w:color="BFBFBF"/>
              <w:bottom w:val="single" w:sz="2" w:space="0" w:color="BFBFBF"/>
              <w:right w:val="single" w:sz="2" w:space="0" w:color="BFBFBF"/>
            </w:tcBorders>
            <w:shd w:val="clear" w:color="auto" w:fill="0098BA"/>
            <w:tcMar>
              <w:top w:w="12" w:type="dxa"/>
              <w:left w:w="12" w:type="dxa"/>
              <w:bottom w:w="0" w:type="dxa"/>
              <w:right w:w="12" w:type="dxa"/>
            </w:tcMar>
            <w:vAlign w:val="center"/>
            <w:hideMark/>
          </w:tcPr>
          <w:p w14:paraId="654D9490" w14:textId="77777777" w:rsidR="008305B1" w:rsidRPr="00893839" w:rsidRDefault="008305B1" w:rsidP="00097EE2">
            <w:pPr>
              <w:jc w:val="center"/>
              <w:rPr>
                <w:rFonts w:ascii="Tahoma" w:hAnsi="Tahoma" w:cs="Tahoma"/>
                <w:color w:val="FFFFFF" w:themeColor="background1"/>
                <w:sz w:val="18"/>
                <w:szCs w:val="18"/>
              </w:rPr>
            </w:pPr>
            <w:r w:rsidRPr="00893839">
              <w:rPr>
                <w:rFonts w:ascii="Tahoma" w:hAnsi="Tahoma" w:cs="Tahoma"/>
                <w:color w:val="FFFFFF" w:themeColor="background1"/>
                <w:sz w:val="18"/>
                <w:szCs w:val="18"/>
              </w:rPr>
              <w:t>Valor suplementado (R$)</w:t>
            </w:r>
          </w:p>
        </w:tc>
        <w:tc>
          <w:tcPr>
            <w:tcW w:w="2198" w:type="dxa"/>
            <w:tcBorders>
              <w:top w:val="single" w:sz="2" w:space="0" w:color="BFBFBF"/>
              <w:left w:val="single" w:sz="2" w:space="0" w:color="BFBFBF"/>
              <w:bottom w:val="single" w:sz="2" w:space="0" w:color="BFBFBF"/>
              <w:right w:val="single" w:sz="2" w:space="0" w:color="BFBFBF"/>
            </w:tcBorders>
            <w:shd w:val="clear" w:color="auto" w:fill="0098BA"/>
            <w:tcMar>
              <w:top w:w="12" w:type="dxa"/>
              <w:left w:w="12" w:type="dxa"/>
              <w:bottom w:w="0" w:type="dxa"/>
              <w:right w:w="12" w:type="dxa"/>
            </w:tcMar>
            <w:vAlign w:val="center"/>
            <w:hideMark/>
          </w:tcPr>
          <w:p w14:paraId="6C4941E2" w14:textId="77777777" w:rsidR="008305B1" w:rsidRPr="00893839" w:rsidRDefault="008305B1" w:rsidP="00097EE2">
            <w:pPr>
              <w:jc w:val="center"/>
              <w:rPr>
                <w:rFonts w:ascii="Tahoma" w:hAnsi="Tahoma" w:cs="Tahoma"/>
                <w:color w:val="FFFFFF" w:themeColor="background1"/>
                <w:sz w:val="18"/>
                <w:szCs w:val="18"/>
              </w:rPr>
            </w:pPr>
            <w:r w:rsidRPr="00893839">
              <w:rPr>
                <w:rFonts w:ascii="Tahoma" w:hAnsi="Tahoma" w:cs="Tahoma"/>
                <w:color w:val="FFFFFF" w:themeColor="background1"/>
                <w:sz w:val="18"/>
                <w:szCs w:val="18"/>
              </w:rPr>
              <w:t>Número de projetos</w:t>
            </w:r>
          </w:p>
        </w:tc>
      </w:tr>
      <w:tr w:rsidR="00046603" w:rsidRPr="00893839" w14:paraId="3F58E977" w14:textId="77777777" w:rsidTr="00213FE8">
        <w:trPr>
          <w:trHeight w:val="283"/>
          <w:jc w:val="center"/>
        </w:trPr>
        <w:tc>
          <w:tcPr>
            <w:tcW w:w="4108"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vAlign w:val="center"/>
            <w:hideMark/>
          </w:tcPr>
          <w:p w14:paraId="092F958A" w14:textId="5376ECF3" w:rsidR="00046603" w:rsidRPr="00893839" w:rsidRDefault="00046603" w:rsidP="00046603">
            <w:pPr>
              <w:rPr>
                <w:rFonts w:ascii="Tahoma" w:hAnsi="Tahoma" w:cs="Tahoma"/>
                <w:bCs/>
                <w:sz w:val="18"/>
                <w:szCs w:val="18"/>
              </w:rPr>
            </w:pPr>
            <w:r>
              <w:rPr>
                <w:rFonts w:ascii="Tahoma" w:hAnsi="Tahoma" w:cs="Tahoma"/>
                <w:bCs/>
                <w:sz w:val="18"/>
                <w:szCs w:val="18"/>
              </w:rPr>
              <w:t>Tecnologias habilitadoras</w:t>
            </w:r>
          </w:p>
        </w:tc>
        <w:tc>
          <w:tcPr>
            <w:tcW w:w="2555"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tcPr>
          <w:p w14:paraId="018878F2" w14:textId="2023E038" w:rsidR="00046603" w:rsidRPr="00893839" w:rsidRDefault="00046603" w:rsidP="00046603">
            <w:pPr>
              <w:jc w:val="right"/>
              <w:rPr>
                <w:rFonts w:ascii="Tahoma" w:hAnsi="Tahoma" w:cs="Tahoma"/>
                <w:bCs/>
                <w:sz w:val="18"/>
                <w:szCs w:val="18"/>
              </w:rPr>
            </w:pPr>
            <w:r w:rsidRPr="00046603">
              <w:rPr>
                <w:rFonts w:ascii="Tahoma" w:hAnsi="Tahoma" w:cs="Tahoma"/>
                <w:bCs/>
                <w:sz w:val="18"/>
                <w:szCs w:val="18"/>
              </w:rPr>
              <w:t>5.962.938,57</w:t>
            </w:r>
          </w:p>
        </w:tc>
        <w:tc>
          <w:tcPr>
            <w:tcW w:w="2198"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tcPr>
          <w:p w14:paraId="6B949D06" w14:textId="603E68C9" w:rsidR="00046603" w:rsidRPr="00893839" w:rsidRDefault="00046603" w:rsidP="00046603">
            <w:pPr>
              <w:jc w:val="center"/>
              <w:rPr>
                <w:rFonts w:ascii="Tahoma" w:hAnsi="Tahoma" w:cs="Tahoma"/>
                <w:bCs/>
                <w:sz w:val="18"/>
                <w:szCs w:val="18"/>
              </w:rPr>
            </w:pPr>
            <w:r w:rsidRPr="00046603">
              <w:rPr>
                <w:rFonts w:ascii="Tahoma" w:hAnsi="Tahoma" w:cs="Tahoma"/>
                <w:bCs/>
                <w:sz w:val="18"/>
                <w:szCs w:val="18"/>
              </w:rPr>
              <w:t>*</w:t>
            </w:r>
          </w:p>
        </w:tc>
      </w:tr>
      <w:tr w:rsidR="00046603" w:rsidRPr="00893839" w14:paraId="5DC5F4C8" w14:textId="77777777" w:rsidTr="00213FE8">
        <w:trPr>
          <w:trHeight w:val="283"/>
          <w:jc w:val="center"/>
        </w:trPr>
        <w:tc>
          <w:tcPr>
            <w:tcW w:w="4108"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vAlign w:val="center"/>
            <w:hideMark/>
          </w:tcPr>
          <w:p w14:paraId="51014A07" w14:textId="6C4A912D" w:rsidR="00046603" w:rsidRPr="00893839" w:rsidRDefault="00046603" w:rsidP="00046603">
            <w:pPr>
              <w:rPr>
                <w:rFonts w:ascii="Tahoma" w:hAnsi="Tahoma" w:cs="Tahoma"/>
                <w:bCs/>
                <w:sz w:val="18"/>
                <w:szCs w:val="18"/>
              </w:rPr>
            </w:pPr>
            <w:r>
              <w:rPr>
                <w:rFonts w:ascii="Tahoma" w:hAnsi="Tahoma" w:cs="Tahoma"/>
                <w:bCs/>
                <w:sz w:val="18"/>
                <w:szCs w:val="18"/>
              </w:rPr>
              <w:t>InovaDoc</w:t>
            </w:r>
          </w:p>
        </w:tc>
        <w:tc>
          <w:tcPr>
            <w:tcW w:w="2555"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tcPr>
          <w:p w14:paraId="3981D98B" w14:textId="7A010D91" w:rsidR="00046603" w:rsidRPr="00893839" w:rsidRDefault="00046603" w:rsidP="00046603">
            <w:pPr>
              <w:jc w:val="right"/>
              <w:rPr>
                <w:rFonts w:ascii="Tahoma" w:hAnsi="Tahoma" w:cs="Tahoma"/>
                <w:bCs/>
                <w:sz w:val="18"/>
                <w:szCs w:val="18"/>
              </w:rPr>
            </w:pPr>
            <w:r w:rsidRPr="00046603">
              <w:rPr>
                <w:rFonts w:ascii="Tahoma" w:hAnsi="Tahoma" w:cs="Tahoma"/>
                <w:bCs/>
                <w:sz w:val="18"/>
                <w:szCs w:val="18"/>
              </w:rPr>
              <w:t>47.330.427,20</w:t>
            </w:r>
          </w:p>
        </w:tc>
        <w:tc>
          <w:tcPr>
            <w:tcW w:w="2198"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tcPr>
          <w:p w14:paraId="45836BA8" w14:textId="521A60A9" w:rsidR="00046603" w:rsidRPr="00893839" w:rsidRDefault="00046603" w:rsidP="00046603">
            <w:pPr>
              <w:jc w:val="center"/>
              <w:rPr>
                <w:rFonts w:ascii="Tahoma" w:hAnsi="Tahoma" w:cs="Tahoma"/>
                <w:bCs/>
                <w:sz w:val="18"/>
                <w:szCs w:val="18"/>
              </w:rPr>
            </w:pPr>
            <w:r w:rsidRPr="00046603">
              <w:rPr>
                <w:rFonts w:ascii="Tahoma" w:hAnsi="Tahoma" w:cs="Tahoma"/>
                <w:bCs/>
                <w:sz w:val="18"/>
                <w:szCs w:val="18"/>
              </w:rPr>
              <w:t>*</w:t>
            </w:r>
            <w:r w:rsidR="00621689">
              <w:rPr>
                <w:rFonts w:ascii="Tahoma" w:hAnsi="Tahoma" w:cs="Tahoma"/>
                <w:bCs/>
                <w:sz w:val="18"/>
                <w:szCs w:val="18"/>
              </w:rPr>
              <w:t>*</w:t>
            </w:r>
          </w:p>
        </w:tc>
      </w:tr>
      <w:tr w:rsidR="008305B1" w:rsidRPr="00893839" w14:paraId="294F7670" w14:textId="77777777" w:rsidTr="00097EE2">
        <w:trPr>
          <w:trHeight w:val="283"/>
          <w:jc w:val="center"/>
        </w:trPr>
        <w:tc>
          <w:tcPr>
            <w:tcW w:w="4108"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vAlign w:val="center"/>
            <w:hideMark/>
          </w:tcPr>
          <w:p w14:paraId="60F11574" w14:textId="77777777" w:rsidR="008305B1" w:rsidRPr="00893839" w:rsidRDefault="008305B1" w:rsidP="00097EE2">
            <w:pPr>
              <w:rPr>
                <w:rFonts w:ascii="Tahoma" w:hAnsi="Tahoma" w:cs="Tahoma"/>
                <w:bCs/>
                <w:sz w:val="18"/>
                <w:szCs w:val="18"/>
              </w:rPr>
            </w:pPr>
            <w:r w:rsidRPr="00893839">
              <w:rPr>
                <w:rFonts w:ascii="Tahoma" w:hAnsi="Tahoma" w:cs="Tahoma"/>
                <w:bCs/>
                <w:sz w:val="18"/>
                <w:szCs w:val="18"/>
              </w:rPr>
              <w:t>Cadeias produtivas da bioeconomia brasileira</w:t>
            </w:r>
          </w:p>
        </w:tc>
        <w:tc>
          <w:tcPr>
            <w:tcW w:w="2555"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vAlign w:val="center"/>
          </w:tcPr>
          <w:p w14:paraId="1BD0FF99" w14:textId="53D72EB1" w:rsidR="008305B1" w:rsidRPr="00893839" w:rsidRDefault="007A52EF" w:rsidP="00097EE2">
            <w:pPr>
              <w:jc w:val="right"/>
              <w:rPr>
                <w:rFonts w:ascii="Tahoma" w:hAnsi="Tahoma" w:cs="Tahoma"/>
                <w:bCs/>
                <w:sz w:val="18"/>
                <w:szCs w:val="18"/>
              </w:rPr>
            </w:pPr>
            <w:r w:rsidRPr="007A52EF">
              <w:rPr>
                <w:rFonts w:ascii="Tahoma" w:hAnsi="Tahoma" w:cs="Tahoma"/>
                <w:bCs/>
                <w:sz w:val="18"/>
                <w:szCs w:val="18"/>
              </w:rPr>
              <w:t>8.719.838,81</w:t>
            </w:r>
          </w:p>
        </w:tc>
        <w:tc>
          <w:tcPr>
            <w:tcW w:w="2198"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vAlign w:val="center"/>
          </w:tcPr>
          <w:p w14:paraId="3BEA5F1C" w14:textId="54F92432" w:rsidR="008305B1" w:rsidRPr="00893839" w:rsidRDefault="007A52EF" w:rsidP="00097EE2">
            <w:pPr>
              <w:jc w:val="center"/>
              <w:rPr>
                <w:rFonts w:ascii="Tahoma" w:hAnsi="Tahoma" w:cs="Tahoma"/>
                <w:bCs/>
                <w:sz w:val="18"/>
                <w:szCs w:val="18"/>
              </w:rPr>
            </w:pPr>
            <w:r>
              <w:rPr>
                <w:rFonts w:ascii="Tahoma" w:hAnsi="Tahoma" w:cs="Tahoma"/>
                <w:bCs/>
                <w:sz w:val="18"/>
                <w:szCs w:val="18"/>
              </w:rPr>
              <w:t>5</w:t>
            </w:r>
          </w:p>
        </w:tc>
      </w:tr>
      <w:tr w:rsidR="00E16666" w:rsidRPr="00893839" w14:paraId="5769A755" w14:textId="77777777" w:rsidTr="00097EE2">
        <w:trPr>
          <w:trHeight w:val="283"/>
          <w:jc w:val="center"/>
        </w:trPr>
        <w:tc>
          <w:tcPr>
            <w:tcW w:w="4108"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vAlign w:val="center"/>
          </w:tcPr>
          <w:p w14:paraId="752955C5" w14:textId="132B4D98" w:rsidR="00E16666" w:rsidRPr="00893839" w:rsidRDefault="00E16666" w:rsidP="00097EE2">
            <w:pPr>
              <w:rPr>
                <w:rFonts w:ascii="Tahoma" w:hAnsi="Tahoma" w:cs="Tahoma"/>
                <w:bCs/>
                <w:sz w:val="18"/>
                <w:szCs w:val="18"/>
              </w:rPr>
            </w:pPr>
            <w:r>
              <w:rPr>
                <w:rFonts w:ascii="Tahoma" w:hAnsi="Tahoma" w:cs="Tahoma"/>
                <w:bCs/>
                <w:sz w:val="18"/>
                <w:szCs w:val="18"/>
              </w:rPr>
              <w:t>Doenças raras</w:t>
            </w:r>
          </w:p>
        </w:tc>
        <w:tc>
          <w:tcPr>
            <w:tcW w:w="2555"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vAlign w:val="center"/>
          </w:tcPr>
          <w:p w14:paraId="4DCC5F33" w14:textId="2490DFDE" w:rsidR="00E16666" w:rsidRPr="007A52EF" w:rsidRDefault="001944D1" w:rsidP="00097EE2">
            <w:pPr>
              <w:jc w:val="right"/>
              <w:rPr>
                <w:rFonts w:ascii="Tahoma" w:hAnsi="Tahoma" w:cs="Tahoma"/>
                <w:bCs/>
                <w:sz w:val="18"/>
                <w:szCs w:val="18"/>
              </w:rPr>
            </w:pPr>
            <w:r w:rsidRPr="001944D1">
              <w:rPr>
                <w:rFonts w:ascii="Tahoma" w:hAnsi="Tahoma" w:cs="Tahoma"/>
                <w:bCs/>
                <w:sz w:val="18"/>
                <w:szCs w:val="18"/>
              </w:rPr>
              <w:t>35.916.153,87</w:t>
            </w:r>
          </w:p>
        </w:tc>
        <w:tc>
          <w:tcPr>
            <w:tcW w:w="2198" w:type="dxa"/>
            <w:tcBorders>
              <w:top w:val="single" w:sz="2" w:space="0" w:color="BFBFBF"/>
              <w:left w:val="single" w:sz="2" w:space="0" w:color="BFBFBF"/>
              <w:bottom w:val="single" w:sz="2" w:space="0" w:color="BFBFBF"/>
              <w:right w:val="single" w:sz="2" w:space="0" w:color="BFBFBF"/>
            </w:tcBorders>
            <w:shd w:val="clear" w:color="auto" w:fill="auto"/>
            <w:tcMar>
              <w:top w:w="12" w:type="dxa"/>
              <w:left w:w="12" w:type="dxa"/>
              <w:bottom w:w="0" w:type="dxa"/>
              <w:right w:w="12" w:type="dxa"/>
            </w:tcMar>
            <w:vAlign w:val="center"/>
          </w:tcPr>
          <w:p w14:paraId="346D1273" w14:textId="5BDC6AEE" w:rsidR="00E16666" w:rsidRDefault="001944D1" w:rsidP="00097EE2">
            <w:pPr>
              <w:jc w:val="center"/>
              <w:rPr>
                <w:rFonts w:ascii="Tahoma" w:hAnsi="Tahoma" w:cs="Tahoma"/>
                <w:bCs/>
                <w:sz w:val="18"/>
                <w:szCs w:val="18"/>
              </w:rPr>
            </w:pPr>
            <w:r>
              <w:rPr>
                <w:rFonts w:ascii="Tahoma" w:hAnsi="Tahoma" w:cs="Tahoma"/>
                <w:bCs/>
                <w:sz w:val="18"/>
                <w:szCs w:val="18"/>
              </w:rPr>
              <w:t>15</w:t>
            </w:r>
          </w:p>
        </w:tc>
      </w:tr>
    </w:tbl>
    <w:p w14:paraId="2B965854" w14:textId="34212E12" w:rsidR="008305B1" w:rsidRDefault="008305B1" w:rsidP="008305B1">
      <w:pPr>
        <w:spacing w:before="60" w:after="120"/>
        <w:rPr>
          <w:rFonts w:ascii="Tahoma" w:hAnsi="Tahoma" w:cs="Tahoma"/>
          <w:sz w:val="16"/>
          <w:szCs w:val="16"/>
        </w:rPr>
      </w:pPr>
      <w:r w:rsidRPr="00893839">
        <w:rPr>
          <w:rFonts w:ascii="Tahoma" w:hAnsi="Tahoma" w:cs="Tahoma"/>
          <w:sz w:val="16"/>
          <w:szCs w:val="16"/>
        </w:rPr>
        <w:t xml:space="preserve">* Recursos alocados aos </w:t>
      </w:r>
      <w:r w:rsidR="00621689">
        <w:rPr>
          <w:rFonts w:ascii="Tahoma" w:hAnsi="Tahoma" w:cs="Tahoma"/>
          <w:sz w:val="16"/>
          <w:szCs w:val="16"/>
        </w:rPr>
        <w:t xml:space="preserve">29 </w:t>
      </w:r>
      <w:r w:rsidRPr="00893839">
        <w:rPr>
          <w:rFonts w:ascii="Tahoma" w:hAnsi="Tahoma" w:cs="Tahoma"/>
          <w:sz w:val="16"/>
          <w:szCs w:val="16"/>
        </w:rPr>
        <w:t>projetos já aprovados no resultado da Chamada.</w:t>
      </w:r>
    </w:p>
    <w:p w14:paraId="3BBBE860" w14:textId="3E88054C" w:rsidR="00F75DD5" w:rsidRPr="00893839" w:rsidRDefault="00F75DD5" w:rsidP="008305B1">
      <w:pPr>
        <w:spacing w:before="60" w:after="120"/>
        <w:rPr>
          <w:rFonts w:ascii="Tahoma" w:hAnsi="Tahoma" w:cs="Tahoma"/>
          <w:sz w:val="16"/>
          <w:szCs w:val="16"/>
        </w:rPr>
      </w:pPr>
      <w:r>
        <w:rPr>
          <w:rFonts w:ascii="Tahoma" w:hAnsi="Tahoma" w:cs="Tahoma"/>
          <w:sz w:val="16"/>
          <w:szCs w:val="16"/>
        </w:rPr>
        <w:t>** Com a suplementação foi possível aprovar 21 projetos.</w:t>
      </w:r>
    </w:p>
    <w:p w14:paraId="5E192C70" w14:textId="3721B1D5" w:rsidR="008305B1" w:rsidRDefault="008305B1">
      <w:pPr>
        <w:spacing w:before="120" w:after="120" w:line="360" w:lineRule="auto"/>
        <w:rPr>
          <w:rFonts w:ascii="Tahoma" w:hAnsi="Tahoma" w:cs="Tahoma"/>
          <w:sz w:val="19"/>
          <w:szCs w:val="19"/>
        </w:rPr>
      </w:pPr>
    </w:p>
    <w:p w14:paraId="072CDC66" w14:textId="66A57CBC" w:rsidR="00F370A8" w:rsidRPr="00F370A8" w:rsidRDefault="00F370A8" w:rsidP="00077B27">
      <w:pPr>
        <w:pStyle w:val="PargrafodaLista"/>
        <w:numPr>
          <w:ilvl w:val="0"/>
          <w:numId w:val="35"/>
        </w:numPr>
        <w:spacing w:before="120" w:after="120" w:line="360" w:lineRule="auto"/>
        <w:rPr>
          <w:rFonts w:ascii="Tahoma" w:hAnsi="Tahoma" w:cs="Tahoma"/>
          <w:sz w:val="19"/>
          <w:szCs w:val="19"/>
        </w:rPr>
      </w:pPr>
      <w:r w:rsidRPr="00F370A8">
        <w:rPr>
          <w:rFonts w:ascii="Tahoma" w:hAnsi="Tahoma" w:cs="Tahoma"/>
          <w:sz w:val="19"/>
          <w:szCs w:val="19"/>
        </w:rPr>
        <w:t>Tecnologias Habilitadoras</w:t>
      </w:r>
    </w:p>
    <w:p w14:paraId="5F0FEE60" w14:textId="034C72AE" w:rsidR="00F370A8" w:rsidRPr="00F370A8" w:rsidRDefault="00F370A8" w:rsidP="00F370A8">
      <w:pPr>
        <w:spacing w:before="120" w:after="120" w:line="360" w:lineRule="auto"/>
        <w:rPr>
          <w:rFonts w:ascii="Tahoma" w:hAnsi="Tahoma" w:cs="Tahoma"/>
          <w:sz w:val="19"/>
          <w:szCs w:val="19"/>
        </w:rPr>
      </w:pPr>
      <w:r>
        <w:rPr>
          <w:rFonts w:ascii="Tahoma" w:hAnsi="Tahoma" w:cs="Tahoma"/>
          <w:sz w:val="19"/>
          <w:szCs w:val="19"/>
        </w:rPr>
        <w:t>Ação que teve como</w:t>
      </w:r>
      <w:r w:rsidRPr="00F370A8">
        <w:rPr>
          <w:rFonts w:ascii="Tahoma" w:hAnsi="Tahoma" w:cs="Tahoma"/>
          <w:sz w:val="19"/>
          <w:szCs w:val="19"/>
        </w:rPr>
        <w:t xml:space="preserve"> objetivo o desenvolvimento e/ou conclusão de projetos com alto potencial de crescimento e retorno na área de tecnologias habilitadoras apoio à inovação </w:t>
      </w:r>
      <w:r>
        <w:rPr>
          <w:rFonts w:ascii="Tahoma" w:hAnsi="Tahoma" w:cs="Tahoma"/>
          <w:sz w:val="19"/>
          <w:szCs w:val="19"/>
        </w:rPr>
        <w:t>por</w:t>
      </w:r>
      <w:r w:rsidRPr="00F370A8">
        <w:rPr>
          <w:rFonts w:ascii="Tahoma" w:hAnsi="Tahoma" w:cs="Tahoma"/>
          <w:sz w:val="19"/>
          <w:szCs w:val="19"/>
        </w:rPr>
        <w:t xml:space="preserve"> empresas nascentes intensivas em conhecimento.</w:t>
      </w:r>
    </w:p>
    <w:p w14:paraId="0138B0FF" w14:textId="4B7ED101" w:rsidR="00F370A8" w:rsidRPr="00F370A8" w:rsidRDefault="00F370A8" w:rsidP="00F370A8">
      <w:pPr>
        <w:spacing w:before="120" w:after="120" w:line="360" w:lineRule="auto"/>
        <w:rPr>
          <w:rFonts w:ascii="Tahoma" w:hAnsi="Tahoma" w:cs="Tahoma"/>
          <w:sz w:val="19"/>
          <w:szCs w:val="19"/>
        </w:rPr>
      </w:pPr>
      <w:r w:rsidRPr="00F370A8">
        <w:rPr>
          <w:rFonts w:ascii="Tahoma" w:hAnsi="Tahoma" w:cs="Tahoma"/>
          <w:sz w:val="19"/>
          <w:szCs w:val="19"/>
        </w:rPr>
        <w:t>Entende</w:t>
      </w:r>
      <w:r>
        <w:rPr>
          <w:rFonts w:ascii="Tahoma" w:hAnsi="Tahoma" w:cs="Tahoma"/>
          <w:sz w:val="19"/>
          <w:szCs w:val="19"/>
        </w:rPr>
        <w:t>mos como</w:t>
      </w:r>
      <w:r w:rsidRPr="00F370A8">
        <w:rPr>
          <w:rFonts w:ascii="Tahoma" w:hAnsi="Tahoma" w:cs="Tahoma"/>
          <w:sz w:val="19"/>
          <w:szCs w:val="19"/>
        </w:rPr>
        <w:t xml:space="preserve"> </w:t>
      </w:r>
      <w:r>
        <w:rPr>
          <w:rFonts w:ascii="Tahoma" w:hAnsi="Tahoma" w:cs="Tahoma"/>
          <w:sz w:val="19"/>
          <w:szCs w:val="19"/>
        </w:rPr>
        <w:t>t</w:t>
      </w:r>
      <w:r w:rsidRPr="00F370A8">
        <w:rPr>
          <w:rFonts w:ascii="Tahoma" w:hAnsi="Tahoma" w:cs="Tahoma"/>
          <w:sz w:val="19"/>
          <w:szCs w:val="19"/>
        </w:rPr>
        <w:t xml:space="preserve">ecnologia </w:t>
      </w:r>
      <w:r>
        <w:rPr>
          <w:rFonts w:ascii="Tahoma" w:hAnsi="Tahoma" w:cs="Tahoma"/>
          <w:sz w:val="19"/>
          <w:szCs w:val="19"/>
        </w:rPr>
        <w:t>h</w:t>
      </w:r>
      <w:r w:rsidRPr="00F370A8">
        <w:rPr>
          <w:rFonts w:ascii="Tahoma" w:hAnsi="Tahoma" w:cs="Tahoma"/>
          <w:sz w:val="19"/>
          <w:szCs w:val="19"/>
        </w:rPr>
        <w:t xml:space="preserve">abilitadora aquela que pode </w:t>
      </w:r>
      <w:r>
        <w:rPr>
          <w:rFonts w:ascii="Tahoma" w:hAnsi="Tahoma" w:cs="Tahoma"/>
          <w:sz w:val="19"/>
          <w:szCs w:val="19"/>
        </w:rPr>
        <w:t>lev</w:t>
      </w:r>
      <w:r w:rsidRPr="00F370A8">
        <w:rPr>
          <w:rFonts w:ascii="Tahoma" w:hAnsi="Tahoma" w:cs="Tahoma"/>
          <w:sz w:val="19"/>
          <w:szCs w:val="19"/>
        </w:rPr>
        <w:t>ar a avanços tecnológicos disruptivos, ou seja, provocar mudanças radicais no desempenho humano, transformando uma cultura, possibilitando a criação de produtos radicalmente novos ou serviços e processos mais eficientes e gerando um ciclo acelerado de desenvolvimento em virtualmente todos os campos do conhecimento.</w:t>
      </w:r>
    </w:p>
    <w:p w14:paraId="76EACB20" w14:textId="58FB0690" w:rsidR="00F370A8" w:rsidRPr="00F370A8" w:rsidRDefault="008305B1" w:rsidP="00F370A8">
      <w:pPr>
        <w:spacing w:before="120" w:after="120" w:line="360" w:lineRule="auto"/>
        <w:rPr>
          <w:rFonts w:ascii="Tahoma" w:hAnsi="Tahoma" w:cs="Tahoma"/>
          <w:sz w:val="19"/>
          <w:szCs w:val="19"/>
        </w:rPr>
      </w:pPr>
      <w:r>
        <w:rPr>
          <w:rFonts w:ascii="Tahoma" w:hAnsi="Tahoma" w:cs="Tahoma"/>
          <w:sz w:val="19"/>
          <w:szCs w:val="19"/>
        </w:rPr>
        <w:t>A chamada, lançada em 2022,</w:t>
      </w:r>
      <w:r w:rsidR="00F370A8" w:rsidRPr="00F370A8">
        <w:rPr>
          <w:rFonts w:ascii="Tahoma" w:hAnsi="Tahoma" w:cs="Tahoma"/>
          <w:sz w:val="19"/>
          <w:szCs w:val="19"/>
        </w:rPr>
        <w:t xml:space="preserve"> contemplou cinco linhas temáticas, destinando a cada uma R$ 10 milhões</w:t>
      </w:r>
      <w:r>
        <w:rPr>
          <w:rFonts w:ascii="Tahoma" w:hAnsi="Tahoma" w:cs="Tahoma"/>
          <w:sz w:val="19"/>
          <w:szCs w:val="19"/>
        </w:rPr>
        <w:t>:</w:t>
      </w:r>
      <w:r w:rsidR="00F370A8" w:rsidRPr="00F370A8">
        <w:rPr>
          <w:rFonts w:ascii="Tahoma" w:hAnsi="Tahoma" w:cs="Tahoma"/>
          <w:sz w:val="19"/>
          <w:szCs w:val="19"/>
        </w:rPr>
        <w:t xml:space="preserve"> Nanotecnologia, </w:t>
      </w:r>
      <w:r>
        <w:rPr>
          <w:rFonts w:ascii="Tahoma" w:hAnsi="Tahoma" w:cs="Tahoma"/>
          <w:sz w:val="19"/>
          <w:szCs w:val="19"/>
        </w:rPr>
        <w:t>F</w:t>
      </w:r>
      <w:r w:rsidR="00F370A8" w:rsidRPr="00F370A8">
        <w:rPr>
          <w:rFonts w:ascii="Tahoma" w:hAnsi="Tahoma" w:cs="Tahoma"/>
          <w:sz w:val="19"/>
          <w:szCs w:val="19"/>
        </w:rPr>
        <w:t>otônica, Acústica, Materiais Avançados e Robótica.</w:t>
      </w:r>
    </w:p>
    <w:p w14:paraId="5BCB0294" w14:textId="64C0E6E1" w:rsidR="00D51817" w:rsidRDefault="00F370A8" w:rsidP="00F370A8">
      <w:pPr>
        <w:spacing w:before="120" w:after="120" w:line="360" w:lineRule="auto"/>
        <w:rPr>
          <w:rFonts w:ascii="Tahoma" w:hAnsi="Tahoma" w:cs="Tahoma"/>
          <w:sz w:val="19"/>
          <w:szCs w:val="19"/>
        </w:rPr>
      </w:pPr>
      <w:r w:rsidRPr="00F370A8">
        <w:rPr>
          <w:rFonts w:ascii="Tahoma" w:hAnsi="Tahoma" w:cs="Tahoma"/>
          <w:sz w:val="19"/>
          <w:szCs w:val="19"/>
        </w:rPr>
        <w:t xml:space="preserve">O resultado da chamada foi divulgado em </w:t>
      </w:r>
      <w:r w:rsidR="008305B1">
        <w:rPr>
          <w:rFonts w:ascii="Tahoma" w:hAnsi="Tahoma" w:cs="Tahoma"/>
          <w:sz w:val="19"/>
          <w:szCs w:val="19"/>
        </w:rPr>
        <w:t xml:space="preserve">agosto de </w:t>
      </w:r>
      <w:r w:rsidRPr="00F370A8">
        <w:rPr>
          <w:rFonts w:ascii="Tahoma" w:hAnsi="Tahoma" w:cs="Tahoma"/>
          <w:sz w:val="19"/>
          <w:szCs w:val="19"/>
        </w:rPr>
        <w:t>2023 e contou com suplementação orçamentária de pouco mais de R$ 5 milhões</w:t>
      </w:r>
      <w:r w:rsidR="00AE6835">
        <w:rPr>
          <w:rFonts w:ascii="Tahoma" w:hAnsi="Tahoma" w:cs="Tahoma"/>
          <w:sz w:val="19"/>
          <w:szCs w:val="19"/>
        </w:rPr>
        <w:t>,</w:t>
      </w:r>
      <w:r w:rsidRPr="00F370A8">
        <w:rPr>
          <w:rFonts w:ascii="Tahoma" w:hAnsi="Tahoma" w:cs="Tahoma"/>
          <w:sz w:val="19"/>
          <w:szCs w:val="19"/>
        </w:rPr>
        <w:t xml:space="preserve"> a fim de contemplar </w:t>
      </w:r>
      <w:r w:rsidR="008305B1">
        <w:rPr>
          <w:rFonts w:ascii="Tahoma" w:hAnsi="Tahoma" w:cs="Tahoma"/>
          <w:sz w:val="19"/>
          <w:szCs w:val="19"/>
        </w:rPr>
        <w:t>os 29 projetos</w:t>
      </w:r>
      <w:r w:rsidRPr="00F370A8">
        <w:rPr>
          <w:rFonts w:ascii="Tahoma" w:hAnsi="Tahoma" w:cs="Tahoma"/>
          <w:sz w:val="19"/>
          <w:szCs w:val="19"/>
        </w:rPr>
        <w:t xml:space="preserve"> qualificad</w:t>
      </w:r>
      <w:r w:rsidR="008305B1">
        <w:rPr>
          <w:rFonts w:ascii="Tahoma" w:hAnsi="Tahoma" w:cs="Tahoma"/>
          <w:sz w:val="19"/>
          <w:szCs w:val="19"/>
        </w:rPr>
        <w:t xml:space="preserve">os durante o processo de análise, aprovados no valor total de </w:t>
      </w:r>
      <w:r w:rsidR="008305B1" w:rsidRPr="008305B1">
        <w:rPr>
          <w:rFonts w:ascii="Tahoma" w:hAnsi="Tahoma" w:cs="Tahoma"/>
          <w:sz w:val="19"/>
          <w:szCs w:val="19"/>
        </w:rPr>
        <w:t>R$ 55.962.938,57</w:t>
      </w:r>
      <w:r w:rsidR="008305B1">
        <w:rPr>
          <w:rFonts w:ascii="Tahoma" w:hAnsi="Tahoma" w:cs="Tahoma"/>
          <w:sz w:val="19"/>
          <w:szCs w:val="19"/>
        </w:rPr>
        <w:t>.</w:t>
      </w:r>
    </w:p>
    <w:p w14:paraId="1CE290AB" w14:textId="77777777" w:rsidR="00D51817" w:rsidRDefault="00D51817">
      <w:pPr>
        <w:spacing w:before="120" w:after="120" w:line="360" w:lineRule="auto"/>
        <w:rPr>
          <w:rFonts w:ascii="Tahoma" w:hAnsi="Tahoma" w:cs="Tahoma"/>
          <w:sz w:val="19"/>
          <w:szCs w:val="19"/>
        </w:rPr>
      </w:pPr>
    </w:p>
    <w:p w14:paraId="14F004C1" w14:textId="645CCFE8" w:rsidR="00046603" w:rsidRPr="00046603" w:rsidRDefault="00046603" w:rsidP="00077B27">
      <w:pPr>
        <w:pStyle w:val="PargrafodaLista"/>
        <w:numPr>
          <w:ilvl w:val="0"/>
          <w:numId w:val="35"/>
        </w:numPr>
        <w:spacing w:before="120" w:after="120" w:line="360" w:lineRule="auto"/>
        <w:rPr>
          <w:rFonts w:ascii="Tahoma" w:hAnsi="Tahoma" w:cs="Tahoma"/>
          <w:sz w:val="19"/>
          <w:szCs w:val="19"/>
        </w:rPr>
      </w:pPr>
      <w:r w:rsidRPr="00046603">
        <w:rPr>
          <w:rFonts w:ascii="Tahoma" w:hAnsi="Tahoma" w:cs="Tahoma"/>
          <w:sz w:val="19"/>
          <w:szCs w:val="19"/>
        </w:rPr>
        <w:t>Inova Doc</w:t>
      </w:r>
    </w:p>
    <w:p w14:paraId="56F31AB5" w14:textId="686F9253" w:rsidR="00046603" w:rsidRPr="00046603" w:rsidRDefault="00046603" w:rsidP="00046603">
      <w:pPr>
        <w:spacing w:before="120" w:after="120" w:line="360" w:lineRule="auto"/>
        <w:rPr>
          <w:rFonts w:ascii="Tahoma" w:hAnsi="Tahoma" w:cs="Tahoma"/>
          <w:sz w:val="19"/>
          <w:szCs w:val="19"/>
        </w:rPr>
      </w:pPr>
      <w:r w:rsidRPr="00046603">
        <w:rPr>
          <w:rFonts w:ascii="Tahoma" w:hAnsi="Tahoma" w:cs="Tahoma"/>
          <w:sz w:val="19"/>
          <w:szCs w:val="19"/>
        </w:rPr>
        <w:t xml:space="preserve">O </w:t>
      </w:r>
      <w:r>
        <w:rPr>
          <w:rFonts w:ascii="Tahoma" w:hAnsi="Tahoma" w:cs="Tahoma"/>
          <w:sz w:val="19"/>
          <w:szCs w:val="19"/>
        </w:rPr>
        <w:t>p</w:t>
      </w:r>
      <w:r w:rsidRPr="00046603">
        <w:rPr>
          <w:rFonts w:ascii="Tahoma" w:hAnsi="Tahoma" w:cs="Tahoma"/>
          <w:sz w:val="19"/>
          <w:szCs w:val="19"/>
        </w:rPr>
        <w:t xml:space="preserve">rograma Finep InovaDoc é uma iniciativa que tem por objetivo a transferência de tecnologias já consolidadas em universidades, centros de pesquisas e demais Instituições de Ciência, Tecnologia e Inovação (ICTs) para empresas. Os projetos devem estar enquadrados em alguma das seguintes áreas temáticas: </w:t>
      </w:r>
      <w:r w:rsidRPr="00254F4A">
        <w:rPr>
          <w:rFonts w:ascii="Tahoma" w:hAnsi="Tahoma"/>
          <w:i/>
          <w:sz w:val="19"/>
        </w:rPr>
        <w:t>biotech</w:t>
      </w:r>
      <w:r w:rsidRPr="00046603">
        <w:rPr>
          <w:rFonts w:ascii="Tahoma" w:hAnsi="Tahoma" w:cs="Tahoma"/>
          <w:sz w:val="19"/>
          <w:szCs w:val="19"/>
        </w:rPr>
        <w:t xml:space="preserve">, </w:t>
      </w:r>
      <w:r w:rsidRPr="00254F4A">
        <w:rPr>
          <w:rFonts w:ascii="Tahoma" w:hAnsi="Tahoma"/>
          <w:i/>
          <w:sz w:val="19"/>
        </w:rPr>
        <w:t>nanotech</w:t>
      </w:r>
      <w:r w:rsidRPr="00046603">
        <w:rPr>
          <w:rFonts w:ascii="Tahoma" w:hAnsi="Tahoma" w:cs="Tahoma"/>
          <w:sz w:val="19"/>
          <w:szCs w:val="19"/>
        </w:rPr>
        <w:t xml:space="preserve">, </w:t>
      </w:r>
      <w:r w:rsidRPr="00254F4A">
        <w:rPr>
          <w:rFonts w:ascii="Tahoma" w:hAnsi="Tahoma"/>
          <w:i/>
          <w:sz w:val="19"/>
        </w:rPr>
        <w:t>healthtech</w:t>
      </w:r>
      <w:r w:rsidRPr="00046603">
        <w:rPr>
          <w:rFonts w:ascii="Tahoma" w:hAnsi="Tahoma" w:cs="Tahoma"/>
          <w:sz w:val="19"/>
          <w:szCs w:val="19"/>
        </w:rPr>
        <w:t xml:space="preserve"> e </w:t>
      </w:r>
      <w:r w:rsidRPr="00254F4A">
        <w:rPr>
          <w:rFonts w:ascii="Tahoma" w:hAnsi="Tahoma"/>
          <w:i/>
          <w:sz w:val="19"/>
        </w:rPr>
        <w:t>agritech</w:t>
      </w:r>
      <w:r w:rsidRPr="00046603">
        <w:rPr>
          <w:rFonts w:ascii="Tahoma" w:hAnsi="Tahoma" w:cs="Tahoma"/>
          <w:sz w:val="19"/>
          <w:szCs w:val="19"/>
        </w:rPr>
        <w:t>.</w:t>
      </w:r>
    </w:p>
    <w:p w14:paraId="47546D3E" w14:textId="3D55A88E" w:rsidR="00046603" w:rsidRPr="00046603" w:rsidRDefault="00046603" w:rsidP="00046603">
      <w:pPr>
        <w:spacing w:before="120" w:after="120" w:line="360" w:lineRule="auto"/>
        <w:rPr>
          <w:rFonts w:ascii="Tahoma" w:hAnsi="Tahoma" w:cs="Tahoma"/>
          <w:sz w:val="19"/>
          <w:szCs w:val="19"/>
        </w:rPr>
      </w:pPr>
      <w:r w:rsidRPr="00046603">
        <w:rPr>
          <w:rFonts w:ascii="Tahoma" w:hAnsi="Tahoma" w:cs="Tahoma"/>
          <w:sz w:val="19"/>
          <w:szCs w:val="19"/>
        </w:rPr>
        <w:t xml:space="preserve">O programa busca dar o apoio necessário para que pesquisadores - doutorandos, doutores e pós-doutores - com elevada qualificação profissional e conhecimento científico </w:t>
      </w:r>
      <w:r w:rsidR="007A52EF">
        <w:rPr>
          <w:rFonts w:ascii="Tahoma" w:hAnsi="Tahoma" w:cs="Tahoma"/>
          <w:sz w:val="19"/>
          <w:szCs w:val="19"/>
        </w:rPr>
        <w:t>–</w:t>
      </w:r>
      <w:r w:rsidR="00781A7D">
        <w:rPr>
          <w:rFonts w:ascii="Tahoma" w:hAnsi="Tahoma" w:cs="Tahoma"/>
          <w:sz w:val="19"/>
          <w:szCs w:val="19"/>
        </w:rPr>
        <w:t xml:space="preserve"> </w:t>
      </w:r>
      <w:r w:rsidRPr="00046603">
        <w:rPr>
          <w:rFonts w:ascii="Tahoma" w:hAnsi="Tahoma" w:cs="Tahoma"/>
          <w:sz w:val="19"/>
          <w:szCs w:val="19"/>
        </w:rPr>
        <w:t>empreendam</w:t>
      </w:r>
      <w:r w:rsidR="007A52EF">
        <w:rPr>
          <w:rFonts w:ascii="Tahoma" w:hAnsi="Tahoma" w:cs="Tahoma"/>
          <w:sz w:val="19"/>
          <w:szCs w:val="19"/>
        </w:rPr>
        <w:t>, gerando</w:t>
      </w:r>
      <w:r w:rsidRPr="00046603">
        <w:rPr>
          <w:rFonts w:ascii="Tahoma" w:hAnsi="Tahoma" w:cs="Tahoma"/>
          <w:sz w:val="19"/>
          <w:szCs w:val="19"/>
        </w:rPr>
        <w:t xml:space="preserve"> novas empresas</w:t>
      </w:r>
      <w:r w:rsidR="007A52EF">
        <w:rPr>
          <w:rFonts w:ascii="Tahoma" w:hAnsi="Tahoma" w:cs="Tahoma"/>
          <w:sz w:val="19"/>
          <w:szCs w:val="19"/>
        </w:rPr>
        <w:t>,</w:t>
      </w:r>
      <w:r w:rsidRPr="00046603">
        <w:rPr>
          <w:rFonts w:ascii="Tahoma" w:hAnsi="Tahoma" w:cs="Tahoma"/>
          <w:sz w:val="19"/>
          <w:szCs w:val="19"/>
        </w:rPr>
        <w:t xml:space="preserve"> ou transfiram a tecnologia para empresas já existentes. O programa foi lançado em </w:t>
      </w:r>
      <w:r w:rsidR="00781A7D">
        <w:rPr>
          <w:rFonts w:ascii="Tahoma" w:hAnsi="Tahoma" w:cs="Tahoma"/>
          <w:sz w:val="19"/>
          <w:szCs w:val="19"/>
        </w:rPr>
        <w:t>dezembro de</w:t>
      </w:r>
      <w:r w:rsidRPr="00046603">
        <w:rPr>
          <w:rFonts w:ascii="Tahoma" w:hAnsi="Tahoma" w:cs="Tahoma"/>
          <w:sz w:val="19"/>
          <w:szCs w:val="19"/>
        </w:rPr>
        <w:t xml:space="preserve">2022 e teve seu resultado divulgado em </w:t>
      </w:r>
      <w:r w:rsidR="00781A7D">
        <w:rPr>
          <w:rFonts w:ascii="Tahoma" w:hAnsi="Tahoma" w:cs="Tahoma"/>
          <w:sz w:val="19"/>
          <w:szCs w:val="19"/>
        </w:rPr>
        <w:t xml:space="preserve">dezembro de </w:t>
      </w:r>
      <w:r w:rsidRPr="00046603">
        <w:rPr>
          <w:rFonts w:ascii="Tahoma" w:hAnsi="Tahoma" w:cs="Tahoma"/>
          <w:sz w:val="19"/>
          <w:szCs w:val="19"/>
        </w:rPr>
        <w:t>2023.</w:t>
      </w:r>
    </w:p>
    <w:p w14:paraId="6A91706C" w14:textId="3137B3FB" w:rsidR="005177F9" w:rsidRDefault="00046603" w:rsidP="00046603">
      <w:pPr>
        <w:spacing w:before="120" w:after="120" w:line="360" w:lineRule="auto"/>
        <w:rPr>
          <w:rFonts w:ascii="Tahoma" w:hAnsi="Tahoma" w:cs="Tahoma"/>
          <w:sz w:val="19"/>
          <w:szCs w:val="19"/>
        </w:rPr>
      </w:pPr>
      <w:r w:rsidRPr="00046603">
        <w:rPr>
          <w:rFonts w:ascii="Tahoma" w:hAnsi="Tahoma" w:cs="Tahoma"/>
          <w:sz w:val="19"/>
          <w:szCs w:val="19"/>
        </w:rPr>
        <w:lastRenderedPageBreak/>
        <w:t>Inicialmente foram disponibilizados R$ 50 milhões, mas a chamada contou com uma suplementação de mais R$ 47,3 milhões</w:t>
      </w:r>
      <w:r w:rsidR="00D67DAB">
        <w:rPr>
          <w:rFonts w:ascii="Tahoma" w:hAnsi="Tahoma" w:cs="Tahoma"/>
          <w:sz w:val="19"/>
          <w:szCs w:val="19"/>
        </w:rPr>
        <w:t xml:space="preserve">, </w:t>
      </w:r>
      <w:r w:rsidR="00621689">
        <w:rPr>
          <w:rFonts w:ascii="Tahoma" w:hAnsi="Tahoma" w:cs="Tahoma"/>
          <w:sz w:val="19"/>
          <w:szCs w:val="19"/>
        </w:rPr>
        <w:t>ampliando</w:t>
      </w:r>
      <w:r w:rsidR="00D67DAB">
        <w:rPr>
          <w:rFonts w:ascii="Tahoma" w:hAnsi="Tahoma" w:cs="Tahoma"/>
          <w:sz w:val="19"/>
          <w:szCs w:val="19"/>
        </w:rPr>
        <w:t xml:space="preserve"> o número de projetos aprovados para </w:t>
      </w:r>
      <w:r w:rsidR="00D67DAB" w:rsidRPr="00D67DAB">
        <w:rPr>
          <w:rFonts w:ascii="Tahoma" w:hAnsi="Tahoma" w:cs="Tahoma"/>
          <w:sz w:val="19"/>
          <w:szCs w:val="19"/>
        </w:rPr>
        <w:t>21</w:t>
      </w:r>
      <w:r w:rsidR="00D67DAB">
        <w:rPr>
          <w:rFonts w:ascii="Tahoma" w:hAnsi="Tahoma" w:cs="Tahoma"/>
          <w:sz w:val="19"/>
          <w:szCs w:val="19"/>
        </w:rPr>
        <w:t xml:space="preserve">, no valor de </w:t>
      </w:r>
      <w:r w:rsidR="00D67DAB" w:rsidRPr="00D67DAB">
        <w:rPr>
          <w:rFonts w:ascii="Tahoma" w:hAnsi="Tahoma" w:cs="Tahoma"/>
          <w:sz w:val="19"/>
          <w:szCs w:val="19"/>
        </w:rPr>
        <w:t>R$ 97.330.427,20</w:t>
      </w:r>
      <w:r w:rsidRPr="00046603">
        <w:rPr>
          <w:rFonts w:ascii="Tahoma" w:hAnsi="Tahoma" w:cs="Tahoma"/>
          <w:sz w:val="19"/>
          <w:szCs w:val="19"/>
        </w:rPr>
        <w:t>.</w:t>
      </w:r>
      <w:r w:rsidR="005177F9">
        <w:rPr>
          <w:rFonts w:ascii="Tahoma" w:hAnsi="Tahoma" w:cs="Tahoma"/>
          <w:sz w:val="19"/>
          <w:szCs w:val="19"/>
        </w:rPr>
        <w:t xml:space="preserve"> A demanda para essa chamada foi de 244 propostas, no valor total de R$ </w:t>
      </w:r>
      <w:r w:rsidR="005177F9" w:rsidRPr="005177F9">
        <w:rPr>
          <w:rFonts w:ascii="Tahoma" w:hAnsi="Tahoma" w:cs="Tahoma"/>
          <w:sz w:val="19"/>
          <w:szCs w:val="19"/>
        </w:rPr>
        <w:t>1.122.220.059,43</w:t>
      </w:r>
      <w:r w:rsidR="005177F9">
        <w:rPr>
          <w:rFonts w:ascii="Tahoma" w:hAnsi="Tahoma" w:cs="Tahoma"/>
          <w:sz w:val="19"/>
          <w:szCs w:val="19"/>
        </w:rPr>
        <w:t>.</w:t>
      </w:r>
    </w:p>
    <w:p w14:paraId="783B551D" w14:textId="77777777" w:rsidR="00046603" w:rsidRDefault="00046603">
      <w:pPr>
        <w:spacing w:before="120" w:after="120" w:line="360" w:lineRule="auto"/>
        <w:rPr>
          <w:rFonts w:ascii="Tahoma" w:hAnsi="Tahoma" w:cs="Tahoma"/>
          <w:sz w:val="19"/>
          <w:szCs w:val="19"/>
        </w:rPr>
      </w:pPr>
    </w:p>
    <w:p w14:paraId="1384ED07" w14:textId="5880502C" w:rsidR="00046603" w:rsidRPr="00046603" w:rsidRDefault="007A52EF" w:rsidP="00077B27">
      <w:pPr>
        <w:pStyle w:val="PargrafodaLista"/>
        <w:numPr>
          <w:ilvl w:val="0"/>
          <w:numId w:val="35"/>
        </w:numPr>
        <w:spacing w:before="120" w:after="120" w:line="360" w:lineRule="auto"/>
        <w:rPr>
          <w:rFonts w:ascii="Tahoma" w:hAnsi="Tahoma" w:cs="Tahoma"/>
          <w:sz w:val="19"/>
          <w:szCs w:val="19"/>
        </w:rPr>
      </w:pPr>
      <w:r>
        <w:rPr>
          <w:rFonts w:ascii="Tahoma" w:hAnsi="Tahoma" w:cs="Tahoma"/>
          <w:sz w:val="19"/>
          <w:szCs w:val="19"/>
        </w:rPr>
        <w:t>C</w:t>
      </w:r>
      <w:r w:rsidR="00046603" w:rsidRPr="00046603">
        <w:rPr>
          <w:rFonts w:ascii="Tahoma" w:hAnsi="Tahoma" w:cs="Tahoma"/>
          <w:sz w:val="19"/>
          <w:szCs w:val="19"/>
        </w:rPr>
        <w:t>adeias produtivas da bioeconomia em biomas brasileiros</w:t>
      </w:r>
    </w:p>
    <w:p w14:paraId="6D85CF93" w14:textId="6E035D89" w:rsidR="00046603" w:rsidRPr="00046603" w:rsidRDefault="00046603" w:rsidP="00046603">
      <w:pPr>
        <w:spacing w:before="120" w:after="120" w:line="360" w:lineRule="auto"/>
        <w:rPr>
          <w:rFonts w:ascii="Tahoma" w:hAnsi="Tahoma" w:cs="Tahoma"/>
          <w:sz w:val="19"/>
          <w:szCs w:val="19"/>
        </w:rPr>
      </w:pPr>
      <w:r w:rsidRPr="00046603">
        <w:rPr>
          <w:rFonts w:ascii="Tahoma" w:hAnsi="Tahoma" w:cs="Tahoma"/>
          <w:sz w:val="19"/>
          <w:szCs w:val="19"/>
        </w:rPr>
        <w:t>O edital visou conceder recursos de subvenção econômica para apoiar projetos de empresas que envolvam risco tecnológico e oportunidade de mercado, buscando o desenvolvimento de novas soluções para cadeias produtivas da bioeconomia com a participação e codesenvolvimento realizado junto às comunidades locais. Foram selecionadas propostas de desenvolvimento de novos produtos, processos e serviços com base na biodiversidade brasileira em cadeias produtivas de todos os biomas brasileiros.</w:t>
      </w:r>
    </w:p>
    <w:p w14:paraId="2BABFEE9" w14:textId="1A7F73A2" w:rsidR="008305B1" w:rsidRDefault="00046603" w:rsidP="00046603">
      <w:pPr>
        <w:spacing w:before="120" w:after="120" w:line="360" w:lineRule="auto"/>
        <w:rPr>
          <w:rFonts w:ascii="Tahoma" w:hAnsi="Tahoma" w:cs="Tahoma"/>
          <w:sz w:val="19"/>
          <w:szCs w:val="19"/>
        </w:rPr>
      </w:pPr>
      <w:r w:rsidRPr="00046603">
        <w:rPr>
          <w:rFonts w:ascii="Tahoma" w:hAnsi="Tahoma" w:cs="Tahoma"/>
          <w:sz w:val="19"/>
          <w:szCs w:val="19"/>
        </w:rPr>
        <w:t xml:space="preserve">A chamada teve seu resultado </w:t>
      </w:r>
      <w:r w:rsidR="007A52EF">
        <w:rPr>
          <w:rFonts w:ascii="Tahoma" w:hAnsi="Tahoma" w:cs="Tahoma"/>
          <w:sz w:val="19"/>
          <w:szCs w:val="19"/>
        </w:rPr>
        <w:t xml:space="preserve">publicado </w:t>
      </w:r>
      <w:r w:rsidRPr="00046603">
        <w:rPr>
          <w:rFonts w:ascii="Tahoma" w:hAnsi="Tahoma" w:cs="Tahoma"/>
          <w:sz w:val="19"/>
          <w:szCs w:val="19"/>
        </w:rPr>
        <w:t xml:space="preserve">em </w:t>
      </w:r>
      <w:r w:rsidR="007A52EF">
        <w:rPr>
          <w:rFonts w:ascii="Tahoma" w:hAnsi="Tahoma" w:cs="Tahoma"/>
          <w:sz w:val="19"/>
          <w:szCs w:val="19"/>
        </w:rPr>
        <w:t xml:space="preserve">julho de </w:t>
      </w:r>
      <w:r w:rsidRPr="00046603">
        <w:rPr>
          <w:rFonts w:ascii="Tahoma" w:hAnsi="Tahoma" w:cs="Tahoma"/>
          <w:sz w:val="19"/>
          <w:szCs w:val="19"/>
        </w:rPr>
        <w:t xml:space="preserve">2023 e </w:t>
      </w:r>
      <w:r w:rsidR="007A52EF">
        <w:rPr>
          <w:rFonts w:ascii="Tahoma" w:hAnsi="Tahoma" w:cs="Tahoma"/>
          <w:sz w:val="19"/>
          <w:szCs w:val="19"/>
        </w:rPr>
        <w:t>sete</w:t>
      </w:r>
      <w:r w:rsidRPr="00046603">
        <w:rPr>
          <w:rFonts w:ascii="Tahoma" w:hAnsi="Tahoma" w:cs="Tahoma"/>
          <w:sz w:val="19"/>
          <w:szCs w:val="19"/>
        </w:rPr>
        <w:t xml:space="preserve"> propostas aprovadas totalizando R$ 9.991.830,59. Houve ainda uma suplementação de recursos no valor de R$ 8.719.838,81 que contemplou mais </w:t>
      </w:r>
      <w:r w:rsidR="00077B27">
        <w:rPr>
          <w:rFonts w:ascii="Tahoma" w:hAnsi="Tahoma" w:cs="Tahoma"/>
          <w:sz w:val="19"/>
          <w:szCs w:val="19"/>
        </w:rPr>
        <w:t>cinco</w:t>
      </w:r>
      <w:r w:rsidRPr="00046603">
        <w:rPr>
          <w:rFonts w:ascii="Tahoma" w:hAnsi="Tahoma" w:cs="Tahoma"/>
          <w:sz w:val="19"/>
          <w:szCs w:val="19"/>
        </w:rPr>
        <w:t xml:space="preserve"> projetos.</w:t>
      </w:r>
    </w:p>
    <w:p w14:paraId="569B45D1" w14:textId="77777777" w:rsidR="008305B1" w:rsidRDefault="008305B1">
      <w:pPr>
        <w:spacing w:before="120" w:after="120" w:line="360" w:lineRule="auto"/>
        <w:rPr>
          <w:rFonts w:ascii="Tahoma" w:hAnsi="Tahoma" w:cs="Tahoma"/>
          <w:sz w:val="19"/>
          <w:szCs w:val="19"/>
        </w:rPr>
      </w:pPr>
    </w:p>
    <w:p w14:paraId="2C572830" w14:textId="77777777" w:rsidR="00E16666" w:rsidRDefault="00E16666" w:rsidP="00077B27">
      <w:pPr>
        <w:pStyle w:val="PargrafodaLista"/>
        <w:numPr>
          <w:ilvl w:val="0"/>
          <w:numId w:val="35"/>
        </w:numPr>
        <w:spacing w:before="120" w:after="120" w:line="360" w:lineRule="auto"/>
        <w:rPr>
          <w:rFonts w:ascii="Tahoma" w:hAnsi="Tahoma" w:cs="Tahoma"/>
          <w:sz w:val="19"/>
          <w:szCs w:val="19"/>
        </w:rPr>
      </w:pPr>
      <w:r>
        <w:rPr>
          <w:rFonts w:ascii="Tahoma" w:hAnsi="Tahoma" w:cs="Tahoma"/>
          <w:sz w:val="19"/>
          <w:szCs w:val="19"/>
        </w:rPr>
        <w:t>Doenças raras</w:t>
      </w:r>
    </w:p>
    <w:p w14:paraId="26AD7190" w14:textId="77777777" w:rsidR="00E16666" w:rsidRDefault="00E16666" w:rsidP="00E16666">
      <w:pPr>
        <w:spacing w:before="120" w:after="120" w:line="360" w:lineRule="auto"/>
        <w:rPr>
          <w:rFonts w:ascii="Tahoma" w:hAnsi="Tahoma" w:cs="Tahoma"/>
          <w:sz w:val="19"/>
          <w:szCs w:val="19"/>
        </w:rPr>
      </w:pPr>
      <w:r>
        <w:rPr>
          <w:rFonts w:ascii="Tahoma" w:hAnsi="Tahoma" w:cs="Tahoma"/>
          <w:sz w:val="19"/>
          <w:szCs w:val="19"/>
        </w:rPr>
        <w:t xml:space="preserve">A Chamada para projetos de </w:t>
      </w:r>
      <w:r w:rsidRPr="00A01EA1">
        <w:rPr>
          <w:rFonts w:ascii="Tahoma" w:hAnsi="Tahoma" w:cs="Tahoma"/>
          <w:sz w:val="19"/>
          <w:szCs w:val="19"/>
        </w:rPr>
        <w:t xml:space="preserve">Pesquisa, Desenvolvimento e Inovação no Diagnóstico, Tratamento e Reabilitação de Pessoas com Doenças Raras obteve suplementação de R$ </w:t>
      </w:r>
      <w:r w:rsidRPr="00C34804">
        <w:rPr>
          <w:rFonts w:ascii="Tahoma" w:hAnsi="Tahoma" w:cs="Tahoma"/>
          <w:sz w:val="19"/>
          <w:szCs w:val="19"/>
        </w:rPr>
        <w:t>35.916.153,87</w:t>
      </w:r>
      <w:r>
        <w:rPr>
          <w:rFonts w:ascii="Tahoma" w:hAnsi="Tahoma" w:cs="Tahoma"/>
          <w:sz w:val="19"/>
          <w:szCs w:val="19"/>
        </w:rPr>
        <w:t xml:space="preserve"> para 15 projetos</w:t>
      </w:r>
      <w:r w:rsidRPr="00A01EA1">
        <w:rPr>
          <w:rFonts w:ascii="Tahoma" w:hAnsi="Tahoma" w:cs="Tahoma"/>
          <w:sz w:val="19"/>
          <w:szCs w:val="19"/>
        </w:rPr>
        <w:t>. Os projetos resultantes da chamada envolvem diagnóstico, tratamento e reabilitação de pessoas com Doenças Raras, com o objetivo de reduzir a incapacidade causada por essas patologias, contribuir para a melhoria da qualidade de vida desses pacientes e melhorar seu acesso aos serviços de saúde e educação.</w:t>
      </w:r>
      <w:r>
        <w:rPr>
          <w:rFonts w:ascii="Tahoma" w:hAnsi="Tahoma" w:cs="Tahoma"/>
          <w:sz w:val="19"/>
          <w:szCs w:val="19"/>
        </w:rPr>
        <w:t xml:space="preserve"> </w:t>
      </w:r>
    </w:p>
    <w:p w14:paraId="66EA56A9" w14:textId="77777777" w:rsidR="00E16666" w:rsidRDefault="00E16666" w:rsidP="00E16666">
      <w:pPr>
        <w:spacing w:before="120" w:after="120" w:line="360" w:lineRule="auto"/>
        <w:rPr>
          <w:rFonts w:ascii="Tahoma" w:hAnsi="Tahoma" w:cs="Tahoma"/>
          <w:sz w:val="19"/>
          <w:szCs w:val="19"/>
        </w:rPr>
      </w:pPr>
    </w:p>
    <w:p w14:paraId="18D8D282" w14:textId="77777777" w:rsidR="00077B27" w:rsidRPr="00851EC1" w:rsidRDefault="00077B27" w:rsidP="00077B27">
      <w:pPr>
        <w:spacing w:before="120" w:after="120" w:line="360" w:lineRule="auto"/>
        <w:rPr>
          <w:rFonts w:ascii="Tahoma" w:hAnsi="Tahoma" w:cs="Tahoma"/>
          <w:color w:val="0098BA"/>
          <w:sz w:val="19"/>
          <w:szCs w:val="19"/>
        </w:rPr>
      </w:pPr>
      <w:r w:rsidRPr="00851EC1">
        <w:rPr>
          <w:rFonts w:ascii="Tahoma" w:hAnsi="Tahoma" w:cs="Tahoma"/>
          <w:color w:val="0098BA"/>
          <w:sz w:val="19"/>
          <w:szCs w:val="19"/>
        </w:rPr>
        <w:t>Resultados quantitativos</w:t>
      </w:r>
    </w:p>
    <w:p w14:paraId="416A7C1C" w14:textId="62259988" w:rsidR="002020E7" w:rsidRDefault="002020E7" w:rsidP="002020E7">
      <w:pPr>
        <w:spacing w:before="120" w:after="120" w:line="360" w:lineRule="auto"/>
        <w:rPr>
          <w:rFonts w:ascii="Tahoma" w:hAnsi="Tahoma" w:cs="Tahoma"/>
          <w:sz w:val="19"/>
          <w:szCs w:val="19"/>
        </w:rPr>
      </w:pPr>
      <w:r w:rsidRPr="001D3253">
        <w:rPr>
          <w:rFonts w:ascii="Tahoma" w:hAnsi="Tahoma" w:cs="Tahoma"/>
          <w:sz w:val="19"/>
          <w:szCs w:val="19"/>
        </w:rPr>
        <w:t xml:space="preserve">Em 2023, os resultados quantitativos </w:t>
      </w:r>
      <w:r w:rsidR="001D3253" w:rsidRPr="001D3253">
        <w:rPr>
          <w:rFonts w:ascii="Tahoma" w:hAnsi="Tahoma" w:cs="Tahoma"/>
          <w:sz w:val="19"/>
          <w:szCs w:val="19"/>
        </w:rPr>
        <w:t>da subvenção econômica</w:t>
      </w:r>
      <w:r w:rsidRPr="001D3253">
        <w:rPr>
          <w:rFonts w:ascii="Tahoma" w:hAnsi="Tahoma" w:cs="Tahoma"/>
          <w:sz w:val="19"/>
          <w:szCs w:val="19"/>
        </w:rPr>
        <w:t xml:space="preserve"> foram impactados pela continuidade da operação de ações iniciadas em exercícios anteriores e pelo aumento da disponibilidade de recursos do FNDCT.</w:t>
      </w:r>
    </w:p>
    <w:p w14:paraId="2D282247" w14:textId="77777777" w:rsidR="002020E7" w:rsidRPr="00681449" w:rsidRDefault="002020E7" w:rsidP="002020E7">
      <w:pPr>
        <w:autoSpaceDE w:val="0"/>
        <w:spacing w:before="120"/>
        <w:ind w:right="54"/>
        <w:jc w:val="right"/>
        <w:rPr>
          <w:sz w:val="22"/>
          <w:szCs w:val="22"/>
        </w:rPr>
      </w:pPr>
      <w:r w:rsidRPr="00681449">
        <w:rPr>
          <w:rFonts w:ascii="Tahoma" w:hAnsi="Tahoma" w:cs="Tahoma"/>
          <w:bCs/>
          <w:color w:val="000000"/>
          <w:sz w:val="18"/>
          <w:szCs w:val="18"/>
        </w:rPr>
        <w:t>Posição em 31/12/2023</w:t>
      </w:r>
    </w:p>
    <w:tbl>
      <w:tblPr>
        <w:tblW w:w="9284" w:type="dxa"/>
        <w:tblBorders>
          <w:top w:val="single" w:sz="4" w:space="0" w:color="A6A6A6"/>
          <w:bottom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076"/>
        <w:gridCol w:w="1265"/>
        <w:gridCol w:w="1807"/>
        <w:gridCol w:w="1316"/>
        <w:gridCol w:w="1820"/>
      </w:tblGrid>
      <w:tr w:rsidR="002020E7" w14:paraId="75B21F70" w14:textId="77777777" w:rsidTr="00D67DAB">
        <w:trPr>
          <w:trHeight w:val="315"/>
          <w:tblHeader/>
        </w:trPr>
        <w:tc>
          <w:tcPr>
            <w:tcW w:w="3076" w:type="dxa"/>
            <w:vMerge w:val="restart"/>
            <w:shd w:val="clear" w:color="auto" w:fill="0098BA"/>
            <w:tcMar>
              <w:top w:w="0" w:type="dxa"/>
              <w:left w:w="70" w:type="dxa"/>
              <w:bottom w:w="0" w:type="dxa"/>
              <w:right w:w="70" w:type="dxa"/>
            </w:tcMar>
            <w:vAlign w:val="center"/>
          </w:tcPr>
          <w:p w14:paraId="77B7CB0A" w14:textId="70676CB9" w:rsidR="002020E7" w:rsidRDefault="002020E7" w:rsidP="00097EE2">
            <w:pPr>
              <w:jc w:val="center"/>
              <w:rPr>
                <w:rFonts w:ascii="Tahoma" w:hAnsi="Tahoma" w:cs="Tahoma"/>
                <w:color w:val="FFFFFF"/>
                <w:sz w:val="19"/>
                <w:szCs w:val="19"/>
              </w:rPr>
            </w:pPr>
            <w:r>
              <w:rPr>
                <w:rFonts w:ascii="Tahoma" w:hAnsi="Tahoma" w:cs="Tahoma"/>
                <w:color w:val="FFFFFF"/>
                <w:sz w:val="19"/>
                <w:szCs w:val="19"/>
              </w:rPr>
              <w:t>Subvenção Econômica</w:t>
            </w:r>
            <w:r w:rsidR="002953A3">
              <w:rPr>
                <w:rFonts w:ascii="Tahoma" w:hAnsi="Tahoma" w:cs="Tahoma"/>
                <w:color w:val="FFFFFF"/>
                <w:sz w:val="19"/>
                <w:szCs w:val="19"/>
              </w:rPr>
              <w:t xml:space="preserve"> (direta)</w:t>
            </w:r>
          </w:p>
        </w:tc>
        <w:tc>
          <w:tcPr>
            <w:tcW w:w="3072" w:type="dxa"/>
            <w:gridSpan w:val="2"/>
            <w:shd w:val="clear" w:color="auto" w:fill="0098BA"/>
            <w:tcMar>
              <w:top w:w="0" w:type="dxa"/>
              <w:left w:w="70" w:type="dxa"/>
              <w:bottom w:w="0" w:type="dxa"/>
              <w:right w:w="70" w:type="dxa"/>
            </w:tcMar>
            <w:vAlign w:val="center"/>
          </w:tcPr>
          <w:p w14:paraId="60F54940" w14:textId="77777777" w:rsidR="002020E7" w:rsidRDefault="002020E7" w:rsidP="00097EE2">
            <w:pPr>
              <w:jc w:val="center"/>
              <w:rPr>
                <w:rFonts w:ascii="Tahoma" w:hAnsi="Tahoma" w:cs="Tahoma"/>
                <w:color w:val="FFFFFF"/>
                <w:sz w:val="19"/>
                <w:szCs w:val="19"/>
              </w:rPr>
            </w:pPr>
            <w:r>
              <w:rPr>
                <w:rFonts w:ascii="Tahoma" w:hAnsi="Tahoma" w:cs="Tahoma"/>
                <w:color w:val="FFFFFF"/>
                <w:sz w:val="19"/>
                <w:szCs w:val="19"/>
              </w:rPr>
              <w:t>2022</w:t>
            </w:r>
          </w:p>
        </w:tc>
        <w:tc>
          <w:tcPr>
            <w:tcW w:w="3136" w:type="dxa"/>
            <w:gridSpan w:val="2"/>
            <w:shd w:val="clear" w:color="auto" w:fill="0098BA"/>
            <w:tcMar>
              <w:top w:w="0" w:type="dxa"/>
              <w:left w:w="70" w:type="dxa"/>
              <w:bottom w:w="0" w:type="dxa"/>
              <w:right w:w="70" w:type="dxa"/>
            </w:tcMar>
            <w:vAlign w:val="center"/>
          </w:tcPr>
          <w:p w14:paraId="3D07F797" w14:textId="77777777" w:rsidR="002020E7" w:rsidRDefault="002020E7" w:rsidP="00097EE2">
            <w:pPr>
              <w:jc w:val="center"/>
              <w:rPr>
                <w:rFonts w:ascii="Tahoma" w:hAnsi="Tahoma" w:cs="Tahoma"/>
                <w:color w:val="FFFFFF"/>
                <w:sz w:val="19"/>
                <w:szCs w:val="19"/>
              </w:rPr>
            </w:pPr>
            <w:r>
              <w:rPr>
                <w:rFonts w:ascii="Tahoma" w:hAnsi="Tahoma" w:cs="Tahoma"/>
                <w:color w:val="FFFFFF"/>
                <w:sz w:val="19"/>
                <w:szCs w:val="19"/>
              </w:rPr>
              <w:t>2023</w:t>
            </w:r>
          </w:p>
        </w:tc>
      </w:tr>
      <w:tr w:rsidR="002020E7" w14:paraId="6EE2D01F" w14:textId="77777777" w:rsidTr="00D67DAB">
        <w:trPr>
          <w:trHeight w:val="642"/>
          <w:tblHeader/>
        </w:trPr>
        <w:tc>
          <w:tcPr>
            <w:tcW w:w="3076" w:type="dxa"/>
            <w:vMerge/>
            <w:shd w:val="clear" w:color="auto" w:fill="0098BA"/>
            <w:tcMar>
              <w:top w:w="0" w:type="dxa"/>
              <w:left w:w="70" w:type="dxa"/>
              <w:bottom w:w="0" w:type="dxa"/>
              <w:right w:w="70" w:type="dxa"/>
            </w:tcMar>
            <w:vAlign w:val="center"/>
          </w:tcPr>
          <w:p w14:paraId="4D6D05BF" w14:textId="77777777" w:rsidR="002020E7" w:rsidRDefault="002020E7" w:rsidP="00097EE2">
            <w:pPr>
              <w:rPr>
                <w:rFonts w:ascii="Tahoma" w:hAnsi="Tahoma" w:cs="Tahoma"/>
                <w:color w:val="FFFFFF"/>
                <w:sz w:val="19"/>
                <w:szCs w:val="19"/>
              </w:rPr>
            </w:pPr>
          </w:p>
        </w:tc>
        <w:tc>
          <w:tcPr>
            <w:tcW w:w="1265" w:type="dxa"/>
            <w:shd w:val="clear" w:color="auto" w:fill="0098BA"/>
            <w:tcMar>
              <w:top w:w="0" w:type="dxa"/>
              <w:left w:w="70" w:type="dxa"/>
              <w:bottom w:w="0" w:type="dxa"/>
              <w:right w:w="70" w:type="dxa"/>
            </w:tcMar>
            <w:vAlign w:val="center"/>
          </w:tcPr>
          <w:p w14:paraId="6A82462D" w14:textId="77777777" w:rsidR="002020E7" w:rsidRDefault="002020E7" w:rsidP="00097EE2">
            <w:pPr>
              <w:jc w:val="center"/>
              <w:rPr>
                <w:rFonts w:ascii="Tahoma" w:hAnsi="Tahoma" w:cs="Tahoma"/>
                <w:color w:val="FFFFFF"/>
                <w:sz w:val="19"/>
                <w:szCs w:val="19"/>
              </w:rPr>
            </w:pPr>
            <w:r>
              <w:rPr>
                <w:rFonts w:ascii="Tahoma" w:hAnsi="Tahoma" w:cs="Tahoma"/>
                <w:color w:val="FFFFFF"/>
                <w:sz w:val="19"/>
                <w:szCs w:val="19"/>
              </w:rPr>
              <w:t>Nº de projetos</w:t>
            </w:r>
          </w:p>
        </w:tc>
        <w:tc>
          <w:tcPr>
            <w:tcW w:w="1807" w:type="dxa"/>
            <w:shd w:val="clear" w:color="auto" w:fill="0098BA"/>
            <w:tcMar>
              <w:top w:w="0" w:type="dxa"/>
              <w:left w:w="70" w:type="dxa"/>
              <w:bottom w:w="0" w:type="dxa"/>
              <w:right w:w="70" w:type="dxa"/>
            </w:tcMar>
            <w:vAlign w:val="center"/>
          </w:tcPr>
          <w:p w14:paraId="22CB2BBA" w14:textId="77777777" w:rsidR="002020E7" w:rsidRDefault="002020E7" w:rsidP="00097EE2">
            <w:pPr>
              <w:jc w:val="center"/>
              <w:rPr>
                <w:rFonts w:ascii="Tahoma" w:hAnsi="Tahoma" w:cs="Tahoma"/>
                <w:color w:val="FFFFFF"/>
                <w:sz w:val="19"/>
                <w:szCs w:val="19"/>
              </w:rPr>
            </w:pPr>
            <w:r>
              <w:rPr>
                <w:rFonts w:ascii="Tahoma" w:hAnsi="Tahoma" w:cs="Tahoma"/>
                <w:color w:val="FFFFFF"/>
                <w:sz w:val="19"/>
                <w:szCs w:val="19"/>
              </w:rPr>
              <w:t>R$</w:t>
            </w:r>
          </w:p>
        </w:tc>
        <w:tc>
          <w:tcPr>
            <w:tcW w:w="1316" w:type="dxa"/>
            <w:shd w:val="clear" w:color="auto" w:fill="0098BA"/>
            <w:tcMar>
              <w:top w:w="0" w:type="dxa"/>
              <w:left w:w="70" w:type="dxa"/>
              <w:bottom w:w="0" w:type="dxa"/>
              <w:right w:w="70" w:type="dxa"/>
            </w:tcMar>
            <w:vAlign w:val="center"/>
          </w:tcPr>
          <w:p w14:paraId="67595051" w14:textId="77777777" w:rsidR="002020E7" w:rsidRDefault="002020E7" w:rsidP="00097EE2">
            <w:pPr>
              <w:jc w:val="center"/>
              <w:rPr>
                <w:rFonts w:ascii="Tahoma" w:hAnsi="Tahoma" w:cs="Tahoma"/>
                <w:color w:val="FFFFFF"/>
                <w:sz w:val="19"/>
                <w:szCs w:val="19"/>
              </w:rPr>
            </w:pPr>
            <w:r>
              <w:rPr>
                <w:rFonts w:ascii="Tahoma" w:hAnsi="Tahoma" w:cs="Tahoma"/>
                <w:color w:val="FFFFFF"/>
                <w:sz w:val="19"/>
                <w:szCs w:val="19"/>
              </w:rPr>
              <w:t>Nº de projetos</w:t>
            </w:r>
          </w:p>
        </w:tc>
        <w:tc>
          <w:tcPr>
            <w:tcW w:w="1820" w:type="dxa"/>
            <w:shd w:val="clear" w:color="auto" w:fill="0098BA"/>
            <w:tcMar>
              <w:top w:w="0" w:type="dxa"/>
              <w:left w:w="70" w:type="dxa"/>
              <w:bottom w:w="0" w:type="dxa"/>
              <w:right w:w="70" w:type="dxa"/>
            </w:tcMar>
            <w:vAlign w:val="center"/>
          </w:tcPr>
          <w:p w14:paraId="686B13C8" w14:textId="77777777" w:rsidR="002020E7" w:rsidRDefault="002020E7" w:rsidP="00097EE2">
            <w:pPr>
              <w:jc w:val="center"/>
              <w:rPr>
                <w:rFonts w:ascii="Tahoma" w:hAnsi="Tahoma" w:cs="Tahoma"/>
                <w:color w:val="FFFFFF"/>
                <w:sz w:val="19"/>
                <w:szCs w:val="19"/>
              </w:rPr>
            </w:pPr>
            <w:r>
              <w:rPr>
                <w:rFonts w:ascii="Tahoma" w:hAnsi="Tahoma" w:cs="Tahoma"/>
                <w:color w:val="FFFFFF"/>
                <w:sz w:val="19"/>
                <w:szCs w:val="19"/>
              </w:rPr>
              <w:t>R$</w:t>
            </w:r>
          </w:p>
        </w:tc>
      </w:tr>
      <w:tr w:rsidR="00D67DAB" w14:paraId="7C24044A" w14:textId="77777777" w:rsidTr="00077B27">
        <w:trPr>
          <w:trHeight w:val="315"/>
        </w:trPr>
        <w:tc>
          <w:tcPr>
            <w:tcW w:w="3076" w:type="dxa"/>
            <w:shd w:val="clear" w:color="auto" w:fill="auto"/>
            <w:tcMar>
              <w:top w:w="0" w:type="dxa"/>
              <w:left w:w="70" w:type="dxa"/>
              <w:bottom w:w="0" w:type="dxa"/>
              <w:right w:w="70" w:type="dxa"/>
            </w:tcMar>
            <w:vAlign w:val="center"/>
          </w:tcPr>
          <w:p w14:paraId="0E5727C1" w14:textId="77777777" w:rsidR="00D67DAB" w:rsidRDefault="00D67DAB" w:rsidP="00D67DAB">
            <w:pPr>
              <w:ind w:firstLine="134"/>
              <w:rPr>
                <w:rFonts w:ascii="Tahoma" w:hAnsi="Tahoma" w:cs="Tahoma"/>
                <w:sz w:val="19"/>
                <w:szCs w:val="19"/>
              </w:rPr>
            </w:pPr>
            <w:r>
              <w:rPr>
                <w:rFonts w:ascii="Tahoma" w:hAnsi="Tahoma" w:cs="Tahoma"/>
                <w:sz w:val="19"/>
                <w:szCs w:val="19"/>
              </w:rPr>
              <w:t>Contratação</w:t>
            </w:r>
          </w:p>
        </w:tc>
        <w:tc>
          <w:tcPr>
            <w:tcW w:w="1265" w:type="dxa"/>
            <w:shd w:val="clear" w:color="auto" w:fill="auto"/>
            <w:tcMar>
              <w:top w:w="0" w:type="dxa"/>
              <w:left w:w="70" w:type="dxa"/>
              <w:bottom w:w="0" w:type="dxa"/>
              <w:right w:w="70" w:type="dxa"/>
            </w:tcMar>
            <w:vAlign w:val="center"/>
          </w:tcPr>
          <w:p w14:paraId="409CDF92" w14:textId="32ED53A8" w:rsidR="00D67DAB" w:rsidRDefault="00D67DAB" w:rsidP="00D67DAB">
            <w:pPr>
              <w:jc w:val="center"/>
              <w:rPr>
                <w:rFonts w:ascii="Tahoma" w:hAnsi="Tahoma" w:cs="Tahoma"/>
                <w:sz w:val="19"/>
                <w:szCs w:val="19"/>
              </w:rPr>
            </w:pPr>
            <w:r>
              <w:rPr>
                <w:rFonts w:ascii="Tahoma" w:hAnsi="Tahoma" w:cs="Tahoma"/>
                <w:sz w:val="19"/>
                <w:szCs w:val="19"/>
              </w:rPr>
              <w:t>132</w:t>
            </w:r>
          </w:p>
        </w:tc>
        <w:tc>
          <w:tcPr>
            <w:tcW w:w="1807" w:type="dxa"/>
            <w:shd w:val="clear" w:color="auto" w:fill="auto"/>
            <w:tcMar>
              <w:top w:w="0" w:type="dxa"/>
              <w:left w:w="70" w:type="dxa"/>
              <w:bottom w:w="0" w:type="dxa"/>
              <w:right w:w="70" w:type="dxa"/>
            </w:tcMar>
            <w:vAlign w:val="center"/>
          </w:tcPr>
          <w:p w14:paraId="5D39B051" w14:textId="7360C3E0" w:rsidR="00D67DAB" w:rsidRDefault="00D67DAB" w:rsidP="00D67DAB">
            <w:pPr>
              <w:ind w:firstLine="134"/>
              <w:jc w:val="right"/>
              <w:rPr>
                <w:rFonts w:ascii="Tahoma" w:hAnsi="Tahoma" w:cs="Tahoma"/>
                <w:sz w:val="19"/>
                <w:szCs w:val="19"/>
              </w:rPr>
            </w:pPr>
            <w:r>
              <w:rPr>
                <w:rFonts w:ascii="Tahoma" w:hAnsi="Tahoma" w:cs="Tahoma"/>
                <w:sz w:val="19"/>
                <w:szCs w:val="19"/>
              </w:rPr>
              <w:t>201.969.088,87</w:t>
            </w:r>
          </w:p>
        </w:tc>
        <w:tc>
          <w:tcPr>
            <w:tcW w:w="1316" w:type="dxa"/>
            <w:shd w:val="clear" w:color="auto" w:fill="auto"/>
            <w:tcMar>
              <w:top w:w="0" w:type="dxa"/>
              <w:left w:w="70" w:type="dxa"/>
              <w:bottom w:w="0" w:type="dxa"/>
              <w:right w:w="70" w:type="dxa"/>
            </w:tcMar>
            <w:vAlign w:val="center"/>
          </w:tcPr>
          <w:p w14:paraId="092DE9D2" w14:textId="12B9F6BD" w:rsidR="00D67DAB" w:rsidRDefault="00D67DAB" w:rsidP="00077B27">
            <w:pPr>
              <w:jc w:val="center"/>
              <w:rPr>
                <w:rFonts w:ascii="Tahoma" w:hAnsi="Tahoma" w:cs="Tahoma"/>
                <w:sz w:val="19"/>
                <w:szCs w:val="19"/>
              </w:rPr>
            </w:pPr>
            <w:r w:rsidRPr="00D67DAB">
              <w:rPr>
                <w:rFonts w:ascii="Tahoma" w:hAnsi="Tahoma" w:cs="Tahoma"/>
                <w:sz w:val="19"/>
                <w:szCs w:val="19"/>
              </w:rPr>
              <w:t>189</w:t>
            </w:r>
          </w:p>
        </w:tc>
        <w:tc>
          <w:tcPr>
            <w:tcW w:w="1820" w:type="dxa"/>
            <w:shd w:val="clear" w:color="auto" w:fill="auto"/>
            <w:tcMar>
              <w:top w:w="0" w:type="dxa"/>
              <w:left w:w="70" w:type="dxa"/>
              <w:bottom w:w="0" w:type="dxa"/>
              <w:right w:w="70" w:type="dxa"/>
            </w:tcMar>
            <w:vAlign w:val="center"/>
          </w:tcPr>
          <w:p w14:paraId="416FE153" w14:textId="76028327" w:rsidR="00D67DAB" w:rsidRDefault="00D67DAB" w:rsidP="00077B27">
            <w:pPr>
              <w:ind w:firstLine="134"/>
              <w:jc w:val="right"/>
              <w:rPr>
                <w:rFonts w:ascii="Tahoma" w:hAnsi="Tahoma" w:cs="Tahoma"/>
                <w:sz w:val="19"/>
                <w:szCs w:val="19"/>
              </w:rPr>
            </w:pPr>
            <w:r w:rsidRPr="00D67DAB">
              <w:rPr>
                <w:rFonts w:ascii="Tahoma" w:hAnsi="Tahoma" w:cs="Tahoma"/>
                <w:sz w:val="19"/>
                <w:szCs w:val="19"/>
              </w:rPr>
              <w:t>1.457.241.483,22</w:t>
            </w:r>
          </w:p>
        </w:tc>
      </w:tr>
      <w:tr w:rsidR="00D67DAB" w14:paraId="5952C03A" w14:textId="77777777" w:rsidTr="00D67DAB">
        <w:trPr>
          <w:trHeight w:val="315"/>
        </w:trPr>
        <w:tc>
          <w:tcPr>
            <w:tcW w:w="3076" w:type="dxa"/>
            <w:shd w:val="clear" w:color="auto" w:fill="auto"/>
            <w:tcMar>
              <w:top w:w="0" w:type="dxa"/>
              <w:left w:w="70" w:type="dxa"/>
              <w:bottom w:w="0" w:type="dxa"/>
              <w:right w:w="70" w:type="dxa"/>
            </w:tcMar>
            <w:vAlign w:val="center"/>
          </w:tcPr>
          <w:p w14:paraId="0CC5949B" w14:textId="77777777" w:rsidR="00D67DAB" w:rsidRDefault="00D67DAB" w:rsidP="00D67DAB">
            <w:pPr>
              <w:ind w:firstLine="134"/>
              <w:rPr>
                <w:rFonts w:ascii="Tahoma" w:hAnsi="Tahoma" w:cs="Tahoma"/>
                <w:color w:val="000000"/>
                <w:sz w:val="19"/>
                <w:szCs w:val="19"/>
              </w:rPr>
            </w:pPr>
            <w:r>
              <w:rPr>
                <w:rFonts w:ascii="Tahoma" w:hAnsi="Tahoma" w:cs="Tahoma"/>
                <w:color w:val="000000"/>
                <w:sz w:val="19"/>
                <w:szCs w:val="19"/>
              </w:rPr>
              <w:t>Liberação</w:t>
            </w:r>
          </w:p>
        </w:tc>
        <w:tc>
          <w:tcPr>
            <w:tcW w:w="1265" w:type="dxa"/>
            <w:shd w:val="clear" w:color="auto" w:fill="auto"/>
            <w:tcMar>
              <w:top w:w="0" w:type="dxa"/>
              <w:left w:w="70" w:type="dxa"/>
              <w:bottom w:w="0" w:type="dxa"/>
              <w:right w:w="70" w:type="dxa"/>
            </w:tcMar>
            <w:vAlign w:val="center"/>
          </w:tcPr>
          <w:p w14:paraId="12E2AC64" w14:textId="4377EACD" w:rsidR="00D67DAB" w:rsidRDefault="00D67DAB" w:rsidP="00D67DAB">
            <w:pPr>
              <w:jc w:val="center"/>
              <w:rPr>
                <w:rFonts w:ascii="Tahoma" w:hAnsi="Tahoma" w:cs="Tahoma"/>
                <w:sz w:val="19"/>
                <w:szCs w:val="19"/>
              </w:rPr>
            </w:pPr>
            <w:r>
              <w:rPr>
                <w:rFonts w:ascii="Tahoma" w:hAnsi="Tahoma" w:cs="Tahoma"/>
                <w:sz w:val="19"/>
                <w:szCs w:val="19"/>
              </w:rPr>
              <w:t>174</w:t>
            </w:r>
          </w:p>
        </w:tc>
        <w:tc>
          <w:tcPr>
            <w:tcW w:w="1807" w:type="dxa"/>
            <w:shd w:val="clear" w:color="auto" w:fill="auto"/>
            <w:tcMar>
              <w:top w:w="0" w:type="dxa"/>
              <w:left w:w="70" w:type="dxa"/>
              <w:bottom w:w="0" w:type="dxa"/>
              <w:right w:w="70" w:type="dxa"/>
            </w:tcMar>
            <w:vAlign w:val="center"/>
          </w:tcPr>
          <w:p w14:paraId="1CFC4701" w14:textId="1A93C53F" w:rsidR="00D67DAB" w:rsidRDefault="00D67DAB" w:rsidP="00D67DAB">
            <w:pPr>
              <w:ind w:firstLine="134"/>
              <w:jc w:val="right"/>
              <w:rPr>
                <w:rFonts w:ascii="Tahoma" w:hAnsi="Tahoma" w:cs="Tahoma"/>
                <w:sz w:val="19"/>
                <w:szCs w:val="19"/>
              </w:rPr>
            </w:pPr>
            <w:r>
              <w:rPr>
                <w:rFonts w:ascii="Tahoma" w:hAnsi="Tahoma" w:cs="Tahoma"/>
                <w:sz w:val="19"/>
                <w:szCs w:val="19"/>
              </w:rPr>
              <w:t>104.498.777,99</w:t>
            </w:r>
          </w:p>
        </w:tc>
        <w:tc>
          <w:tcPr>
            <w:tcW w:w="1316" w:type="dxa"/>
            <w:shd w:val="clear" w:color="auto" w:fill="auto"/>
            <w:tcMar>
              <w:top w:w="0" w:type="dxa"/>
              <w:left w:w="70" w:type="dxa"/>
              <w:bottom w:w="0" w:type="dxa"/>
              <w:right w:w="70" w:type="dxa"/>
            </w:tcMar>
            <w:vAlign w:val="center"/>
          </w:tcPr>
          <w:p w14:paraId="153CC091" w14:textId="3BBC5F28" w:rsidR="00D67DAB" w:rsidRDefault="00D67DAB" w:rsidP="00D67DAB">
            <w:pPr>
              <w:jc w:val="center"/>
              <w:rPr>
                <w:rFonts w:ascii="Tahoma" w:hAnsi="Tahoma" w:cs="Tahoma"/>
                <w:sz w:val="19"/>
                <w:szCs w:val="19"/>
              </w:rPr>
            </w:pPr>
            <w:r w:rsidRPr="00D67DAB">
              <w:rPr>
                <w:rFonts w:ascii="Tahoma" w:hAnsi="Tahoma" w:cs="Tahoma"/>
                <w:sz w:val="19"/>
                <w:szCs w:val="19"/>
              </w:rPr>
              <w:t>270</w:t>
            </w:r>
          </w:p>
        </w:tc>
        <w:tc>
          <w:tcPr>
            <w:tcW w:w="1820" w:type="dxa"/>
            <w:shd w:val="clear" w:color="auto" w:fill="auto"/>
            <w:tcMar>
              <w:top w:w="0" w:type="dxa"/>
              <w:left w:w="70" w:type="dxa"/>
              <w:bottom w:w="0" w:type="dxa"/>
              <w:right w:w="70" w:type="dxa"/>
            </w:tcMar>
            <w:vAlign w:val="center"/>
          </w:tcPr>
          <w:p w14:paraId="56B42DED" w14:textId="7BA2F8E1" w:rsidR="00D67DAB" w:rsidRDefault="00D67DAB" w:rsidP="00D67DAB">
            <w:pPr>
              <w:ind w:firstLine="134"/>
              <w:jc w:val="right"/>
              <w:rPr>
                <w:rFonts w:ascii="Tahoma" w:hAnsi="Tahoma" w:cs="Tahoma"/>
                <w:sz w:val="19"/>
                <w:szCs w:val="19"/>
              </w:rPr>
            </w:pPr>
            <w:r w:rsidRPr="00D67DAB">
              <w:rPr>
                <w:rFonts w:ascii="Tahoma" w:hAnsi="Tahoma" w:cs="Tahoma"/>
                <w:sz w:val="19"/>
                <w:szCs w:val="19"/>
              </w:rPr>
              <w:t>462.800.571,61</w:t>
            </w:r>
          </w:p>
        </w:tc>
      </w:tr>
    </w:tbl>
    <w:p w14:paraId="56A556D2" w14:textId="77777777" w:rsidR="002020E7" w:rsidRPr="00681449" w:rsidRDefault="002020E7" w:rsidP="002020E7">
      <w:pPr>
        <w:autoSpaceDE w:val="0"/>
        <w:spacing w:after="120"/>
        <w:textAlignment w:val="center"/>
      </w:pPr>
      <w:r w:rsidRPr="00681449">
        <w:rPr>
          <w:rFonts w:ascii="Tahoma" w:hAnsi="Tahoma" w:cs="Tahoma"/>
          <w:color w:val="000000"/>
          <w:sz w:val="18"/>
          <w:szCs w:val="18"/>
        </w:rPr>
        <w:t>Dados obtidos em: fev/24</w:t>
      </w:r>
    </w:p>
    <w:p w14:paraId="59ACA146" w14:textId="77777777" w:rsidR="001D3253" w:rsidRPr="00D67DAB" w:rsidRDefault="001D3253" w:rsidP="002020E7">
      <w:pPr>
        <w:spacing w:before="120" w:after="120" w:line="360" w:lineRule="auto"/>
        <w:rPr>
          <w:rFonts w:ascii="Tahoma" w:hAnsi="Tahoma" w:cs="Tahoma"/>
          <w:sz w:val="19"/>
          <w:szCs w:val="19"/>
        </w:rPr>
      </w:pPr>
    </w:p>
    <w:p w14:paraId="026EF5A7" w14:textId="77777777" w:rsidR="001D3253" w:rsidRPr="00230360" w:rsidRDefault="001D3253" w:rsidP="00230360">
      <w:pPr>
        <w:suppressAutoHyphens/>
        <w:spacing w:before="120" w:after="120" w:line="360" w:lineRule="auto"/>
        <w:rPr>
          <w:rFonts w:ascii="Tahoma" w:hAnsi="Tahoma" w:cs="Tahoma"/>
          <w:sz w:val="19"/>
          <w:szCs w:val="19"/>
        </w:rPr>
      </w:pPr>
      <w:r w:rsidRPr="00230360">
        <w:rPr>
          <w:rFonts w:ascii="Tahoma" w:hAnsi="Tahoma" w:cs="Tahoma"/>
          <w:sz w:val="19"/>
          <w:szCs w:val="19"/>
        </w:rPr>
        <w:br w:type="page"/>
      </w:r>
    </w:p>
    <w:p w14:paraId="2000A9C1" w14:textId="76ED526E" w:rsidR="002020E7" w:rsidRPr="00BB7B36" w:rsidRDefault="002020E7" w:rsidP="002020E7">
      <w:pPr>
        <w:spacing w:before="120" w:after="120" w:line="360" w:lineRule="auto"/>
        <w:rPr>
          <w:rFonts w:ascii="Tahoma" w:hAnsi="Tahoma" w:cs="Tahoma"/>
          <w:color w:val="0098BA"/>
          <w:sz w:val="19"/>
          <w:szCs w:val="19"/>
        </w:rPr>
      </w:pPr>
      <w:r w:rsidRPr="00BB7B36">
        <w:rPr>
          <w:rFonts w:ascii="Tahoma" w:hAnsi="Tahoma" w:cs="Tahoma"/>
          <w:color w:val="0098BA"/>
          <w:sz w:val="19"/>
          <w:szCs w:val="19"/>
        </w:rPr>
        <w:lastRenderedPageBreak/>
        <w:t>Exemplos de projetos</w:t>
      </w:r>
      <w:r w:rsidR="00077B27">
        <w:rPr>
          <w:rFonts w:ascii="Tahoma" w:hAnsi="Tahoma" w:cs="Tahoma"/>
          <w:color w:val="0098BA"/>
          <w:sz w:val="19"/>
          <w:szCs w:val="19"/>
        </w:rPr>
        <w:t xml:space="preserve"> apoiados</w:t>
      </w:r>
    </w:p>
    <w:p w14:paraId="265AE0CA" w14:textId="7BC194FD" w:rsidR="008305B1" w:rsidRDefault="001D3253">
      <w:pPr>
        <w:spacing w:before="120" w:after="120" w:line="360" w:lineRule="auto"/>
        <w:rPr>
          <w:rFonts w:ascii="Tahoma" w:hAnsi="Tahoma" w:cs="Tahoma"/>
          <w:sz w:val="19"/>
          <w:szCs w:val="19"/>
        </w:rPr>
      </w:pPr>
      <w:r>
        <w:rPr>
          <w:noProof/>
        </w:rPr>
        <w:drawing>
          <wp:inline distT="0" distB="0" distL="0" distR="0" wp14:anchorId="4C7DAA11" wp14:editId="647E333B">
            <wp:extent cx="5795010" cy="3259455"/>
            <wp:effectExtent l="0" t="0" r="0" b="0"/>
            <wp:docPr id="1469820587"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20587" name=""/>
                    <pic:cNvPicPr/>
                  </pic:nvPicPr>
                  <pic:blipFill>
                    <a:blip r:embed="rId134">
                      <a:extLst>
                        <a:ext uri="{96DAC541-7B7A-43D3-8B79-37D633B846F1}">
                          <asvg:svgBlip xmlns:asvg="http://schemas.microsoft.com/office/drawing/2016/SVG/main" r:embed="rId135"/>
                        </a:ext>
                      </a:extLst>
                    </a:blip>
                    <a:stretch>
                      <a:fillRect/>
                    </a:stretch>
                  </pic:blipFill>
                  <pic:spPr>
                    <a:xfrm>
                      <a:off x="0" y="0"/>
                      <a:ext cx="5795010" cy="3259455"/>
                    </a:xfrm>
                    <a:prstGeom prst="rect">
                      <a:avLst/>
                    </a:prstGeom>
                  </pic:spPr>
                </pic:pic>
              </a:graphicData>
            </a:graphic>
          </wp:inline>
        </w:drawing>
      </w:r>
    </w:p>
    <w:p w14:paraId="6AB28E63" w14:textId="77777777" w:rsidR="001D3253" w:rsidRDefault="001D3253">
      <w:pPr>
        <w:spacing w:before="120" w:after="120" w:line="360" w:lineRule="auto"/>
        <w:rPr>
          <w:rFonts w:ascii="Tahoma" w:hAnsi="Tahoma" w:cs="Tahoma"/>
          <w:sz w:val="19"/>
          <w:szCs w:val="19"/>
        </w:rPr>
      </w:pPr>
    </w:p>
    <w:p w14:paraId="1E1300CA" w14:textId="1622FCCB" w:rsidR="001D3253" w:rsidRDefault="001D3253">
      <w:pPr>
        <w:spacing w:before="120" w:after="120" w:line="360" w:lineRule="auto"/>
        <w:rPr>
          <w:rFonts w:ascii="Tahoma" w:hAnsi="Tahoma" w:cs="Tahoma"/>
          <w:sz w:val="19"/>
          <w:szCs w:val="19"/>
        </w:rPr>
      </w:pPr>
      <w:r>
        <w:rPr>
          <w:noProof/>
        </w:rPr>
        <w:drawing>
          <wp:inline distT="0" distB="0" distL="0" distR="0" wp14:anchorId="5748B350" wp14:editId="684330A9">
            <wp:extent cx="5795010" cy="3259455"/>
            <wp:effectExtent l="0" t="0" r="0" b="0"/>
            <wp:docPr id="1997880394"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880394" name=""/>
                    <pic:cNvPicPr/>
                  </pic:nvPicPr>
                  <pic:blipFill>
                    <a:blip r:embed="rId136">
                      <a:extLst>
                        <a:ext uri="{96DAC541-7B7A-43D3-8B79-37D633B846F1}">
                          <asvg:svgBlip xmlns:asvg="http://schemas.microsoft.com/office/drawing/2016/SVG/main" r:embed="rId137"/>
                        </a:ext>
                      </a:extLst>
                    </a:blip>
                    <a:stretch>
                      <a:fillRect/>
                    </a:stretch>
                  </pic:blipFill>
                  <pic:spPr>
                    <a:xfrm>
                      <a:off x="0" y="0"/>
                      <a:ext cx="5795010" cy="3259455"/>
                    </a:xfrm>
                    <a:prstGeom prst="rect">
                      <a:avLst/>
                    </a:prstGeom>
                  </pic:spPr>
                </pic:pic>
              </a:graphicData>
            </a:graphic>
          </wp:inline>
        </w:drawing>
      </w:r>
    </w:p>
    <w:p w14:paraId="6E6A8392" w14:textId="0AAE99C6" w:rsidR="001D3253" w:rsidRDefault="003F22D7">
      <w:pPr>
        <w:spacing w:after="160"/>
        <w:textAlignment w:val="baseline"/>
        <w:rPr>
          <w:rFonts w:ascii="Tahoma" w:hAnsi="Tahoma" w:cs="Tahoma"/>
          <w:sz w:val="19"/>
          <w:szCs w:val="19"/>
        </w:rPr>
      </w:pPr>
      <w:r>
        <w:rPr>
          <w:rFonts w:ascii="Tahoma" w:hAnsi="Tahoma" w:cs="Tahoma"/>
          <w:sz w:val="19"/>
          <w:szCs w:val="19"/>
        </w:rPr>
        <w:t>//</w:t>
      </w:r>
    </w:p>
    <w:p w14:paraId="35D030A6" w14:textId="3C3DA0EA" w:rsidR="001D3253" w:rsidRDefault="001D3253">
      <w:pPr>
        <w:spacing w:after="160"/>
        <w:textAlignment w:val="baseline"/>
        <w:rPr>
          <w:rFonts w:ascii="Tahoma" w:hAnsi="Tahoma" w:cs="Tahoma"/>
          <w:sz w:val="19"/>
          <w:szCs w:val="19"/>
        </w:rPr>
      </w:pPr>
      <w:r>
        <w:rPr>
          <w:rFonts w:ascii="Tahoma" w:hAnsi="Tahoma" w:cs="Tahoma"/>
          <w:noProof/>
          <w:sz w:val="19"/>
          <w:szCs w:val="19"/>
        </w:rPr>
        <w:lastRenderedPageBreak/>
        <w:drawing>
          <wp:inline distT="0" distB="0" distL="0" distR="0" wp14:anchorId="3B9782AE" wp14:editId="396702EE">
            <wp:extent cx="6096635" cy="3429000"/>
            <wp:effectExtent l="0" t="0" r="0" b="0"/>
            <wp:docPr id="206477460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269C8CD" w14:textId="77777777" w:rsidR="001D3253" w:rsidRDefault="001D3253">
      <w:pPr>
        <w:spacing w:after="160"/>
        <w:textAlignment w:val="baseline"/>
        <w:rPr>
          <w:rFonts w:ascii="Tahoma" w:hAnsi="Tahoma" w:cs="Tahoma"/>
          <w:sz w:val="19"/>
          <w:szCs w:val="19"/>
        </w:rPr>
      </w:pPr>
    </w:p>
    <w:p w14:paraId="56996C50" w14:textId="77777777" w:rsidR="001D3253" w:rsidRDefault="001D3253">
      <w:pPr>
        <w:spacing w:after="160"/>
        <w:textAlignment w:val="baseline"/>
        <w:rPr>
          <w:rFonts w:ascii="Tahoma" w:hAnsi="Tahoma" w:cs="Tahoma"/>
          <w:sz w:val="19"/>
          <w:szCs w:val="19"/>
        </w:rPr>
      </w:pPr>
      <w:r>
        <w:rPr>
          <w:noProof/>
        </w:rPr>
        <w:drawing>
          <wp:inline distT="0" distB="0" distL="0" distR="0" wp14:anchorId="67BA6A60" wp14:editId="6DA10166">
            <wp:extent cx="5795010" cy="3259455"/>
            <wp:effectExtent l="0" t="0" r="0" b="0"/>
            <wp:docPr id="72891194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11940" name=""/>
                    <pic:cNvPicPr/>
                  </pic:nvPicPr>
                  <pic:blipFill>
                    <a:blip r:embed="rId139">
                      <a:extLst>
                        <a:ext uri="{96DAC541-7B7A-43D3-8B79-37D633B846F1}">
                          <asvg:svgBlip xmlns:asvg="http://schemas.microsoft.com/office/drawing/2016/SVG/main" r:embed="rId140"/>
                        </a:ext>
                      </a:extLst>
                    </a:blip>
                    <a:stretch>
                      <a:fillRect/>
                    </a:stretch>
                  </pic:blipFill>
                  <pic:spPr>
                    <a:xfrm>
                      <a:off x="0" y="0"/>
                      <a:ext cx="5795010" cy="3259455"/>
                    </a:xfrm>
                    <a:prstGeom prst="rect">
                      <a:avLst/>
                    </a:prstGeom>
                  </pic:spPr>
                </pic:pic>
              </a:graphicData>
            </a:graphic>
          </wp:inline>
        </w:drawing>
      </w:r>
    </w:p>
    <w:p w14:paraId="7B3C0D4D" w14:textId="77777777" w:rsidR="001D3253" w:rsidRDefault="001D3253">
      <w:pPr>
        <w:spacing w:after="160"/>
        <w:textAlignment w:val="baseline"/>
        <w:rPr>
          <w:rFonts w:ascii="Tahoma" w:hAnsi="Tahoma" w:cs="Tahoma"/>
          <w:sz w:val="19"/>
          <w:szCs w:val="19"/>
        </w:rPr>
      </w:pPr>
    </w:p>
    <w:p w14:paraId="014C538C" w14:textId="4F4853E1" w:rsidR="00E060F7" w:rsidRDefault="00E060F7">
      <w:pPr>
        <w:spacing w:after="160"/>
        <w:textAlignment w:val="baseline"/>
        <w:rPr>
          <w:rFonts w:ascii="Tahoma" w:hAnsi="Tahoma" w:cs="Tahoma"/>
          <w:sz w:val="19"/>
          <w:szCs w:val="19"/>
        </w:rPr>
      </w:pPr>
      <w:r>
        <w:rPr>
          <w:rFonts w:ascii="Tahoma" w:hAnsi="Tahoma" w:cs="Tahoma"/>
          <w:sz w:val="19"/>
          <w:szCs w:val="19"/>
        </w:rPr>
        <w:br w:type="page"/>
      </w:r>
    </w:p>
    <w:p w14:paraId="6DC16243" w14:textId="0E92DF5D" w:rsidR="00077B27" w:rsidRPr="00BE6D01" w:rsidRDefault="00077B27" w:rsidP="00077B27">
      <w:pPr>
        <w:pStyle w:val="Ttulo3"/>
        <w:spacing w:before="120" w:after="120" w:line="360" w:lineRule="auto"/>
        <w:rPr>
          <w:rFonts w:ascii="Tahoma" w:hAnsi="Tahoma" w:cs="Tahoma"/>
          <w:color w:val="0098BA"/>
          <w:sz w:val="22"/>
          <w:szCs w:val="22"/>
        </w:rPr>
      </w:pPr>
      <w:bookmarkStart w:id="74" w:name="_Toc163025252"/>
      <w:bookmarkStart w:id="75" w:name="_Toc162512589"/>
      <w:r>
        <w:rPr>
          <w:rFonts w:ascii="Tahoma" w:hAnsi="Tahoma" w:cs="Tahoma"/>
          <w:color w:val="0098BA"/>
          <w:sz w:val="22"/>
          <w:szCs w:val="22"/>
        </w:rPr>
        <w:lastRenderedPageBreak/>
        <w:t>Crédito</w:t>
      </w:r>
      <w:r w:rsidR="00FD493F">
        <w:rPr>
          <w:rFonts w:ascii="Tahoma" w:hAnsi="Tahoma" w:cs="Tahoma"/>
          <w:color w:val="0098BA"/>
          <w:sz w:val="22"/>
          <w:szCs w:val="22"/>
        </w:rPr>
        <w:t xml:space="preserve"> direto e descentralizado</w:t>
      </w:r>
      <w:bookmarkEnd w:id="74"/>
      <w:bookmarkEnd w:id="75"/>
    </w:p>
    <w:p w14:paraId="301FD3A4" w14:textId="4CED897B" w:rsidR="006F6CDE" w:rsidRDefault="00BB0E07">
      <w:pPr>
        <w:spacing w:before="120" w:after="120" w:line="360" w:lineRule="auto"/>
        <w:rPr>
          <w:rFonts w:ascii="Tahoma" w:hAnsi="Tahoma" w:cs="Tahoma"/>
          <w:sz w:val="19"/>
          <w:szCs w:val="19"/>
        </w:rPr>
      </w:pPr>
      <w:r>
        <w:rPr>
          <w:rFonts w:ascii="Tahoma" w:hAnsi="Tahoma" w:cs="Tahoma"/>
          <w:sz w:val="19"/>
          <w:szCs w:val="19"/>
        </w:rPr>
        <w:t>O crédito, instrumento d</w:t>
      </w:r>
      <w:r w:rsidR="00077B27">
        <w:rPr>
          <w:rFonts w:ascii="Tahoma" w:hAnsi="Tahoma" w:cs="Tahoma"/>
          <w:sz w:val="19"/>
          <w:szCs w:val="19"/>
        </w:rPr>
        <w:t>e</w:t>
      </w:r>
      <w:r>
        <w:rPr>
          <w:rFonts w:ascii="Tahoma" w:hAnsi="Tahoma" w:cs="Tahoma"/>
          <w:sz w:val="19"/>
          <w:szCs w:val="19"/>
        </w:rPr>
        <w:t xml:space="preserve"> financiamento reembolsável, é operado tanto diretamente pela Finep como de forma descentralizada, por meio de agentes financeiros </w:t>
      </w:r>
      <w:r w:rsidR="00E060F7">
        <w:rPr>
          <w:rFonts w:ascii="Tahoma" w:hAnsi="Tahoma" w:cs="Tahoma"/>
          <w:sz w:val="19"/>
          <w:szCs w:val="19"/>
        </w:rPr>
        <w:t xml:space="preserve">de abrangência estadual, </w:t>
      </w:r>
      <w:r>
        <w:rPr>
          <w:rFonts w:ascii="Tahoma" w:hAnsi="Tahoma" w:cs="Tahoma"/>
          <w:sz w:val="19"/>
          <w:szCs w:val="19"/>
        </w:rPr>
        <w:t>regiona</w:t>
      </w:r>
      <w:r w:rsidR="00E060F7">
        <w:rPr>
          <w:rFonts w:ascii="Tahoma" w:hAnsi="Tahoma" w:cs="Tahoma"/>
          <w:sz w:val="19"/>
          <w:szCs w:val="19"/>
        </w:rPr>
        <w:t>l ou nacional,</w:t>
      </w:r>
      <w:r>
        <w:rPr>
          <w:rFonts w:ascii="Tahoma" w:hAnsi="Tahoma" w:cs="Tahoma"/>
          <w:sz w:val="19"/>
          <w:szCs w:val="19"/>
        </w:rPr>
        <w:t xml:space="preserve"> que estão mais próximos da realidade e dos desafios das empresas em seus sistemas locais de inovação. Essas formas de operação são complementares e têm como efeito ampliar a acessibilidade ao crédito para aquelas empresas, sobretudo Micro, Pequenas e Médias Empresas (MPMEs), que desejam inovar em temas e setores abrangidos pelas políticas públicas vigentes, contribuindo para o aumento da competitividade da economia brasileira.</w:t>
      </w:r>
      <w:r w:rsidR="006F6CDE">
        <w:rPr>
          <w:rFonts w:ascii="Tahoma" w:hAnsi="Tahoma" w:cs="Tahoma"/>
          <w:sz w:val="19"/>
          <w:szCs w:val="19"/>
        </w:rPr>
        <w:t xml:space="preserve"> </w:t>
      </w:r>
    </w:p>
    <w:p w14:paraId="1683EA91" w14:textId="4F64E222" w:rsidR="000D6D0A" w:rsidRDefault="006F6CDE">
      <w:pPr>
        <w:spacing w:before="120" w:after="120" w:line="360" w:lineRule="auto"/>
        <w:rPr>
          <w:rFonts w:ascii="Tahoma" w:hAnsi="Tahoma" w:cs="Tahoma"/>
          <w:sz w:val="19"/>
          <w:szCs w:val="19"/>
        </w:rPr>
      </w:pPr>
      <w:r>
        <w:rPr>
          <w:rFonts w:ascii="Tahoma" w:hAnsi="Tahoma" w:cs="Tahoma"/>
          <w:sz w:val="19"/>
          <w:szCs w:val="19"/>
        </w:rPr>
        <w:t xml:space="preserve">O percentual de </w:t>
      </w:r>
      <w:r w:rsidRPr="006F6CDE">
        <w:rPr>
          <w:rFonts w:ascii="Tahoma" w:hAnsi="Tahoma" w:cs="Tahoma"/>
          <w:sz w:val="19"/>
          <w:szCs w:val="19"/>
        </w:rPr>
        <w:t>Microempresa</w:t>
      </w:r>
      <w:r>
        <w:rPr>
          <w:rFonts w:ascii="Tahoma" w:hAnsi="Tahoma" w:cs="Tahoma"/>
          <w:sz w:val="19"/>
          <w:szCs w:val="19"/>
        </w:rPr>
        <w:t>s</w:t>
      </w:r>
      <w:r w:rsidRPr="006F6CDE">
        <w:rPr>
          <w:rFonts w:ascii="Tahoma" w:hAnsi="Tahoma" w:cs="Tahoma"/>
          <w:sz w:val="19"/>
          <w:szCs w:val="19"/>
        </w:rPr>
        <w:t xml:space="preserve"> e Empresa</w:t>
      </w:r>
      <w:r>
        <w:rPr>
          <w:rFonts w:ascii="Tahoma" w:hAnsi="Tahoma" w:cs="Tahoma"/>
          <w:sz w:val="19"/>
          <w:szCs w:val="19"/>
        </w:rPr>
        <w:t>s</w:t>
      </w:r>
      <w:r w:rsidRPr="006F6CDE">
        <w:rPr>
          <w:rFonts w:ascii="Tahoma" w:hAnsi="Tahoma" w:cs="Tahoma"/>
          <w:sz w:val="19"/>
          <w:szCs w:val="19"/>
        </w:rPr>
        <w:t xml:space="preserve"> de Pequeno Porte </w:t>
      </w:r>
      <w:r>
        <w:rPr>
          <w:rFonts w:ascii="Tahoma" w:hAnsi="Tahoma" w:cs="Tahoma"/>
          <w:sz w:val="19"/>
          <w:szCs w:val="19"/>
        </w:rPr>
        <w:t>que integram a carteira de projetos de crédito cresceu de 26,5% em 2022 para 30,8% em 2023.</w:t>
      </w:r>
    </w:p>
    <w:p w14:paraId="74821357" w14:textId="77777777" w:rsidR="006F6CDE" w:rsidRPr="006F6CDE" w:rsidRDefault="006F6CDE" w:rsidP="006F6CDE">
      <w:pPr>
        <w:spacing w:before="120"/>
        <w:jc w:val="center"/>
        <w:rPr>
          <w:rFonts w:ascii="Tahoma" w:hAnsi="Tahoma" w:cs="Tahoma"/>
          <w:color w:val="0098BA"/>
          <w:sz w:val="19"/>
          <w:szCs w:val="19"/>
        </w:rPr>
      </w:pPr>
      <w:r w:rsidRPr="006F6CDE">
        <w:rPr>
          <w:rFonts w:ascii="Tahoma" w:hAnsi="Tahoma" w:cs="Tahoma"/>
          <w:color w:val="0098BA"/>
          <w:sz w:val="19"/>
          <w:szCs w:val="19"/>
        </w:rPr>
        <w:t>Crédito (direto e descentralizado)</w:t>
      </w:r>
    </w:p>
    <w:p w14:paraId="77787487" w14:textId="0B67ED87" w:rsidR="00230360" w:rsidRPr="006F6CDE" w:rsidRDefault="006F6CDE" w:rsidP="006F6CDE">
      <w:pPr>
        <w:spacing w:after="120"/>
        <w:jc w:val="center"/>
        <w:rPr>
          <w:rFonts w:ascii="Tahoma" w:hAnsi="Tahoma" w:cs="Tahoma"/>
          <w:color w:val="0098BA"/>
          <w:sz w:val="19"/>
          <w:szCs w:val="19"/>
        </w:rPr>
      </w:pPr>
      <w:r w:rsidRPr="006F6CDE">
        <w:rPr>
          <w:rFonts w:ascii="Tahoma" w:hAnsi="Tahoma" w:cs="Tahoma"/>
          <w:color w:val="0098BA"/>
          <w:sz w:val="19"/>
          <w:szCs w:val="19"/>
        </w:rPr>
        <w:t xml:space="preserve">Perfil da carteira (% do número de contratos) por porte de empresa – </w:t>
      </w:r>
      <w:r w:rsidR="003B2BC4">
        <w:rPr>
          <w:rFonts w:ascii="Tahoma" w:hAnsi="Tahoma" w:cs="Tahoma"/>
          <w:color w:val="0098BA"/>
          <w:sz w:val="19"/>
          <w:szCs w:val="19"/>
        </w:rPr>
        <w:t>dez/</w:t>
      </w:r>
      <w:r w:rsidRPr="006F6CDE">
        <w:rPr>
          <w:rFonts w:ascii="Tahoma" w:hAnsi="Tahoma" w:cs="Tahoma"/>
          <w:color w:val="0098BA"/>
          <w:sz w:val="19"/>
          <w:szCs w:val="19"/>
        </w:rPr>
        <w:t>202</w:t>
      </w:r>
      <w:r>
        <w:rPr>
          <w:rFonts w:ascii="Tahoma" w:hAnsi="Tahoma" w:cs="Tahoma"/>
          <w:color w:val="0098BA"/>
          <w:sz w:val="19"/>
          <w:szCs w:val="19"/>
        </w:rPr>
        <w:t>3</w:t>
      </w:r>
    </w:p>
    <w:p w14:paraId="0F5CEED1" w14:textId="77777777" w:rsidR="008D2BFF" w:rsidRDefault="006F6CDE" w:rsidP="00BC740F">
      <w:pPr>
        <w:rPr>
          <w:rFonts w:ascii="Tahoma" w:hAnsi="Tahoma" w:cs="Tahoma"/>
          <w:sz w:val="18"/>
          <w:szCs w:val="18"/>
        </w:rPr>
      </w:pPr>
      <w:r>
        <w:rPr>
          <w:noProof/>
        </w:rPr>
        <w:drawing>
          <wp:inline distT="0" distB="0" distL="0" distR="0" wp14:anchorId="453F14BD" wp14:editId="32DB9741">
            <wp:extent cx="5867400" cy="2406650"/>
            <wp:effectExtent l="0" t="0" r="0" b="0"/>
            <wp:docPr id="845364208" name="Gráfico 1">
              <a:extLst xmlns:a="http://schemas.openxmlformats.org/drawingml/2006/main">
                <a:ext uri="{FF2B5EF4-FFF2-40B4-BE49-F238E27FC236}">
                  <a16:creationId xmlns:a16="http://schemas.microsoft.com/office/drawing/2014/main" id="{00000000-0008-0000-14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tbl>
      <w:tblPr>
        <w:tblStyle w:val="Tabelacomgrade"/>
        <w:tblW w:w="9351"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insideV w:val="single" w:sz="4" w:space="0" w:color="BFBFBF" w:themeColor="background1" w:themeShade="BF"/>
        </w:tblBorders>
        <w:tblLook w:val="04A0" w:firstRow="1" w:lastRow="0" w:firstColumn="1" w:lastColumn="0" w:noHBand="0" w:noVBand="1"/>
      </w:tblPr>
      <w:tblGrid>
        <w:gridCol w:w="4248"/>
        <w:gridCol w:w="5103"/>
      </w:tblGrid>
      <w:tr w:rsidR="008D2BFF" w:rsidRPr="00AC3A9A" w14:paraId="21DFA5D4" w14:textId="77777777" w:rsidTr="00145E5A">
        <w:trPr>
          <w:trHeight w:val="227"/>
        </w:trPr>
        <w:tc>
          <w:tcPr>
            <w:tcW w:w="4248" w:type="dxa"/>
            <w:shd w:val="clear" w:color="auto" w:fill="0098BA"/>
            <w:vAlign w:val="center"/>
          </w:tcPr>
          <w:p w14:paraId="7B426F1C" w14:textId="77777777" w:rsidR="008D2BFF" w:rsidRPr="00AC3A9A" w:rsidRDefault="008D2BFF" w:rsidP="00097EE2">
            <w:pPr>
              <w:tabs>
                <w:tab w:val="left" w:pos="426"/>
              </w:tabs>
              <w:rPr>
                <w:rFonts w:ascii="Tahoma" w:hAnsi="Tahoma" w:cs="Tahoma"/>
                <w:color w:val="FFFFFF" w:themeColor="background1"/>
                <w:sz w:val="18"/>
                <w:szCs w:val="18"/>
              </w:rPr>
            </w:pPr>
            <w:r w:rsidRPr="00AC3A9A">
              <w:rPr>
                <w:rFonts w:ascii="Tahoma" w:hAnsi="Tahoma" w:cs="Tahoma"/>
                <w:color w:val="FFFFFF" w:themeColor="background1"/>
                <w:sz w:val="18"/>
                <w:szCs w:val="18"/>
              </w:rPr>
              <w:t>Porte da empresa</w:t>
            </w:r>
          </w:p>
        </w:tc>
        <w:tc>
          <w:tcPr>
            <w:tcW w:w="5103" w:type="dxa"/>
            <w:shd w:val="clear" w:color="auto" w:fill="0098BA"/>
            <w:vAlign w:val="center"/>
          </w:tcPr>
          <w:p w14:paraId="3EAD854D" w14:textId="77777777" w:rsidR="008D2BFF" w:rsidRPr="00AC3A9A" w:rsidRDefault="008D2BFF" w:rsidP="00097EE2">
            <w:pPr>
              <w:tabs>
                <w:tab w:val="left" w:pos="426"/>
              </w:tabs>
              <w:rPr>
                <w:rFonts w:ascii="Tahoma" w:hAnsi="Tahoma" w:cs="Tahoma"/>
                <w:color w:val="FFFFFF" w:themeColor="background1"/>
                <w:sz w:val="18"/>
                <w:szCs w:val="18"/>
              </w:rPr>
            </w:pPr>
            <w:r w:rsidRPr="00AC3A9A">
              <w:rPr>
                <w:rFonts w:ascii="Tahoma" w:hAnsi="Tahoma" w:cs="Tahoma"/>
                <w:color w:val="FFFFFF" w:themeColor="background1"/>
                <w:sz w:val="18"/>
                <w:szCs w:val="18"/>
              </w:rPr>
              <w:t>Receita Operacional Bruta no último ano</w:t>
            </w:r>
          </w:p>
        </w:tc>
      </w:tr>
      <w:tr w:rsidR="008D2BFF" w:rsidRPr="00AC3A9A" w14:paraId="789F9B1B" w14:textId="77777777" w:rsidTr="00145E5A">
        <w:trPr>
          <w:trHeight w:val="227"/>
        </w:trPr>
        <w:tc>
          <w:tcPr>
            <w:tcW w:w="4248" w:type="dxa"/>
            <w:vAlign w:val="center"/>
          </w:tcPr>
          <w:p w14:paraId="1BE97B1A"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Microempresa e Empresa de Pequeno Porte (EPP)</w:t>
            </w:r>
          </w:p>
        </w:tc>
        <w:tc>
          <w:tcPr>
            <w:tcW w:w="5103" w:type="dxa"/>
            <w:vAlign w:val="center"/>
          </w:tcPr>
          <w:p w14:paraId="67245A0D"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até R$ 4,8 milhões</w:t>
            </w:r>
          </w:p>
        </w:tc>
      </w:tr>
      <w:tr w:rsidR="008D2BFF" w:rsidRPr="00AC3A9A" w14:paraId="4571718A" w14:textId="77777777" w:rsidTr="00145E5A">
        <w:trPr>
          <w:trHeight w:val="227"/>
        </w:trPr>
        <w:tc>
          <w:tcPr>
            <w:tcW w:w="4248" w:type="dxa"/>
            <w:vAlign w:val="center"/>
          </w:tcPr>
          <w:p w14:paraId="1E0E5AB7"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Pequena Empresa</w:t>
            </w:r>
          </w:p>
        </w:tc>
        <w:tc>
          <w:tcPr>
            <w:tcW w:w="5103" w:type="dxa"/>
            <w:vAlign w:val="center"/>
          </w:tcPr>
          <w:p w14:paraId="27BAD45B"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superior a R$ 4,8 milhões e igual ou inferior a R$ 16 milhões</w:t>
            </w:r>
          </w:p>
        </w:tc>
      </w:tr>
      <w:tr w:rsidR="008D2BFF" w:rsidRPr="00AC3A9A" w14:paraId="3F8E3687" w14:textId="77777777" w:rsidTr="00145E5A">
        <w:trPr>
          <w:trHeight w:val="227"/>
        </w:trPr>
        <w:tc>
          <w:tcPr>
            <w:tcW w:w="4248" w:type="dxa"/>
            <w:vAlign w:val="center"/>
          </w:tcPr>
          <w:p w14:paraId="2C1D83BD"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Média Empresa I</w:t>
            </w:r>
          </w:p>
        </w:tc>
        <w:tc>
          <w:tcPr>
            <w:tcW w:w="5103" w:type="dxa"/>
            <w:vAlign w:val="center"/>
          </w:tcPr>
          <w:p w14:paraId="0353C3E1"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superior a R$ 16 milhões e igual ou inferior a R$ 90 milhões</w:t>
            </w:r>
          </w:p>
        </w:tc>
      </w:tr>
      <w:tr w:rsidR="008D2BFF" w:rsidRPr="00AC3A9A" w14:paraId="5FF61757" w14:textId="77777777" w:rsidTr="00145E5A">
        <w:trPr>
          <w:trHeight w:val="227"/>
        </w:trPr>
        <w:tc>
          <w:tcPr>
            <w:tcW w:w="4248" w:type="dxa"/>
            <w:vAlign w:val="center"/>
          </w:tcPr>
          <w:p w14:paraId="4DCE9DD4"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Média Empresa II</w:t>
            </w:r>
          </w:p>
        </w:tc>
        <w:tc>
          <w:tcPr>
            <w:tcW w:w="5103" w:type="dxa"/>
            <w:vAlign w:val="center"/>
          </w:tcPr>
          <w:p w14:paraId="0A89B51F"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superior a R$ 90 milhões e igual ou inferior a R$ 300 milhões</w:t>
            </w:r>
          </w:p>
        </w:tc>
      </w:tr>
      <w:tr w:rsidR="008D2BFF" w:rsidRPr="00AC3A9A" w14:paraId="23545DE1" w14:textId="77777777" w:rsidTr="00145E5A">
        <w:trPr>
          <w:trHeight w:val="227"/>
        </w:trPr>
        <w:tc>
          <w:tcPr>
            <w:tcW w:w="4248" w:type="dxa"/>
            <w:vAlign w:val="center"/>
          </w:tcPr>
          <w:p w14:paraId="7EEA3D78"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Grande Empresa</w:t>
            </w:r>
          </w:p>
        </w:tc>
        <w:tc>
          <w:tcPr>
            <w:tcW w:w="5103" w:type="dxa"/>
            <w:vAlign w:val="center"/>
          </w:tcPr>
          <w:p w14:paraId="7B450EC4" w14:textId="77777777" w:rsidR="008D2BFF" w:rsidRPr="00AC3A9A" w:rsidRDefault="008D2BFF" w:rsidP="00097EE2">
            <w:pPr>
              <w:tabs>
                <w:tab w:val="left" w:pos="426"/>
              </w:tabs>
              <w:rPr>
                <w:rFonts w:ascii="Tahoma" w:hAnsi="Tahoma" w:cs="Tahoma"/>
                <w:sz w:val="18"/>
                <w:szCs w:val="18"/>
              </w:rPr>
            </w:pPr>
            <w:r w:rsidRPr="00AC3A9A">
              <w:rPr>
                <w:rFonts w:ascii="Tahoma" w:hAnsi="Tahoma" w:cs="Tahoma"/>
                <w:sz w:val="18"/>
                <w:szCs w:val="18"/>
              </w:rPr>
              <w:t>superior a R$ 300 milhões</w:t>
            </w:r>
          </w:p>
        </w:tc>
      </w:tr>
    </w:tbl>
    <w:p w14:paraId="6E7191E2" w14:textId="77777777" w:rsidR="008D2BFF" w:rsidRDefault="008D2BFF" w:rsidP="00BC740F">
      <w:pPr>
        <w:rPr>
          <w:rFonts w:ascii="Tahoma" w:hAnsi="Tahoma" w:cs="Tahoma"/>
          <w:sz w:val="18"/>
          <w:szCs w:val="18"/>
        </w:rPr>
      </w:pPr>
    </w:p>
    <w:p w14:paraId="1E827C64" w14:textId="06A7CD09" w:rsidR="000D6D0A" w:rsidRDefault="00BB0E07" w:rsidP="00BC740F">
      <w:pPr>
        <w:rPr>
          <w:rFonts w:ascii="Tahoma" w:hAnsi="Tahoma" w:cs="Tahoma"/>
          <w:sz w:val="18"/>
          <w:szCs w:val="18"/>
        </w:rPr>
      </w:pPr>
      <w:r>
        <w:rPr>
          <w:rFonts w:ascii="Tahoma" w:hAnsi="Tahoma" w:cs="Tahoma"/>
          <w:sz w:val="18"/>
          <w:szCs w:val="18"/>
        </w:rPr>
        <w:t>Notas:</w:t>
      </w:r>
    </w:p>
    <w:p w14:paraId="0EEAB823" w14:textId="0AF05451" w:rsidR="000D6D0A" w:rsidRPr="008D2BFF" w:rsidRDefault="00FF757C" w:rsidP="008D2BFF">
      <w:pPr>
        <w:pStyle w:val="PargrafodaLista"/>
        <w:numPr>
          <w:ilvl w:val="0"/>
          <w:numId w:val="36"/>
        </w:numPr>
        <w:spacing w:before="60" w:after="60"/>
        <w:ind w:left="426" w:hanging="426"/>
        <w:rPr>
          <w:rFonts w:ascii="Tahoma" w:hAnsi="Tahoma" w:cs="Tahoma"/>
          <w:sz w:val="18"/>
          <w:szCs w:val="18"/>
        </w:rPr>
      </w:pPr>
      <w:r w:rsidRPr="008D2BFF">
        <w:rPr>
          <w:rFonts w:ascii="Tahoma" w:hAnsi="Tahoma" w:cs="Tahoma"/>
          <w:sz w:val="18"/>
          <w:szCs w:val="18"/>
        </w:rPr>
        <w:t>O</w:t>
      </w:r>
      <w:r w:rsidR="00BB0E07" w:rsidRPr="008D2BFF">
        <w:rPr>
          <w:rFonts w:ascii="Tahoma" w:hAnsi="Tahoma" w:cs="Tahoma"/>
          <w:sz w:val="18"/>
          <w:szCs w:val="18"/>
        </w:rPr>
        <w:t xml:space="preserve">s dados incluem operações diretas com empresas, clientes da Finep, e os contratos com </w:t>
      </w:r>
      <w:r w:rsidRPr="008D2BFF">
        <w:rPr>
          <w:rFonts w:ascii="Tahoma" w:hAnsi="Tahoma" w:cs="Tahoma"/>
          <w:sz w:val="18"/>
          <w:szCs w:val="18"/>
        </w:rPr>
        <w:t xml:space="preserve">as empresas apoiadas por meio </w:t>
      </w:r>
      <w:r w:rsidR="00BB0E07" w:rsidRPr="008D2BFF">
        <w:rPr>
          <w:rFonts w:ascii="Tahoma" w:hAnsi="Tahoma" w:cs="Tahoma"/>
          <w:sz w:val="18"/>
          <w:szCs w:val="18"/>
        </w:rPr>
        <w:t>dos agentes descentralizados.</w:t>
      </w:r>
    </w:p>
    <w:p w14:paraId="5DA6C5D8" w14:textId="77777777" w:rsidR="000D6D0A" w:rsidRPr="008D2BFF" w:rsidRDefault="00BB0E07" w:rsidP="008D2BFF">
      <w:pPr>
        <w:pStyle w:val="PargrafodaLista"/>
        <w:numPr>
          <w:ilvl w:val="0"/>
          <w:numId w:val="36"/>
        </w:numPr>
        <w:spacing w:before="60" w:after="60"/>
        <w:ind w:left="426" w:hanging="426"/>
        <w:rPr>
          <w:rFonts w:ascii="Tahoma" w:hAnsi="Tahoma" w:cs="Tahoma"/>
          <w:sz w:val="18"/>
          <w:szCs w:val="18"/>
        </w:rPr>
      </w:pPr>
      <w:r w:rsidRPr="008D2BFF">
        <w:rPr>
          <w:rFonts w:ascii="Tahoma" w:hAnsi="Tahoma" w:cs="Tahoma"/>
          <w:sz w:val="18"/>
          <w:szCs w:val="18"/>
        </w:rPr>
        <w:t>O conceito de carteira na ótica do acompanhamento das operações de crédito inclui apenas os contratos com saldo devedor ainda em aberto no nosso sistema de cobrança, independente do estágio de execução/acompanhamento do projeto.</w:t>
      </w:r>
    </w:p>
    <w:p w14:paraId="6200D2F9" w14:textId="77777777" w:rsidR="000D6D0A" w:rsidRPr="008D2BFF" w:rsidRDefault="00BB0E07" w:rsidP="008D2BFF">
      <w:pPr>
        <w:pStyle w:val="PargrafodaLista"/>
        <w:numPr>
          <w:ilvl w:val="0"/>
          <w:numId w:val="36"/>
        </w:numPr>
        <w:spacing w:before="60" w:after="60"/>
        <w:ind w:left="426" w:hanging="426"/>
        <w:rPr>
          <w:rFonts w:ascii="Tahoma" w:hAnsi="Tahoma" w:cs="Tahoma"/>
          <w:sz w:val="18"/>
          <w:szCs w:val="18"/>
        </w:rPr>
      </w:pPr>
      <w:r w:rsidRPr="008D2BFF">
        <w:rPr>
          <w:rFonts w:ascii="Tahoma" w:hAnsi="Tahoma" w:cs="Tahoma"/>
          <w:sz w:val="18"/>
          <w:szCs w:val="18"/>
        </w:rPr>
        <w:t>A categoria Pré-operacional diz respeito a empresas que estavam no estágio pré-operacional, sem receita operacional, portanto não se enquadram nas categorias de porte.</w:t>
      </w:r>
    </w:p>
    <w:p w14:paraId="52EE6270" w14:textId="77777777" w:rsidR="00BC740F" w:rsidRPr="00BC740F" w:rsidRDefault="00BC740F" w:rsidP="00BC740F">
      <w:pPr>
        <w:spacing w:before="60" w:after="60"/>
        <w:rPr>
          <w:rFonts w:ascii="Tahoma" w:hAnsi="Tahoma" w:cs="Tahoma"/>
          <w:sz w:val="18"/>
          <w:szCs w:val="18"/>
        </w:rPr>
      </w:pPr>
    </w:p>
    <w:p w14:paraId="54AA7CB0" w14:textId="77777777" w:rsidR="000D6D0A" w:rsidRDefault="000D6D0A">
      <w:pPr>
        <w:spacing w:before="120" w:after="120" w:line="360" w:lineRule="auto"/>
        <w:rPr>
          <w:rFonts w:ascii="Tahoma" w:hAnsi="Tahoma" w:cs="Tahoma"/>
          <w:sz w:val="19"/>
          <w:szCs w:val="19"/>
        </w:rPr>
      </w:pPr>
    </w:p>
    <w:p w14:paraId="4A717173" w14:textId="39813199" w:rsidR="000D6D0A" w:rsidRDefault="00BB0E07">
      <w:pPr>
        <w:spacing w:before="120" w:after="120" w:line="360" w:lineRule="auto"/>
        <w:rPr>
          <w:rFonts w:ascii="Tahoma" w:hAnsi="Tahoma" w:cs="Tahoma"/>
          <w:sz w:val="19"/>
          <w:szCs w:val="19"/>
        </w:rPr>
      </w:pPr>
      <w:r>
        <w:rPr>
          <w:rFonts w:ascii="Tahoma" w:hAnsi="Tahoma" w:cs="Tahoma"/>
          <w:sz w:val="19"/>
          <w:szCs w:val="19"/>
        </w:rPr>
        <w:t xml:space="preserve">Nossa capacidade de atuar de forma ampla e diversificada está evidenciada na distribuição do saldo devedor da carteira de projetos de crédito direto </w:t>
      </w:r>
      <w:r w:rsidR="005C2EB7">
        <w:rPr>
          <w:rFonts w:ascii="Tahoma" w:hAnsi="Tahoma" w:cs="Tahoma"/>
          <w:sz w:val="19"/>
          <w:szCs w:val="19"/>
        </w:rPr>
        <w:t xml:space="preserve">e descentralizado </w:t>
      </w:r>
      <w:r>
        <w:rPr>
          <w:rFonts w:ascii="Tahoma" w:hAnsi="Tahoma" w:cs="Tahoma"/>
          <w:sz w:val="19"/>
          <w:szCs w:val="19"/>
        </w:rPr>
        <w:t>em mais de vinte setores de atividade.</w:t>
      </w:r>
    </w:p>
    <w:p w14:paraId="18ECFBA9" w14:textId="77777777" w:rsidR="00E060F7" w:rsidRPr="00E060F7" w:rsidRDefault="00E060F7">
      <w:pPr>
        <w:spacing w:after="160"/>
        <w:textAlignment w:val="baseline"/>
        <w:rPr>
          <w:rFonts w:ascii="Tahoma" w:hAnsi="Tahoma" w:cs="Tahoma"/>
          <w:sz w:val="19"/>
          <w:szCs w:val="19"/>
        </w:rPr>
      </w:pPr>
      <w:r w:rsidRPr="00E060F7">
        <w:rPr>
          <w:rFonts w:ascii="Tahoma" w:hAnsi="Tahoma" w:cs="Tahoma"/>
          <w:sz w:val="19"/>
          <w:szCs w:val="19"/>
        </w:rPr>
        <w:br w:type="page"/>
      </w:r>
    </w:p>
    <w:p w14:paraId="7D1A1CEB" w14:textId="6EAFB713" w:rsidR="000D6D0A" w:rsidRPr="00E060F7" w:rsidRDefault="00E060F7" w:rsidP="008A07C0">
      <w:pPr>
        <w:spacing w:before="120"/>
        <w:jc w:val="center"/>
        <w:rPr>
          <w:rFonts w:ascii="Tahoma" w:hAnsi="Tahoma" w:cs="Tahoma"/>
          <w:color w:val="0098BA"/>
          <w:sz w:val="19"/>
          <w:szCs w:val="19"/>
        </w:rPr>
      </w:pPr>
      <w:r w:rsidRPr="006F6CDE">
        <w:rPr>
          <w:rFonts w:ascii="Tahoma" w:hAnsi="Tahoma" w:cs="Tahoma"/>
          <w:color w:val="0098BA"/>
          <w:sz w:val="19"/>
          <w:szCs w:val="19"/>
        </w:rPr>
        <w:lastRenderedPageBreak/>
        <w:t>Crédito (direto e descentralizado)</w:t>
      </w:r>
      <w:r w:rsidR="008A07C0">
        <w:rPr>
          <w:rFonts w:ascii="Tahoma" w:hAnsi="Tahoma" w:cs="Tahoma"/>
          <w:color w:val="0098BA"/>
          <w:sz w:val="19"/>
          <w:szCs w:val="19"/>
        </w:rPr>
        <w:t xml:space="preserve"> - </w:t>
      </w:r>
      <w:r w:rsidR="00BB0E07" w:rsidRPr="00E060F7">
        <w:rPr>
          <w:rFonts w:ascii="Tahoma" w:hAnsi="Tahoma" w:cs="Tahoma"/>
          <w:color w:val="0098BA"/>
          <w:sz w:val="19"/>
          <w:szCs w:val="19"/>
        </w:rPr>
        <w:t xml:space="preserve">Perfil da carteira (% saldo devedor) por setor de atividade – </w:t>
      </w:r>
      <w:r w:rsidR="003B2BC4">
        <w:rPr>
          <w:rFonts w:ascii="Tahoma" w:hAnsi="Tahoma" w:cs="Tahoma"/>
          <w:color w:val="0098BA"/>
          <w:sz w:val="19"/>
          <w:szCs w:val="19"/>
        </w:rPr>
        <w:t>dez/</w:t>
      </w:r>
      <w:r w:rsidR="00BB0E07" w:rsidRPr="00E060F7">
        <w:rPr>
          <w:rFonts w:ascii="Tahoma" w:hAnsi="Tahoma" w:cs="Tahoma"/>
          <w:color w:val="0098BA"/>
          <w:sz w:val="19"/>
          <w:szCs w:val="19"/>
        </w:rPr>
        <w:t>202</w:t>
      </w:r>
      <w:r>
        <w:rPr>
          <w:rFonts w:ascii="Tahoma" w:hAnsi="Tahoma" w:cs="Tahoma"/>
          <w:color w:val="0098BA"/>
          <w:sz w:val="19"/>
          <w:szCs w:val="19"/>
        </w:rPr>
        <w:t>3</w:t>
      </w:r>
    </w:p>
    <w:p w14:paraId="4C7D6BA2" w14:textId="676C86CE" w:rsidR="005C2EB7" w:rsidRPr="00E060F7" w:rsidRDefault="00E060F7" w:rsidP="00E060F7">
      <w:pPr>
        <w:spacing w:after="160"/>
        <w:jc w:val="center"/>
        <w:textAlignment w:val="baseline"/>
        <w:rPr>
          <w:rFonts w:ascii="Tahoma" w:hAnsi="Tahoma" w:cs="Tahoma"/>
          <w:sz w:val="19"/>
          <w:szCs w:val="19"/>
        </w:rPr>
      </w:pPr>
      <w:r w:rsidRPr="00E060F7">
        <w:rPr>
          <w:rFonts w:ascii="Tahoma" w:hAnsi="Tahoma" w:cs="Tahoma"/>
          <w:noProof/>
          <w:sz w:val="19"/>
          <w:szCs w:val="19"/>
        </w:rPr>
        <w:drawing>
          <wp:inline distT="0" distB="0" distL="0" distR="0" wp14:anchorId="56400D2F" wp14:editId="11BB1A88">
            <wp:extent cx="5156200" cy="3334385"/>
            <wp:effectExtent l="0" t="0" r="0" b="0"/>
            <wp:docPr id="27745170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67606" cy="3341761"/>
                    </a:xfrm>
                    <a:prstGeom prst="rect">
                      <a:avLst/>
                    </a:prstGeom>
                    <a:noFill/>
                  </pic:spPr>
                </pic:pic>
              </a:graphicData>
            </a:graphic>
          </wp:inline>
        </w:drawing>
      </w:r>
    </w:p>
    <w:p w14:paraId="757EB58A" w14:textId="0BB16488" w:rsidR="00E060F7" w:rsidRDefault="00E060F7" w:rsidP="00E060F7">
      <w:pPr>
        <w:spacing w:before="60" w:after="60"/>
        <w:jc w:val="both"/>
        <w:rPr>
          <w:rFonts w:ascii="Tahoma" w:hAnsi="Tahoma" w:cs="Tahoma"/>
          <w:sz w:val="18"/>
          <w:szCs w:val="18"/>
        </w:rPr>
      </w:pPr>
      <w:r>
        <w:rPr>
          <w:rFonts w:ascii="Tahoma" w:hAnsi="Tahoma" w:cs="Tahoma"/>
          <w:sz w:val="18"/>
          <w:szCs w:val="18"/>
        </w:rPr>
        <w:t>Nota: Os dados incluem operações diretas com empresas, clientes da Finep, e os contratos com as empresas apoiadas por meio dos agentes descentralizados.</w:t>
      </w:r>
    </w:p>
    <w:p w14:paraId="28534918" w14:textId="77777777" w:rsidR="000D6D0A" w:rsidRDefault="000D6D0A">
      <w:pPr>
        <w:spacing w:before="120" w:after="120" w:line="360" w:lineRule="auto"/>
        <w:rPr>
          <w:rFonts w:ascii="Tahoma" w:hAnsi="Tahoma" w:cs="Tahoma"/>
          <w:sz w:val="19"/>
          <w:szCs w:val="19"/>
        </w:rPr>
      </w:pPr>
    </w:p>
    <w:p w14:paraId="3C0ADF07" w14:textId="77777777" w:rsidR="00E060F7" w:rsidRDefault="00E060F7" w:rsidP="00E060F7">
      <w:pPr>
        <w:spacing w:before="120" w:after="120" w:line="360" w:lineRule="auto"/>
        <w:rPr>
          <w:rFonts w:ascii="Tahoma" w:hAnsi="Tahoma" w:cs="Tahoma"/>
          <w:sz w:val="19"/>
          <w:szCs w:val="19"/>
        </w:rPr>
      </w:pPr>
      <w:r>
        <w:rPr>
          <w:rFonts w:ascii="Tahoma" w:hAnsi="Tahoma" w:cs="Tahoma"/>
          <w:sz w:val="19"/>
          <w:szCs w:val="19"/>
        </w:rPr>
        <w:t xml:space="preserve">Na </w:t>
      </w:r>
      <w:r w:rsidRPr="00E060F7">
        <w:rPr>
          <w:rFonts w:ascii="Tahoma" w:hAnsi="Tahoma" w:cs="Tahoma"/>
          <w:color w:val="0098BA"/>
          <w:sz w:val="19"/>
          <w:szCs w:val="19"/>
        </w:rPr>
        <w:t>operação direta</w:t>
      </w:r>
      <w:r>
        <w:rPr>
          <w:rFonts w:ascii="Tahoma" w:hAnsi="Tahoma" w:cs="Tahoma"/>
          <w:sz w:val="19"/>
          <w:szCs w:val="19"/>
        </w:rPr>
        <w:t>, projetos e planos estratégicos de inovação de empresas de todos os setores são analisados e apoiados diretamente pela Finep. Os prazos e taxas de juros são compatíveis com as atividades inovadoras propostas e são utilizados recursos do FNDCT e Funttel, além de recursos próprios da Finep.</w:t>
      </w:r>
    </w:p>
    <w:p w14:paraId="081AEF9B" w14:textId="77777777" w:rsidR="00E060F7" w:rsidRDefault="00E060F7" w:rsidP="00E060F7">
      <w:pPr>
        <w:spacing w:before="120" w:after="120" w:line="360" w:lineRule="auto"/>
        <w:rPr>
          <w:rFonts w:ascii="Tahoma" w:hAnsi="Tahoma" w:cs="Tahoma"/>
          <w:sz w:val="19"/>
          <w:szCs w:val="19"/>
        </w:rPr>
      </w:pPr>
      <w:r>
        <w:rPr>
          <w:rFonts w:ascii="Tahoma" w:hAnsi="Tahoma" w:cs="Tahoma"/>
          <w:sz w:val="19"/>
          <w:szCs w:val="19"/>
        </w:rPr>
        <w:t>No momento da concessão, além da aplicação de critérios econômico-financeiros, também são analisados aspectos relativos ao grau e relevância da inovação da proposta.</w:t>
      </w:r>
    </w:p>
    <w:p w14:paraId="1989CD65" w14:textId="48577BBA" w:rsidR="000D6D0A" w:rsidRDefault="00BB0E07">
      <w:pPr>
        <w:spacing w:before="120" w:after="120" w:line="360" w:lineRule="auto"/>
        <w:rPr>
          <w:rFonts w:ascii="Tahoma" w:hAnsi="Tahoma" w:cs="Tahoma"/>
          <w:sz w:val="19"/>
          <w:szCs w:val="19"/>
        </w:rPr>
      </w:pPr>
      <w:bookmarkStart w:id="76" w:name="_Hlk132102894"/>
      <w:r>
        <w:rPr>
          <w:rFonts w:ascii="Tahoma" w:hAnsi="Tahoma" w:cs="Tahoma"/>
          <w:sz w:val="19"/>
          <w:szCs w:val="19"/>
        </w:rPr>
        <w:t>Em 202</w:t>
      </w:r>
      <w:r w:rsidR="002D73CF">
        <w:rPr>
          <w:rFonts w:ascii="Tahoma" w:hAnsi="Tahoma" w:cs="Tahoma"/>
          <w:sz w:val="19"/>
          <w:szCs w:val="19"/>
        </w:rPr>
        <w:t>3</w:t>
      </w:r>
      <w:r>
        <w:rPr>
          <w:rFonts w:ascii="Tahoma" w:hAnsi="Tahoma" w:cs="Tahoma"/>
          <w:sz w:val="19"/>
          <w:szCs w:val="19"/>
        </w:rPr>
        <w:t xml:space="preserve">, a </w:t>
      </w:r>
      <w:r w:rsidR="002D73CF">
        <w:rPr>
          <w:rFonts w:ascii="Tahoma" w:hAnsi="Tahoma" w:cs="Tahoma"/>
          <w:sz w:val="19"/>
          <w:szCs w:val="19"/>
        </w:rPr>
        <w:t xml:space="preserve">adoção da TR continuou a estimular a </w:t>
      </w:r>
      <w:r w:rsidR="002D73CF" w:rsidRPr="002D73CF">
        <w:rPr>
          <w:rFonts w:ascii="Tahoma" w:hAnsi="Tahoma" w:cs="Tahoma"/>
          <w:sz w:val="19"/>
          <w:szCs w:val="19"/>
        </w:rPr>
        <w:t xml:space="preserve">demanda por recursos </w:t>
      </w:r>
      <w:r w:rsidR="002D73CF">
        <w:rPr>
          <w:rFonts w:ascii="Tahoma" w:hAnsi="Tahoma" w:cs="Tahoma"/>
          <w:sz w:val="19"/>
          <w:szCs w:val="19"/>
        </w:rPr>
        <w:t>de crédito</w:t>
      </w:r>
      <w:r w:rsidR="00BC740F">
        <w:rPr>
          <w:rFonts w:ascii="Tahoma" w:hAnsi="Tahoma" w:cs="Tahoma"/>
          <w:sz w:val="19"/>
          <w:szCs w:val="19"/>
        </w:rPr>
        <w:t>. A</w:t>
      </w:r>
      <w:r w:rsidR="002D73CF">
        <w:rPr>
          <w:rFonts w:ascii="Tahoma" w:hAnsi="Tahoma" w:cs="Tahoma"/>
          <w:sz w:val="19"/>
          <w:szCs w:val="19"/>
        </w:rPr>
        <w:t>té dezembro</w:t>
      </w:r>
      <w:r w:rsidR="00BC740F">
        <w:rPr>
          <w:rFonts w:ascii="Tahoma" w:hAnsi="Tahoma" w:cs="Tahoma"/>
          <w:sz w:val="19"/>
          <w:szCs w:val="19"/>
        </w:rPr>
        <w:t>,</w:t>
      </w:r>
      <w:r w:rsidR="002D73CF">
        <w:rPr>
          <w:rFonts w:ascii="Tahoma" w:hAnsi="Tahoma" w:cs="Tahoma"/>
          <w:sz w:val="19"/>
          <w:szCs w:val="19"/>
        </w:rPr>
        <w:t xml:space="preserve"> 183 propostas de empresas solicitando empréstimo para o desenvolvimento de produtos, processos ou serviços inovadores foram recebidas</w:t>
      </w:r>
      <w:r w:rsidR="0045099D">
        <w:rPr>
          <w:rFonts w:ascii="Tahoma" w:hAnsi="Tahoma" w:cs="Tahoma"/>
          <w:sz w:val="19"/>
          <w:szCs w:val="19"/>
        </w:rPr>
        <w:t>. Essa demanda por apoio representou um crescimento de mais de 60% em relação àquela recebida em 2022</w:t>
      </w:r>
      <w:r w:rsidR="00BC740F">
        <w:rPr>
          <w:rFonts w:ascii="Tahoma" w:hAnsi="Tahoma" w:cs="Tahoma"/>
          <w:sz w:val="19"/>
          <w:szCs w:val="19"/>
        </w:rPr>
        <w:t>.</w:t>
      </w:r>
      <w:r w:rsidR="003B2BC4">
        <w:rPr>
          <w:rFonts w:ascii="Tahoma" w:hAnsi="Tahoma" w:cs="Tahoma"/>
          <w:sz w:val="19"/>
          <w:szCs w:val="19"/>
        </w:rPr>
        <w:t xml:space="preserve"> A expectativa é </w:t>
      </w:r>
      <w:r w:rsidR="0085777E">
        <w:rPr>
          <w:rFonts w:ascii="Tahoma" w:hAnsi="Tahoma" w:cs="Tahoma"/>
          <w:sz w:val="19"/>
          <w:szCs w:val="19"/>
        </w:rPr>
        <w:t>que essa demanda cresça ainda mais em 2024</w:t>
      </w:r>
    </w:p>
    <w:bookmarkEnd w:id="76"/>
    <w:p w14:paraId="0969810F" w14:textId="37FE8408" w:rsidR="00BC740F" w:rsidRPr="00BC740F" w:rsidRDefault="00BC740F" w:rsidP="00BC740F">
      <w:pPr>
        <w:jc w:val="center"/>
        <w:rPr>
          <w:rFonts w:ascii="Tahoma" w:hAnsi="Tahoma" w:cs="Tahoma"/>
          <w:color w:val="0098BA"/>
          <w:sz w:val="19"/>
          <w:szCs w:val="19"/>
        </w:rPr>
      </w:pPr>
      <w:r w:rsidRPr="00BC740F">
        <w:rPr>
          <w:rFonts w:ascii="Tahoma" w:hAnsi="Tahoma" w:cs="Tahoma"/>
          <w:color w:val="0098BA"/>
          <w:sz w:val="19"/>
          <w:szCs w:val="19"/>
        </w:rPr>
        <w:t>Crédito (operação direta)</w:t>
      </w:r>
      <w:r w:rsidR="008A07C0">
        <w:rPr>
          <w:rFonts w:ascii="Tahoma" w:hAnsi="Tahoma" w:cs="Tahoma"/>
          <w:color w:val="0098BA"/>
          <w:sz w:val="19"/>
          <w:szCs w:val="19"/>
        </w:rPr>
        <w:t xml:space="preserve"> - </w:t>
      </w:r>
      <w:r w:rsidRPr="00BC740F">
        <w:rPr>
          <w:rFonts w:ascii="Tahoma" w:hAnsi="Tahoma" w:cs="Tahoma"/>
          <w:color w:val="0098BA"/>
          <w:sz w:val="19"/>
          <w:szCs w:val="19"/>
        </w:rPr>
        <w:t>Propostas recebidas (dados cumulativos) – 2023-2021</w:t>
      </w:r>
    </w:p>
    <w:p w14:paraId="3CF9415C" w14:textId="202382EA" w:rsidR="0045099D" w:rsidRDefault="0045099D" w:rsidP="00BC740F">
      <w:pPr>
        <w:spacing w:before="120" w:after="120" w:line="360" w:lineRule="auto"/>
        <w:jc w:val="center"/>
        <w:rPr>
          <w:rFonts w:ascii="Tahoma" w:hAnsi="Tahoma" w:cs="Tahoma"/>
          <w:sz w:val="19"/>
          <w:szCs w:val="19"/>
        </w:rPr>
      </w:pPr>
      <w:r>
        <w:rPr>
          <w:noProof/>
        </w:rPr>
        <w:drawing>
          <wp:inline distT="0" distB="0" distL="0" distR="0" wp14:anchorId="0D61FDE3" wp14:editId="35876A5D">
            <wp:extent cx="4876800" cy="2028825"/>
            <wp:effectExtent l="0" t="0" r="0" b="9525"/>
            <wp:docPr id="1627766386" name="Gráfico 1">
              <a:extLst xmlns:a="http://schemas.openxmlformats.org/drawingml/2006/main">
                <a:ext uri="{FF2B5EF4-FFF2-40B4-BE49-F238E27FC236}">
                  <a16:creationId xmlns:a16="http://schemas.microsoft.com/office/drawing/2014/main" id="{040D4CA0-393D-0F63-DF2A-E60AD97BA9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22A86090" w14:textId="20DB8384" w:rsidR="00E65F32" w:rsidRDefault="00E65F32" w:rsidP="00E65F32">
      <w:pPr>
        <w:spacing w:before="120" w:after="120" w:line="360" w:lineRule="auto"/>
        <w:rPr>
          <w:rFonts w:ascii="Tahoma" w:eastAsiaTheme="minorHAnsi" w:hAnsi="Tahoma" w:cs="Tahoma"/>
          <w:color w:val="0098BA"/>
          <w:sz w:val="19"/>
          <w:szCs w:val="19"/>
          <w:lang w:eastAsia="en-US"/>
        </w:rPr>
      </w:pPr>
      <w:r>
        <w:rPr>
          <w:rFonts w:ascii="Tahoma" w:eastAsiaTheme="minorHAnsi" w:hAnsi="Tahoma" w:cs="Tahoma"/>
          <w:color w:val="0098BA"/>
          <w:sz w:val="19"/>
          <w:szCs w:val="19"/>
          <w:lang w:eastAsia="en-US"/>
        </w:rPr>
        <w:lastRenderedPageBreak/>
        <w:t>Ações em destaque</w:t>
      </w:r>
      <w:r w:rsidR="00FD493F">
        <w:rPr>
          <w:rFonts w:ascii="Tahoma" w:eastAsiaTheme="minorHAnsi" w:hAnsi="Tahoma" w:cs="Tahoma"/>
          <w:color w:val="0098BA"/>
          <w:sz w:val="19"/>
          <w:szCs w:val="19"/>
          <w:lang w:eastAsia="en-US"/>
        </w:rPr>
        <w:t xml:space="preserve"> – crédito direto</w:t>
      </w:r>
    </w:p>
    <w:p w14:paraId="53EFCAD2" w14:textId="2122E3FB" w:rsidR="00274958" w:rsidRDefault="009530F2" w:rsidP="00FB0F21">
      <w:pPr>
        <w:spacing w:before="120" w:after="120" w:line="360" w:lineRule="auto"/>
        <w:rPr>
          <w:rFonts w:ascii="Tahoma" w:hAnsi="Tahoma" w:cs="Tahoma"/>
          <w:sz w:val="19"/>
          <w:szCs w:val="19"/>
        </w:rPr>
      </w:pPr>
      <w:r>
        <w:rPr>
          <w:rFonts w:ascii="Tahoma" w:hAnsi="Tahoma" w:cs="Tahoma"/>
          <w:sz w:val="19"/>
          <w:szCs w:val="19"/>
        </w:rPr>
        <w:t>A</w:t>
      </w:r>
      <w:r w:rsidR="00874657">
        <w:rPr>
          <w:rFonts w:ascii="Tahoma" w:hAnsi="Tahoma" w:cs="Tahoma"/>
          <w:sz w:val="19"/>
          <w:szCs w:val="19"/>
        </w:rPr>
        <w:t xml:space="preserve">s primeiras contratações </w:t>
      </w:r>
      <w:r>
        <w:rPr>
          <w:rFonts w:ascii="Tahoma" w:hAnsi="Tahoma" w:cs="Tahoma"/>
          <w:sz w:val="19"/>
          <w:szCs w:val="19"/>
        </w:rPr>
        <w:t xml:space="preserve">e liberações </w:t>
      </w:r>
      <w:r w:rsidR="00874657">
        <w:rPr>
          <w:rFonts w:ascii="Tahoma" w:hAnsi="Tahoma" w:cs="Tahoma"/>
          <w:sz w:val="19"/>
          <w:szCs w:val="19"/>
        </w:rPr>
        <w:t xml:space="preserve">realizadas a partir do final de novembro de 2023, </w:t>
      </w:r>
      <w:r>
        <w:rPr>
          <w:rFonts w:ascii="Tahoma" w:hAnsi="Tahoma" w:cs="Tahoma"/>
          <w:sz w:val="19"/>
          <w:szCs w:val="19"/>
        </w:rPr>
        <w:t>marcaram o início da operação d</w:t>
      </w:r>
      <w:r w:rsidR="00874657">
        <w:rPr>
          <w:rFonts w:ascii="Tahoma" w:hAnsi="Tahoma" w:cs="Tahoma"/>
          <w:sz w:val="19"/>
          <w:szCs w:val="19"/>
        </w:rPr>
        <w:t xml:space="preserve">o programa </w:t>
      </w:r>
      <w:hyperlink r:id="rId144" w:history="1">
        <w:r w:rsidR="00874657" w:rsidRPr="00274958">
          <w:rPr>
            <w:rStyle w:val="Hyperlink"/>
            <w:rFonts w:ascii="Tahoma" w:hAnsi="Tahoma" w:cs="Tahoma"/>
            <w:sz w:val="19"/>
            <w:szCs w:val="19"/>
          </w:rPr>
          <w:t>Finep Mais Inovação</w:t>
        </w:r>
      </w:hyperlink>
      <w:r w:rsidR="00205851">
        <w:rPr>
          <w:rFonts w:ascii="Tahoma" w:hAnsi="Tahoma" w:cs="Tahoma"/>
          <w:sz w:val="19"/>
          <w:szCs w:val="19"/>
        </w:rPr>
        <w:t xml:space="preserve">, </w:t>
      </w:r>
      <w:r>
        <w:rPr>
          <w:rFonts w:ascii="Tahoma" w:hAnsi="Tahoma" w:cs="Tahoma"/>
          <w:sz w:val="19"/>
          <w:szCs w:val="19"/>
        </w:rPr>
        <w:t xml:space="preserve">por meio do crédito </w:t>
      </w:r>
      <w:r w:rsidR="00397341">
        <w:rPr>
          <w:rFonts w:ascii="Tahoma" w:hAnsi="Tahoma" w:cs="Tahoma"/>
          <w:sz w:val="19"/>
          <w:szCs w:val="19"/>
        </w:rPr>
        <w:t>a projetos de médias e grandes empresas alinhados às missões da nova Política Industrial.</w:t>
      </w:r>
      <w:r w:rsidR="003F48E2">
        <w:rPr>
          <w:rFonts w:ascii="Tahoma" w:hAnsi="Tahoma" w:cs="Tahoma"/>
          <w:sz w:val="19"/>
          <w:szCs w:val="19"/>
        </w:rPr>
        <w:t xml:space="preserve"> As condições diferenciadas oferecidas por este programa no crédito podem ser consultadas no Anexo I das nossas </w:t>
      </w:r>
      <w:hyperlink r:id="rId145" w:history="1">
        <w:r w:rsidR="003F48E2" w:rsidRPr="003F48E2">
          <w:rPr>
            <w:rStyle w:val="Hyperlink"/>
            <w:rFonts w:ascii="Tahoma" w:hAnsi="Tahoma" w:cs="Tahoma"/>
            <w:sz w:val="19"/>
            <w:szCs w:val="19"/>
          </w:rPr>
          <w:t>Condições Operacionais</w:t>
        </w:r>
      </w:hyperlink>
      <w:r w:rsidR="003F48E2">
        <w:rPr>
          <w:rFonts w:ascii="Tahoma" w:hAnsi="Tahoma" w:cs="Tahoma"/>
          <w:sz w:val="19"/>
          <w:szCs w:val="19"/>
        </w:rPr>
        <w:t>.</w:t>
      </w:r>
    </w:p>
    <w:p w14:paraId="7BBED221" w14:textId="77777777" w:rsidR="00D13CD6" w:rsidRDefault="00D13CD6" w:rsidP="00874657">
      <w:pPr>
        <w:spacing w:after="120"/>
        <w:rPr>
          <w:rFonts w:ascii="Tahoma" w:hAnsi="Tahoma" w:cs="Tahoma"/>
          <w:sz w:val="19"/>
          <w:szCs w:val="19"/>
        </w:rPr>
      </w:pPr>
    </w:p>
    <w:p w14:paraId="4791BCDF" w14:textId="77777777" w:rsidR="003F48E2" w:rsidRPr="00D13CD6" w:rsidRDefault="003F48E2" w:rsidP="003F48E2">
      <w:pPr>
        <w:spacing w:after="120"/>
        <w:rPr>
          <w:rFonts w:ascii="Tahoma" w:hAnsi="Tahoma" w:cs="Tahoma"/>
          <w:color w:val="0098BA"/>
          <w:sz w:val="19"/>
          <w:szCs w:val="19"/>
        </w:rPr>
      </w:pPr>
      <w:r w:rsidRPr="00D13CD6">
        <w:rPr>
          <w:rFonts w:ascii="Tahoma" w:hAnsi="Tahoma" w:cs="Tahoma"/>
          <w:color w:val="0098BA"/>
          <w:sz w:val="19"/>
          <w:szCs w:val="19"/>
        </w:rPr>
        <w:t>Nova Política Industrial</w:t>
      </w:r>
      <w:r>
        <w:rPr>
          <w:rFonts w:ascii="Tahoma" w:hAnsi="Tahoma" w:cs="Tahoma"/>
          <w:color w:val="0098BA"/>
          <w:sz w:val="19"/>
          <w:szCs w:val="19"/>
        </w:rPr>
        <w:t xml:space="preserve"> – Missões e metas</w:t>
      </w:r>
    </w:p>
    <w:tbl>
      <w:tblPr>
        <w:tblStyle w:val="Tabelacomgrade"/>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none" w:sz="0" w:space="0" w:color="auto"/>
        </w:tblBorders>
        <w:tblLook w:val="04A0" w:firstRow="1" w:lastRow="0" w:firstColumn="1" w:lastColumn="0" w:noHBand="0" w:noVBand="1"/>
      </w:tblPr>
      <w:tblGrid>
        <w:gridCol w:w="4558"/>
        <w:gridCol w:w="4558"/>
      </w:tblGrid>
      <w:tr w:rsidR="003F48E2" w:rsidRPr="00A05732" w14:paraId="254A3687" w14:textId="77777777" w:rsidTr="00E31C3B">
        <w:trPr>
          <w:trHeight w:val="454"/>
          <w:tblHeader/>
        </w:trPr>
        <w:tc>
          <w:tcPr>
            <w:tcW w:w="4558" w:type="dxa"/>
            <w:shd w:val="clear" w:color="auto" w:fill="0098BA"/>
            <w:vAlign w:val="center"/>
          </w:tcPr>
          <w:p w14:paraId="3D07975F" w14:textId="77777777" w:rsidR="003F48E2" w:rsidRPr="00A05732" w:rsidRDefault="003F48E2" w:rsidP="00E31C3B">
            <w:pPr>
              <w:rPr>
                <w:rFonts w:ascii="Tahoma" w:hAnsi="Tahoma" w:cs="Tahoma"/>
                <w:color w:val="FFFFFF" w:themeColor="background1"/>
                <w:sz w:val="19"/>
                <w:szCs w:val="19"/>
              </w:rPr>
            </w:pPr>
            <w:r w:rsidRPr="00A05732">
              <w:rPr>
                <w:rFonts w:ascii="Tahoma" w:hAnsi="Tahoma" w:cs="Tahoma"/>
                <w:color w:val="FFFFFF" w:themeColor="background1"/>
                <w:sz w:val="19"/>
                <w:szCs w:val="19"/>
              </w:rPr>
              <w:t>Missão</w:t>
            </w:r>
          </w:p>
        </w:tc>
        <w:tc>
          <w:tcPr>
            <w:tcW w:w="4558" w:type="dxa"/>
            <w:shd w:val="clear" w:color="auto" w:fill="0098BA"/>
            <w:vAlign w:val="center"/>
          </w:tcPr>
          <w:p w14:paraId="6746E19D" w14:textId="77777777" w:rsidR="003F48E2" w:rsidRPr="00A05732" w:rsidRDefault="003F48E2" w:rsidP="00E31C3B">
            <w:pPr>
              <w:rPr>
                <w:rFonts w:ascii="Tahoma" w:hAnsi="Tahoma" w:cs="Tahoma"/>
                <w:color w:val="FFFFFF" w:themeColor="background1"/>
                <w:sz w:val="19"/>
                <w:szCs w:val="19"/>
              </w:rPr>
            </w:pPr>
            <w:r w:rsidRPr="00A05732">
              <w:rPr>
                <w:rFonts w:ascii="Tahoma" w:hAnsi="Tahoma" w:cs="Tahoma"/>
                <w:color w:val="FFFFFF" w:themeColor="background1"/>
                <w:sz w:val="19"/>
                <w:szCs w:val="19"/>
              </w:rPr>
              <w:t>Meta aspiracional para 2033</w:t>
            </w:r>
          </w:p>
        </w:tc>
      </w:tr>
      <w:tr w:rsidR="003F48E2" w14:paraId="54A9E3AF" w14:textId="77777777" w:rsidTr="00E31C3B">
        <w:trPr>
          <w:trHeight w:val="1247"/>
        </w:trPr>
        <w:tc>
          <w:tcPr>
            <w:tcW w:w="4558" w:type="dxa"/>
            <w:vAlign w:val="center"/>
          </w:tcPr>
          <w:p w14:paraId="2B1AA180" w14:textId="77777777" w:rsidR="003F48E2" w:rsidRPr="00A05732" w:rsidRDefault="003F48E2" w:rsidP="00E31C3B">
            <w:pPr>
              <w:pStyle w:val="PargrafodaLista"/>
              <w:numPr>
                <w:ilvl w:val="0"/>
                <w:numId w:val="38"/>
              </w:numPr>
              <w:ind w:left="452" w:hanging="283"/>
              <w:rPr>
                <w:rFonts w:ascii="Tahoma" w:hAnsi="Tahoma" w:cs="Tahoma"/>
                <w:sz w:val="19"/>
                <w:szCs w:val="19"/>
              </w:rPr>
            </w:pPr>
            <w:r w:rsidRPr="00A05732">
              <w:rPr>
                <w:rFonts w:ascii="Tahoma" w:hAnsi="Tahoma" w:cs="Tahoma"/>
                <w:sz w:val="19"/>
                <w:szCs w:val="19"/>
              </w:rPr>
              <w:t>Agro (Cadeias agroindustriais sustentáveis e digitais para a segurança alimentar, nutricional e energética)</w:t>
            </w:r>
          </w:p>
        </w:tc>
        <w:tc>
          <w:tcPr>
            <w:tcW w:w="4558" w:type="dxa"/>
            <w:vAlign w:val="center"/>
          </w:tcPr>
          <w:p w14:paraId="37B277C7" w14:textId="77777777" w:rsidR="003F48E2" w:rsidRDefault="003F48E2" w:rsidP="00E31C3B">
            <w:pPr>
              <w:rPr>
                <w:rFonts w:ascii="Tahoma" w:hAnsi="Tahoma" w:cs="Tahoma"/>
                <w:sz w:val="19"/>
                <w:szCs w:val="19"/>
              </w:rPr>
            </w:pPr>
            <w:r w:rsidRPr="00205851">
              <w:rPr>
                <w:rFonts w:ascii="Tahoma" w:hAnsi="Tahoma" w:cs="Tahoma"/>
                <w:sz w:val="19"/>
                <w:szCs w:val="19"/>
              </w:rPr>
              <w:t>Aumentar a participação do setor agroindustrial no PIB agropecuário para 50% e</w:t>
            </w:r>
            <w:r>
              <w:rPr>
                <w:rFonts w:ascii="Tahoma" w:hAnsi="Tahoma" w:cs="Tahoma"/>
                <w:sz w:val="19"/>
                <w:szCs w:val="19"/>
              </w:rPr>
              <w:t xml:space="preserve"> </w:t>
            </w:r>
            <w:r w:rsidRPr="00205851">
              <w:rPr>
                <w:rFonts w:ascii="Tahoma" w:hAnsi="Tahoma" w:cs="Tahoma"/>
                <w:sz w:val="19"/>
                <w:szCs w:val="19"/>
              </w:rPr>
              <w:t>alcançar 70% de mecanização dos estabelecimentos de agricultura familiar, com o suprimento de</w:t>
            </w:r>
            <w:r>
              <w:rPr>
                <w:rFonts w:ascii="Tahoma" w:hAnsi="Tahoma" w:cs="Tahoma"/>
                <w:sz w:val="19"/>
                <w:szCs w:val="19"/>
              </w:rPr>
              <w:t xml:space="preserve"> </w:t>
            </w:r>
            <w:r w:rsidRPr="00205851">
              <w:rPr>
                <w:rFonts w:ascii="Tahoma" w:hAnsi="Tahoma" w:cs="Tahoma"/>
                <w:sz w:val="19"/>
                <w:szCs w:val="19"/>
              </w:rPr>
              <w:t>pelo menos 95% do mercado por máquinas e equipamentos de produção nacional, garantindo a</w:t>
            </w:r>
            <w:r>
              <w:rPr>
                <w:rFonts w:ascii="Tahoma" w:hAnsi="Tahoma" w:cs="Tahoma"/>
                <w:sz w:val="19"/>
                <w:szCs w:val="19"/>
              </w:rPr>
              <w:t xml:space="preserve"> </w:t>
            </w:r>
            <w:r w:rsidRPr="00205851">
              <w:rPr>
                <w:rFonts w:ascii="Tahoma" w:hAnsi="Tahoma" w:cs="Tahoma"/>
                <w:sz w:val="19"/>
                <w:szCs w:val="19"/>
              </w:rPr>
              <w:t>sustentabilidade ambiental.</w:t>
            </w:r>
          </w:p>
        </w:tc>
      </w:tr>
      <w:tr w:rsidR="003F48E2" w14:paraId="3B60E5F0" w14:textId="77777777" w:rsidTr="00E31C3B">
        <w:trPr>
          <w:trHeight w:val="1247"/>
        </w:trPr>
        <w:tc>
          <w:tcPr>
            <w:tcW w:w="4558" w:type="dxa"/>
            <w:vAlign w:val="center"/>
          </w:tcPr>
          <w:p w14:paraId="14909AFA" w14:textId="77777777" w:rsidR="003F48E2" w:rsidRPr="00A05732" w:rsidRDefault="003F48E2" w:rsidP="00E31C3B">
            <w:pPr>
              <w:pStyle w:val="PargrafodaLista"/>
              <w:numPr>
                <w:ilvl w:val="0"/>
                <w:numId w:val="38"/>
              </w:numPr>
              <w:ind w:left="452" w:hanging="283"/>
              <w:rPr>
                <w:rFonts w:ascii="Tahoma" w:hAnsi="Tahoma" w:cs="Tahoma"/>
                <w:sz w:val="19"/>
                <w:szCs w:val="19"/>
              </w:rPr>
            </w:pPr>
            <w:r w:rsidRPr="00A05732">
              <w:rPr>
                <w:rFonts w:ascii="Tahoma" w:hAnsi="Tahoma" w:cs="Tahoma"/>
                <w:sz w:val="19"/>
                <w:szCs w:val="19"/>
              </w:rPr>
              <w:t>Saúde (Complexo econômico industrial da saúde resiliente para reduzir as vulnerabilidades do SUS e ampliar o acesso à saúde)</w:t>
            </w:r>
          </w:p>
        </w:tc>
        <w:tc>
          <w:tcPr>
            <w:tcW w:w="4558" w:type="dxa"/>
            <w:vAlign w:val="center"/>
          </w:tcPr>
          <w:p w14:paraId="0A96199A" w14:textId="77777777" w:rsidR="003F48E2" w:rsidRDefault="003F48E2" w:rsidP="00E31C3B">
            <w:pPr>
              <w:rPr>
                <w:rFonts w:ascii="Tahoma" w:hAnsi="Tahoma" w:cs="Tahoma"/>
                <w:sz w:val="19"/>
                <w:szCs w:val="19"/>
              </w:rPr>
            </w:pPr>
            <w:r w:rsidRPr="00205851">
              <w:rPr>
                <w:rFonts w:ascii="Tahoma" w:hAnsi="Tahoma" w:cs="Tahoma"/>
                <w:sz w:val="19"/>
                <w:szCs w:val="19"/>
              </w:rPr>
              <w:t>Produzir, no país, 70% das necessidades nacionais em medicamentos, vacinas,</w:t>
            </w:r>
            <w:r>
              <w:rPr>
                <w:rFonts w:ascii="Tahoma" w:hAnsi="Tahoma" w:cs="Tahoma"/>
                <w:sz w:val="19"/>
                <w:szCs w:val="19"/>
              </w:rPr>
              <w:t xml:space="preserve"> </w:t>
            </w:r>
            <w:r w:rsidRPr="00205851">
              <w:rPr>
                <w:rFonts w:ascii="Tahoma" w:hAnsi="Tahoma" w:cs="Tahoma"/>
                <w:sz w:val="19"/>
                <w:szCs w:val="19"/>
              </w:rPr>
              <w:t>equipamentos e dispositivos médicos, materiais e outros insumos e tecnologias em saúde.</w:t>
            </w:r>
          </w:p>
        </w:tc>
      </w:tr>
      <w:tr w:rsidR="003F48E2" w14:paraId="0B25B377" w14:textId="77777777" w:rsidTr="00E31C3B">
        <w:trPr>
          <w:trHeight w:val="1247"/>
        </w:trPr>
        <w:tc>
          <w:tcPr>
            <w:tcW w:w="4558" w:type="dxa"/>
            <w:vAlign w:val="center"/>
          </w:tcPr>
          <w:p w14:paraId="0F61FC7C" w14:textId="77777777" w:rsidR="003F48E2" w:rsidRPr="00A05732" w:rsidRDefault="003F48E2" w:rsidP="00E31C3B">
            <w:pPr>
              <w:pStyle w:val="PargrafodaLista"/>
              <w:numPr>
                <w:ilvl w:val="0"/>
                <w:numId w:val="38"/>
              </w:numPr>
              <w:ind w:left="452" w:hanging="283"/>
              <w:rPr>
                <w:rFonts w:ascii="Tahoma" w:hAnsi="Tahoma" w:cs="Tahoma"/>
                <w:sz w:val="19"/>
                <w:szCs w:val="19"/>
              </w:rPr>
            </w:pPr>
            <w:r w:rsidRPr="00A05732">
              <w:rPr>
                <w:rFonts w:ascii="Tahoma" w:hAnsi="Tahoma" w:cs="Tahoma"/>
                <w:sz w:val="19"/>
                <w:szCs w:val="19"/>
              </w:rPr>
              <w:t>Infraestrutura (Infraestrutura, saneamento, moradia e mobilidade sustentáveis para a integração produtiva e o bem-estar nas cidades)</w:t>
            </w:r>
          </w:p>
        </w:tc>
        <w:tc>
          <w:tcPr>
            <w:tcW w:w="4558" w:type="dxa"/>
            <w:vAlign w:val="center"/>
          </w:tcPr>
          <w:p w14:paraId="3D1FE1C9" w14:textId="77777777" w:rsidR="003F48E2" w:rsidRDefault="003F48E2" w:rsidP="00E31C3B">
            <w:pPr>
              <w:rPr>
                <w:rFonts w:ascii="Tahoma" w:hAnsi="Tahoma" w:cs="Tahoma"/>
                <w:sz w:val="19"/>
                <w:szCs w:val="19"/>
              </w:rPr>
            </w:pPr>
            <w:r w:rsidRPr="00A05732">
              <w:rPr>
                <w:rFonts w:ascii="Tahoma" w:hAnsi="Tahoma" w:cs="Tahoma"/>
                <w:sz w:val="19"/>
                <w:szCs w:val="19"/>
              </w:rPr>
              <w:t>Reduzir o tempo de deslocamento de casa para o trabalho em 20%.</w:t>
            </w:r>
            <w:r>
              <w:rPr>
                <w:rFonts w:ascii="Tahoma" w:hAnsi="Tahoma" w:cs="Tahoma"/>
                <w:sz w:val="19"/>
                <w:szCs w:val="19"/>
              </w:rPr>
              <w:t xml:space="preserve"> </w:t>
            </w:r>
            <w:r w:rsidRPr="00A05732">
              <w:rPr>
                <w:rFonts w:ascii="Tahoma" w:hAnsi="Tahoma" w:cs="Tahoma"/>
                <w:sz w:val="19"/>
                <w:szCs w:val="19"/>
              </w:rPr>
              <w:t>Aumentar em 25 pontos percentuais o adensamento produtivo na cadeia de transporte público</w:t>
            </w:r>
            <w:r>
              <w:rPr>
                <w:rFonts w:ascii="Tahoma" w:hAnsi="Tahoma" w:cs="Tahoma"/>
                <w:sz w:val="19"/>
                <w:szCs w:val="19"/>
              </w:rPr>
              <w:t xml:space="preserve"> </w:t>
            </w:r>
            <w:r w:rsidRPr="00A05732">
              <w:rPr>
                <w:rFonts w:ascii="Tahoma" w:hAnsi="Tahoma" w:cs="Tahoma"/>
                <w:sz w:val="19"/>
                <w:szCs w:val="19"/>
              </w:rPr>
              <w:t>sustentáve</w:t>
            </w:r>
            <w:r>
              <w:rPr>
                <w:rFonts w:ascii="Tahoma" w:hAnsi="Tahoma" w:cs="Tahoma"/>
                <w:sz w:val="19"/>
                <w:szCs w:val="19"/>
              </w:rPr>
              <w:t>l.</w:t>
            </w:r>
          </w:p>
        </w:tc>
      </w:tr>
      <w:tr w:rsidR="003F48E2" w14:paraId="4EC7A268" w14:textId="77777777" w:rsidTr="00E31C3B">
        <w:trPr>
          <w:trHeight w:val="1247"/>
        </w:trPr>
        <w:tc>
          <w:tcPr>
            <w:tcW w:w="4558" w:type="dxa"/>
            <w:vAlign w:val="center"/>
          </w:tcPr>
          <w:p w14:paraId="40628EBC" w14:textId="77777777" w:rsidR="003F48E2" w:rsidRPr="00A05732" w:rsidRDefault="003F48E2" w:rsidP="00E31C3B">
            <w:pPr>
              <w:pStyle w:val="PargrafodaLista"/>
              <w:numPr>
                <w:ilvl w:val="0"/>
                <w:numId w:val="38"/>
              </w:numPr>
              <w:ind w:left="452" w:hanging="283"/>
              <w:rPr>
                <w:rFonts w:ascii="Tahoma" w:hAnsi="Tahoma" w:cs="Tahoma"/>
                <w:sz w:val="19"/>
                <w:szCs w:val="19"/>
              </w:rPr>
            </w:pPr>
            <w:r w:rsidRPr="00A05732">
              <w:rPr>
                <w:rFonts w:ascii="Tahoma" w:hAnsi="Tahoma" w:cs="Tahoma"/>
                <w:sz w:val="19"/>
                <w:szCs w:val="19"/>
              </w:rPr>
              <w:t>Transformação digital (Transformação Digital da indústria para ampliar a produtividade)</w:t>
            </w:r>
          </w:p>
        </w:tc>
        <w:tc>
          <w:tcPr>
            <w:tcW w:w="4558" w:type="dxa"/>
            <w:vAlign w:val="center"/>
          </w:tcPr>
          <w:p w14:paraId="200A861C" w14:textId="77777777" w:rsidR="003F48E2" w:rsidRDefault="003F48E2" w:rsidP="00E31C3B">
            <w:pPr>
              <w:rPr>
                <w:rFonts w:ascii="Tahoma" w:hAnsi="Tahoma" w:cs="Tahoma"/>
                <w:sz w:val="19"/>
                <w:szCs w:val="19"/>
              </w:rPr>
            </w:pPr>
            <w:r>
              <w:rPr>
                <w:rFonts w:ascii="Tahoma" w:hAnsi="Tahoma" w:cs="Tahoma"/>
                <w:sz w:val="19"/>
                <w:szCs w:val="19"/>
              </w:rPr>
              <w:t>T</w:t>
            </w:r>
            <w:r w:rsidRPr="00A05732">
              <w:rPr>
                <w:rFonts w:ascii="Tahoma" w:hAnsi="Tahoma" w:cs="Tahoma"/>
                <w:sz w:val="19"/>
                <w:szCs w:val="19"/>
              </w:rPr>
              <w:t>ransformar digitalmente 90% das empresas industriais brasileiras, assegurando que a participação</w:t>
            </w:r>
            <w:r>
              <w:rPr>
                <w:rFonts w:ascii="Tahoma" w:hAnsi="Tahoma" w:cs="Tahoma"/>
                <w:sz w:val="19"/>
                <w:szCs w:val="19"/>
              </w:rPr>
              <w:t xml:space="preserve"> </w:t>
            </w:r>
            <w:r w:rsidRPr="00A05732">
              <w:rPr>
                <w:rFonts w:ascii="Tahoma" w:hAnsi="Tahoma" w:cs="Tahoma"/>
                <w:sz w:val="19"/>
                <w:szCs w:val="19"/>
              </w:rPr>
              <w:t>da produção nacional triplique nos segmentos de novas tecnologias</w:t>
            </w:r>
            <w:r>
              <w:rPr>
                <w:rFonts w:ascii="Tahoma" w:hAnsi="Tahoma" w:cs="Tahoma"/>
                <w:sz w:val="19"/>
                <w:szCs w:val="19"/>
              </w:rPr>
              <w:t>.</w:t>
            </w:r>
          </w:p>
        </w:tc>
      </w:tr>
      <w:tr w:rsidR="003F48E2" w14:paraId="4EF885C9" w14:textId="77777777" w:rsidTr="00E31C3B">
        <w:trPr>
          <w:trHeight w:val="1247"/>
        </w:trPr>
        <w:tc>
          <w:tcPr>
            <w:tcW w:w="4558" w:type="dxa"/>
            <w:vAlign w:val="center"/>
          </w:tcPr>
          <w:p w14:paraId="5BAE5F7F" w14:textId="77777777" w:rsidR="003F48E2" w:rsidRPr="00A05732" w:rsidRDefault="003F48E2" w:rsidP="00E31C3B">
            <w:pPr>
              <w:pStyle w:val="PargrafodaLista"/>
              <w:numPr>
                <w:ilvl w:val="0"/>
                <w:numId w:val="38"/>
              </w:numPr>
              <w:ind w:left="452" w:hanging="283"/>
              <w:rPr>
                <w:rFonts w:ascii="Tahoma" w:hAnsi="Tahoma" w:cs="Tahoma"/>
                <w:sz w:val="19"/>
                <w:szCs w:val="19"/>
              </w:rPr>
            </w:pPr>
            <w:r w:rsidRPr="00A05732">
              <w:rPr>
                <w:rFonts w:ascii="Tahoma" w:hAnsi="Tahoma" w:cs="Tahoma"/>
                <w:sz w:val="19"/>
                <w:szCs w:val="19"/>
              </w:rPr>
              <w:t>Bioeconomia (Bioeconomia, descarbonização e transição e segurança energéticas para garantir os recursos para as gerações futuras)</w:t>
            </w:r>
          </w:p>
        </w:tc>
        <w:tc>
          <w:tcPr>
            <w:tcW w:w="4558" w:type="dxa"/>
            <w:vAlign w:val="center"/>
          </w:tcPr>
          <w:p w14:paraId="4B9284AC" w14:textId="77777777" w:rsidR="003F48E2" w:rsidRDefault="003F48E2" w:rsidP="00E31C3B">
            <w:pPr>
              <w:rPr>
                <w:rFonts w:ascii="Tahoma" w:hAnsi="Tahoma" w:cs="Tahoma"/>
                <w:sz w:val="19"/>
                <w:szCs w:val="19"/>
              </w:rPr>
            </w:pPr>
            <w:r w:rsidRPr="00A05732">
              <w:rPr>
                <w:rFonts w:ascii="Tahoma" w:hAnsi="Tahoma" w:cs="Tahoma"/>
                <w:sz w:val="19"/>
                <w:szCs w:val="19"/>
              </w:rPr>
              <w:t>Promover a indústria verde, reduzindo em 30% a emissão de CO2 por valor</w:t>
            </w:r>
            <w:r>
              <w:rPr>
                <w:rFonts w:ascii="Tahoma" w:hAnsi="Tahoma" w:cs="Tahoma"/>
                <w:sz w:val="19"/>
                <w:szCs w:val="19"/>
              </w:rPr>
              <w:t xml:space="preserve"> </w:t>
            </w:r>
            <w:r w:rsidRPr="00A05732">
              <w:rPr>
                <w:rFonts w:ascii="Tahoma" w:hAnsi="Tahoma" w:cs="Tahoma"/>
                <w:sz w:val="19"/>
                <w:szCs w:val="19"/>
              </w:rPr>
              <w:t>adicionado da Indústria, ampliando em 50% a participação dos biocombustíveis na</w:t>
            </w:r>
            <w:r>
              <w:rPr>
                <w:rFonts w:ascii="Tahoma" w:hAnsi="Tahoma" w:cs="Tahoma"/>
                <w:sz w:val="19"/>
                <w:szCs w:val="19"/>
              </w:rPr>
              <w:t xml:space="preserve"> </w:t>
            </w:r>
            <w:r w:rsidRPr="00A05732">
              <w:rPr>
                <w:rFonts w:ascii="Tahoma" w:hAnsi="Tahoma" w:cs="Tahoma"/>
                <w:sz w:val="19"/>
                <w:szCs w:val="19"/>
              </w:rPr>
              <w:t>matriz energética de transportes e aumentando o uso tecnológico e sustentável da</w:t>
            </w:r>
            <w:r>
              <w:rPr>
                <w:rFonts w:ascii="Tahoma" w:hAnsi="Tahoma" w:cs="Tahoma"/>
                <w:sz w:val="19"/>
                <w:szCs w:val="19"/>
              </w:rPr>
              <w:t xml:space="preserve"> </w:t>
            </w:r>
            <w:r w:rsidRPr="00A05732">
              <w:rPr>
                <w:rFonts w:ascii="Tahoma" w:hAnsi="Tahoma" w:cs="Tahoma"/>
                <w:sz w:val="19"/>
                <w:szCs w:val="19"/>
              </w:rPr>
              <w:t>biodiversidade pela indústria em 1% ao ano</w:t>
            </w:r>
            <w:r>
              <w:rPr>
                <w:rFonts w:ascii="Tahoma" w:hAnsi="Tahoma" w:cs="Tahoma"/>
                <w:sz w:val="19"/>
                <w:szCs w:val="19"/>
              </w:rPr>
              <w:t>.</w:t>
            </w:r>
          </w:p>
        </w:tc>
      </w:tr>
      <w:tr w:rsidR="003F48E2" w14:paraId="397D31E3" w14:textId="77777777" w:rsidTr="00E31C3B">
        <w:trPr>
          <w:trHeight w:val="1247"/>
        </w:trPr>
        <w:tc>
          <w:tcPr>
            <w:tcW w:w="4558" w:type="dxa"/>
            <w:vAlign w:val="center"/>
          </w:tcPr>
          <w:p w14:paraId="2F315EEA" w14:textId="77777777" w:rsidR="003F48E2" w:rsidRPr="00A05732" w:rsidRDefault="003F48E2" w:rsidP="00E31C3B">
            <w:pPr>
              <w:pStyle w:val="PargrafodaLista"/>
              <w:numPr>
                <w:ilvl w:val="0"/>
                <w:numId w:val="38"/>
              </w:numPr>
              <w:ind w:left="452" w:hanging="283"/>
              <w:rPr>
                <w:rFonts w:ascii="Tahoma" w:hAnsi="Tahoma" w:cs="Tahoma"/>
                <w:sz w:val="19"/>
                <w:szCs w:val="19"/>
              </w:rPr>
            </w:pPr>
            <w:r w:rsidRPr="00A05732">
              <w:rPr>
                <w:rFonts w:ascii="Tahoma" w:hAnsi="Tahoma" w:cs="Tahoma"/>
                <w:sz w:val="19"/>
                <w:szCs w:val="19"/>
              </w:rPr>
              <w:t>Defesa (Tecnologias de interesse para a soberania e defesa nacionais)</w:t>
            </w:r>
          </w:p>
        </w:tc>
        <w:tc>
          <w:tcPr>
            <w:tcW w:w="4558" w:type="dxa"/>
            <w:vAlign w:val="center"/>
          </w:tcPr>
          <w:p w14:paraId="14130A42" w14:textId="77777777" w:rsidR="003F48E2" w:rsidRDefault="003F48E2" w:rsidP="00E31C3B">
            <w:pPr>
              <w:rPr>
                <w:rFonts w:ascii="Tahoma" w:hAnsi="Tahoma" w:cs="Tahoma"/>
                <w:sz w:val="19"/>
                <w:szCs w:val="19"/>
              </w:rPr>
            </w:pPr>
            <w:r w:rsidRPr="00A05732">
              <w:rPr>
                <w:rFonts w:ascii="Tahoma" w:hAnsi="Tahoma" w:cs="Tahoma"/>
                <w:sz w:val="19"/>
                <w:szCs w:val="19"/>
              </w:rPr>
              <w:t>Obter autonomia na produção de 50% das tecnologias críticas para a defesa</w:t>
            </w:r>
            <w:r>
              <w:rPr>
                <w:rFonts w:ascii="Tahoma" w:hAnsi="Tahoma" w:cs="Tahoma"/>
                <w:sz w:val="19"/>
                <w:szCs w:val="19"/>
              </w:rPr>
              <w:t>.</w:t>
            </w:r>
          </w:p>
        </w:tc>
      </w:tr>
    </w:tbl>
    <w:p w14:paraId="12EF95E1" w14:textId="77777777" w:rsidR="003F48E2" w:rsidRDefault="003F48E2" w:rsidP="003F48E2">
      <w:pPr>
        <w:spacing w:after="120"/>
        <w:rPr>
          <w:rFonts w:ascii="Tahoma" w:hAnsi="Tahoma" w:cs="Tahoma"/>
          <w:sz w:val="19"/>
          <w:szCs w:val="19"/>
        </w:rPr>
      </w:pPr>
      <w:r>
        <w:rPr>
          <w:rFonts w:ascii="Tahoma" w:hAnsi="Tahoma" w:cs="Tahoma"/>
          <w:sz w:val="19"/>
          <w:szCs w:val="19"/>
        </w:rPr>
        <w:t xml:space="preserve">Fonte: </w:t>
      </w:r>
      <w:r w:rsidRPr="00D13CD6">
        <w:rPr>
          <w:rFonts w:ascii="Tahoma" w:hAnsi="Tahoma" w:cs="Tahoma"/>
          <w:sz w:val="19"/>
          <w:szCs w:val="19"/>
        </w:rPr>
        <w:t>Nova indústria Brasil: Plano de Ação</w:t>
      </w:r>
      <w:r>
        <w:rPr>
          <w:rFonts w:ascii="Tahoma" w:hAnsi="Tahoma" w:cs="Tahoma"/>
          <w:sz w:val="19"/>
          <w:szCs w:val="19"/>
        </w:rPr>
        <w:t xml:space="preserve"> p</w:t>
      </w:r>
      <w:r w:rsidRPr="00D13CD6">
        <w:rPr>
          <w:rFonts w:ascii="Tahoma" w:hAnsi="Tahoma" w:cs="Tahoma"/>
          <w:sz w:val="19"/>
          <w:szCs w:val="19"/>
        </w:rPr>
        <w:t>ara a neoindustrialização 2024-2026</w:t>
      </w:r>
      <w:r>
        <w:rPr>
          <w:rFonts w:ascii="Tahoma" w:hAnsi="Tahoma" w:cs="Tahoma"/>
          <w:sz w:val="19"/>
          <w:szCs w:val="19"/>
        </w:rPr>
        <w:t xml:space="preserve"> (MDIC, 2024), em </w:t>
      </w:r>
      <w:hyperlink r:id="rId146" w:history="1">
        <w:r w:rsidRPr="00E7794C">
          <w:rPr>
            <w:rStyle w:val="Hyperlink"/>
            <w:rFonts w:ascii="Tahoma" w:hAnsi="Tahoma" w:cs="Tahoma"/>
            <w:sz w:val="19"/>
            <w:szCs w:val="19"/>
          </w:rPr>
          <w:t>https://www.gov.br/mdic/pt-br/composicao/se/cndi/plano-de-acao/nova-industria-brasil-plano-de-acao.pdf</w:t>
        </w:r>
      </w:hyperlink>
      <w:r>
        <w:rPr>
          <w:rFonts w:ascii="Tahoma" w:hAnsi="Tahoma" w:cs="Tahoma"/>
          <w:sz w:val="19"/>
          <w:szCs w:val="19"/>
        </w:rPr>
        <w:t>, acesso em: 25/3/24.</w:t>
      </w:r>
    </w:p>
    <w:p w14:paraId="25C6AB75" w14:textId="77777777" w:rsidR="003F48E2" w:rsidRDefault="003F48E2" w:rsidP="00874657">
      <w:pPr>
        <w:spacing w:after="120"/>
        <w:rPr>
          <w:rFonts w:ascii="Tahoma" w:hAnsi="Tahoma" w:cs="Tahoma"/>
          <w:sz w:val="19"/>
          <w:szCs w:val="19"/>
        </w:rPr>
      </w:pPr>
    </w:p>
    <w:p w14:paraId="614FA59F" w14:textId="77777777" w:rsidR="003F48E2" w:rsidRDefault="003F48E2" w:rsidP="00874657">
      <w:pPr>
        <w:spacing w:after="120"/>
        <w:rPr>
          <w:rFonts w:ascii="Tahoma" w:hAnsi="Tahoma" w:cs="Tahoma"/>
          <w:sz w:val="19"/>
          <w:szCs w:val="19"/>
        </w:rPr>
      </w:pPr>
    </w:p>
    <w:p w14:paraId="48025663" w14:textId="77777777" w:rsidR="003F48E2" w:rsidRDefault="003F48E2" w:rsidP="00874657">
      <w:pPr>
        <w:spacing w:after="120"/>
        <w:rPr>
          <w:rFonts w:ascii="Tahoma" w:hAnsi="Tahoma" w:cs="Tahoma"/>
          <w:sz w:val="19"/>
          <w:szCs w:val="19"/>
        </w:rPr>
      </w:pPr>
    </w:p>
    <w:p w14:paraId="7CFAEFD7" w14:textId="77777777" w:rsidR="003F48E2" w:rsidRDefault="003F48E2" w:rsidP="00874657">
      <w:pPr>
        <w:spacing w:after="120"/>
        <w:rPr>
          <w:rFonts w:ascii="Tahoma" w:hAnsi="Tahoma" w:cs="Tahoma"/>
          <w:sz w:val="19"/>
          <w:szCs w:val="19"/>
        </w:rPr>
      </w:pPr>
    </w:p>
    <w:p w14:paraId="66C176B0" w14:textId="77777777" w:rsidR="003F48E2" w:rsidRDefault="003F48E2" w:rsidP="00874657">
      <w:pPr>
        <w:spacing w:after="120"/>
        <w:rPr>
          <w:rFonts w:ascii="Tahoma" w:hAnsi="Tahoma" w:cs="Tahoma"/>
          <w:sz w:val="19"/>
          <w:szCs w:val="19"/>
        </w:rPr>
      </w:pPr>
    </w:p>
    <w:p w14:paraId="3235EA74" w14:textId="77777777" w:rsidR="00FD493F" w:rsidRPr="00773D43" w:rsidRDefault="00FD493F" w:rsidP="00FD493F">
      <w:pPr>
        <w:autoSpaceDE w:val="0"/>
        <w:spacing w:before="120"/>
        <w:textAlignment w:val="center"/>
        <w:rPr>
          <w:rFonts w:ascii="Tahoma" w:hAnsi="Tahoma" w:cs="Tahoma"/>
          <w:color w:val="0098BA"/>
          <w:sz w:val="19"/>
          <w:szCs w:val="19"/>
        </w:rPr>
      </w:pPr>
      <w:r w:rsidRPr="00773D43">
        <w:rPr>
          <w:rFonts w:ascii="Tahoma" w:hAnsi="Tahoma" w:cs="Tahoma"/>
          <w:color w:val="0098BA"/>
          <w:sz w:val="19"/>
          <w:szCs w:val="19"/>
        </w:rPr>
        <w:lastRenderedPageBreak/>
        <w:t>Crédito (operação direta) - Liberações por produto e linha - 2023</w:t>
      </w:r>
    </w:p>
    <w:p w14:paraId="59702B65" w14:textId="77777777" w:rsidR="00FD493F" w:rsidRDefault="00FD493F" w:rsidP="00FD493F">
      <w:pPr>
        <w:spacing w:before="120"/>
        <w:ind w:right="2038"/>
        <w:jc w:val="right"/>
      </w:pPr>
      <w:r>
        <w:rPr>
          <w:rFonts w:ascii="Tahoma" w:hAnsi="Tahoma" w:cs="Tahoma"/>
          <w:bCs/>
          <w:color w:val="000000"/>
          <w:sz w:val="18"/>
          <w:szCs w:val="18"/>
        </w:rPr>
        <w:t>Posição em 31/12/2023</w:t>
      </w:r>
    </w:p>
    <w:tbl>
      <w:tblPr>
        <w:tblW w:w="7154" w:type="dxa"/>
        <w:tblInd w:w="70" w:type="dxa"/>
        <w:tblBorders>
          <w:bottom w:val="single" w:sz="4" w:space="0" w:color="BFBFBF"/>
          <w:insideH w:val="single" w:sz="4" w:space="0" w:color="BFBFBF"/>
        </w:tblBorders>
        <w:tblCellMar>
          <w:left w:w="10" w:type="dxa"/>
          <w:right w:w="10" w:type="dxa"/>
        </w:tblCellMar>
        <w:tblLook w:val="04A0" w:firstRow="1" w:lastRow="0" w:firstColumn="1" w:lastColumn="0" w:noHBand="0" w:noVBand="1"/>
      </w:tblPr>
      <w:tblGrid>
        <w:gridCol w:w="3912"/>
        <w:gridCol w:w="1134"/>
        <w:gridCol w:w="2108"/>
      </w:tblGrid>
      <w:tr w:rsidR="00FD493F" w:rsidRPr="00773D43" w14:paraId="26F6421B" w14:textId="77777777" w:rsidTr="00145E5A">
        <w:trPr>
          <w:trHeight w:val="255"/>
          <w:tblHeader/>
        </w:trPr>
        <w:tc>
          <w:tcPr>
            <w:tcW w:w="3912" w:type="dxa"/>
            <w:shd w:val="clear" w:color="auto" w:fill="0098BA"/>
            <w:noWrap/>
            <w:tcMar>
              <w:top w:w="0" w:type="dxa"/>
              <w:left w:w="70" w:type="dxa"/>
              <w:bottom w:w="0" w:type="dxa"/>
              <w:right w:w="70" w:type="dxa"/>
            </w:tcMar>
            <w:vAlign w:val="center"/>
          </w:tcPr>
          <w:p w14:paraId="3F3DB7EE" w14:textId="77777777" w:rsidR="00FD493F" w:rsidRPr="00773D43" w:rsidRDefault="00FD493F" w:rsidP="00097EE2">
            <w:pPr>
              <w:rPr>
                <w:rFonts w:ascii="Tahoma" w:hAnsi="Tahoma" w:cs="Tahoma"/>
                <w:color w:val="FFFFFF"/>
                <w:sz w:val="19"/>
                <w:szCs w:val="19"/>
              </w:rPr>
            </w:pPr>
            <w:r w:rsidRPr="00773D43">
              <w:rPr>
                <w:rFonts w:ascii="Tahoma" w:hAnsi="Tahoma" w:cs="Tahoma"/>
                <w:color w:val="FFFFFF"/>
                <w:sz w:val="19"/>
                <w:szCs w:val="19"/>
              </w:rPr>
              <w:t>Produto / Linha de Ação</w:t>
            </w:r>
          </w:p>
        </w:tc>
        <w:tc>
          <w:tcPr>
            <w:tcW w:w="1134" w:type="dxa"/>
            <w:shd w:val="clear" w:color="auto" w:fill="0098BA"/>
            <w:noWrap/>
            <w:tcMar>
              <w:top w:w="0" w:type="dxa"/>
              <w:left w:w="70" w:type="dxa"/>
              <w:bottom w:w="0" w:type="dxa"/>
              <w:right w:w="70" w:type="dxa"/>
            </w:tcMar>
            <w:vAlign w:val="center"/>
          </w:tcPr>
          <w:p w14:paraId="3DC5F110" w14:textId="77777777" w:rsidR="00FD493F" w:rsidRPr="00773D43" w:rsidRDefault="00FD493F" w:rsidP="00097EE2">
            <w:pPr>
              <w:jc w:val="center"/>
              <w:rPr>
                <w:rFonts w:ascii="Tahoma" w:hAnsi="Tahoma" w:cs="Tahoma"/>
                <w:color w:val="FFFFFF"/>
                <w:sz w:val="19"/>
                <w:szCs w:val="19"/>
              </w:rPr>
            </w:pPr>
            <w:r w:rsidRPr="00773D43">
              <w:rPr>
                <w:rFonts w:ascii="Tahoma" w:hAnsi="Tahoma" w:cs="Tahoma"/>
                <w:color w:val="FFFFFF"/>
                <w:sz w:val="19"/>
                <w:szCs w:val="19"/>
              </w:rPr>
              <w:t>Nº de contratos</w:t>
            </w:r>
          </w:p>
        </w:tc>
        <w:tc>
          <w:tcPr>
            <w:tcW w:w="2108" w:type="dxa"/>
            <w:shd w:val="clear" w:color="auto" w:fill="0098BA"/>
            <w:noWrap/>
            <w:tcMar>
              <w:top w:w="0" w:type="dxa"/>
              <w:left w:w="70" w:type="dxa"/>
              <w:bottom w:w="0" w:type="dxa"/>
              <w:right w:w="70" w:type="dxa"/>
            </w:tcMar>
            <w:vAlign w:val="center"/>
          </w:tcPr>
          <w:p w14:paraId="6DBDD737" w14:textId="77777777" w:rsidR="00FD493F" w:rsidRPr="00773D43" w:rsidRDefault="00FD493F" w:rsidP="00097EE2">
            <w:pPr>
              <w:jc w:val="right"/>
              <w:rPr>
                <w:rFonts w:ascii="Tahoma" w:hAnsi="Tahoma" w:cs="Tahoma"/>
                <w:color w:val="FFFFFF"/>
                <w:sz w:val="19"/>
                <w:szCs w:val="19"/>
              </w:rPr>
            </w:pPr>
            <w:r w:rsidRPr="00773D43">
              <w:rPr>
                <w:rFonts w:ascii="Tahoma" w:hAnsi="Tahoma" w:cs="Tahoma"/>
                <w:color w:val="FFFFFF"/>
                <w:sz w:val="19"/>
                <w:szCs w:val="19"/>
              </w:rPr>
              <w:t>Valor liberado (R$)</w:t>
            </w:r>
          </w:p>
        </w:tc>
      </w:tr>
      <w:tr w:rsidR="00FD493F" w:rsidRPr="00773D43" w14:paraId="3C7E399F" w14:textId="77777777" w:rsidTr="00145E5A">
        <w:trPr>
          <w:trHeight w:val="255"/>
        </w:trPr>
        <w:tc>
          <w:tcPr>
            <w:tcW w:w="3912" w:type="dxa"/>
            <w:shd w:val="clear" w:color="auto" w:fill="auto"/>
            <w:noWrap/>
            <w:tcMar>
              <w:top w:w="0" w:type="dxa"/>
              <w:left w:w="70" w:type="dxa"/>
              <w:bottom w:w="0" w:type="dxa"/>
              <w:right w:w="70" w:type="dxa"/>
            </w:tcMar>
            <w:vAlign w:val="center"/>
          </w:tcPr>
          <w:p w14:paraId="5052D9A7" w14:textId="77777777" w:rsidR="00FD493F" w:rsidRPr="00773D43" w:rsidRDefault="00FD493F" w:rsidP="00097EE2">
            <w:pPr>
              <w:rPr>
                <w:rFonts w:ascii="Tahoma" w:hAnsi="Tahoma" w:cs="Tahoma"/>
                <w:b/>
                <w:bCs/>
                <w:color w:val="000000"/>
                <w:sz w:val="19"/>
                <w:szCs w:val="19"/>
              </w:rPr>
            </w:pPr>
            <w:r w:rsidRPr="00773D43">
              <w:rPr>
                <w:rFonts w:ascii="Tahoma" w:hAnsi="Tahoma" w:cs="Tahoma"/>
                <w:b/>
                <w:bCs/>
                <w:color w:val="000000"/>
                <w:sz w:val="19"/>
                <w:szCs w:val="19"/>
              </w:rPr>
              <w:t>Apoio direto à inovação</w:t>
            </w:r>
          </w:p>
        </w:tc>
        <w:tc>
          <w:tcPr>
            <w:tcW w:w="1134" w:type="dxa"/>
            <w:shd w:val="clear" w:color="auto" w:fill="auto"/>
            <w:noWrap/>
            <w:tcMar>
              <w:top w:w="0" w:type="dxa"/>
              <w:left w:w="70" w:type="dxa"/>
              <w:bottom w:w="0" w:type="dxa"/>
              <w:right w:w="70" w:type="dxa"/>
            </w:tcMar>
            <w:vAlign w:val="center"/>
          </w:tcPr>
          <w:p w14:paraId="1574BF53" w14:textId="77777777" w:rsidR="00FD493F" w:rsidRPr="00773D43" w:rsidRDefault="00FD493F" w:rsidP="00097EE2">
            <w:pPr>
              <w:jc w:val="right"/>
              <w:rPr>
                <w:rFonts w:ascii="Tahoma" w:hAnsi="Tahoma" w:cs="Tahoma"/>
                <w:b/>
                <w:bCs/>
                <w:color w:val="000000"/>
                <w:sz w:val="19"/>
                <w:szCs w:val="19"/>
              </w:rPr>
            </w:pPr>
          </w:p>
        </w:tc>
        <w:tc>
          <w:tcPr>
            <w:tcW w:w="2108" w:type="dxa"/>
            <w:shd w:val="clear" w:color="auto" w:fill="auto"/>
            <w:noWrap/>
            <w:tcMar>
              <w:top w:w="0" w:type="dxa"/>
              <w:left w:w="70" w:type="dxa"/>
              <w:bottom w:w="0" w:type="dxa"/>
              <w:right w:w="70" w:type="dxa"/>
            </w:tcMar>
            <w:vAlign w:val="center"/>
          </w:tcPr>
          <w:p w14:paraId="3ADC9CF5" w14:textId="77777777" w:rsidR="00FD493F" w:rsidRPr="00773D43" w:rsidRDefault="00FD493F" w:rsidP="00097EE2">
            <w:pPr>
              <w:jc w:val="right"/>
              <w:rPr>
                <w:rFonts w:ascii="Tahoma" w:hAnsi="Tahoma" w:cs="Tahoma"/>
                <w:sz w:val="19"/>
                <w:szCs w:val="19"/>
              </w:rPr>
            </w:pPr>
          </w:p>
        </w:tc>
      </w:tr>
      <w:tr w:rsidR="00FD493F" w:rsidRPr="00773D43" w14:paraId="77DAB62C" w14:textId="77777777" w:rsidTr="00145E5A">
        <w:trPr>
          <w:trHeight w:val="255"/>
        </w:trPr>
        <w:tc>
          <w:tcPr>
            <w:tcW w:w="3912" w:type="dxa"/>
            <w:shd w:val="clear" w:color="auto" w:fill="auto"/>
            <w:noWrap/>
            <w:tcMar>
              <w:top w:w="0" w:type="dxa"/>
              <w:left w:w="70" w:type="dxa"/>
              <w:bottom w:w="0" w:type="dxa"/>
              <w:right w:w="70" w:type="dxa"/>
            </w:tcMar>
            <w:vAlign w:val="center"/>
          </w:tcPr>
          <w:p w14:paraId="517561B3" w14:textId="77777777" w:rsidR="00FD493F" w:rsidRPr="00773D43" w:rsidRDefault="00FD493F" w:rsidP="00097EE2">
            <w:pPr>
              <w:ind w:firstLine="360"/>
              <w:rPr>
                <w:rFonts w:ascii="Tahoma" w:hAnsi="Tahoma" w:cs="Tahoma"/>
                <w:color w:val="000000"/>
                <w:sz w:val="19"/>
                <w:szCs w:val="19"/>
              </w:rPr>
            </w:pPr>
            <w:r w:rsidRPr="00773D43">
              <w:rPr>
                <w:rFonts w:ascii="Tahoma" w:hAnsi="Tahoma" w:cs="Tahoma"/>
                <w:color w:val="000000"/>
                <w:sz w:val="19"/>
                <w:szCs w:val="19"/>
              </w:rPr>
              <w:t>Difusão tecnológica para inovação</w:t>
            </w:r>
          </w:p>
        </w:tc>
        <w:tc>
          <w:tcPr>
            <w:tcW w:w="1134" w:type="dxa"/>
            <w:shd w:val="clear" w:color="auto" w:fill="auto"/>
            <w:noWrap/>
            <w:tcMar>
              <w:top w:w="0" w:type="dxa"/>
              <w:left w:w="70" w:type="dxa"/>
              <w:bottom w:w="0" w:type="dxa"/>
              <w:right w:w="70" w:type="dxa"/>
            </w:tcMar>
            <w:vAlign w:val="bottom"/>
          </w:tcPr>
          <w:p w14:paraId="1F32012C"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1</w:t>
            </w:r>
          </w:p>
        </w:tc>
        <w:tc>
          <w:tcPr>
            <w:tcW w:w="2108" w:type="dxa"/>
            <w:shd w:val="clear" w:color="auto" w:fill="auto"/>
            <w:noWrap/>
            <w:tcMar>
              <w:top w:w="0" w:type="dxa"/>
              <w:left w:w="70" w:type="dxa"/>
              <w:bottom w:w="0" w:type="dxa"/>
              <w:right w:w="70" w:type="dxa"/>
            </w:tcMar>
            <w:vAlign w:val="bottom"/>
          </w:tcPr>
          <w:p w14:paraId="5C63B319"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15.297.110,00</w:t>
            </w:r>
          </w:p>
        </w:tc>
      </w:tr>
      <w:tr w:rsidR="00FD493F" w:rsidRPr="009530F2" w14:paraId="228918DB" w14:textId="77777777" w:rsidTr="00145E5A">
        <w:trPr>
          <w:trHeight w:val="255"/>
        </w:trPr>
        <w:tc>
          <w:tcPr>
            <w:tcW w:w="3912" w:type="dxa"/>
            <w:shd w:val="clear" w:color="auto" w:fill="auto"/>
            <w:noWrap/>
            <w:tcMar>
              <w:top w:w="0" w:type="dxa"/>
              <w:left w:w="70" w:type="dxa"/>
              <w:bottom w:w="0" w:type="dxa"/>
              <w:right w:w="70" w:type="dxa"/>
            </w:tcMar>
            <w:vAlign w:val="center"/>
          </w:tcPr>
          <w:p w14:paraId="1C8BAC00" w14:textId="77777777" w:rsidR="00FD493F" w:rsidRPr="009530F2" w:rsidRDefault="00FD493F" w:rsidP="00097EE2">
            <w:pPr>
              <w:ind w:firstLine="360"/>
              <w:rPr>
                <w:rFonts w:ascii="Tahoma" w:hAnsi="Tahoma" w:cs="Tahoma"/>
                <w:color w:val="0098BA"/>
                <w:sz w:val="19"/>
                <w:szCs w:val="19"/>
              </w:rPr>
            </w:pPr>
            <w:r w:rsidRPr="009530F2">
              <w:rPr>
                <w:rFonts w:ascii="Tahoma" w:hAnsi="Tahoma" w:cs="Tahoma"/>
                <w:color w:val="0098BA"/>
                <w:sz w:val="19"/>
                <w:szCs w:val="19"/>
              </w:rPr>
              <w:t>Finep mais inovação</w:t>
            </w:r>
          </w:p>
        </w:tc>
        <w:tc>
          <w:tcPr>
            <w:tcW w:w="1134" w:type="dxa"/>
            <w:shd w:val="clear" w:color="auto" w:fill="auto"/>
            <w:noWrap/>
            <w:tcMar>
              <w:top w:w="0" w:type="dxa"/>
              <w:left w:w="70" w:type="dxa"/>
              <w:bottom w:w="0" w:type="dxa"/>
              <w:right w:w="70" w:type="dxa"/>
            </w:tcMar>
            <w:vAlign w:val="bottom"/>
          </w:tcPr>
          <w:p w14:paraId="355232C6" w14:textId="77777777" w:rsidR="00FD493F" w:rsidRPr="009530F2" w:rsidRDefault="00FD493F" w:rsidP="00097EE2">
            <w:pPr>
              <w:ind w:firstLine="360"/>
              <w:jc w:val="right"/>
              <w:rPr>
                <w:rFonts w:ascii="Tahoma" w:hAnsi="Tahoma" w:cs="Tahoma"/>
                <w:color w:val="0098BA"/>
                <w:sz w:val="19"/>
                <w:szCs w:val="19"/>
              </w:rPr>
            </w:pPr>
            <w:r w:rsidRPr="00527DEF">
              <w:rPr>
                <w:rFonts w:ascii="Tahoma" w:hAnsi="Tahoma" w:cs="Tahoma"/>
                <w:color w:val="0098BA"/>
                <w:sz w:val="19"/>
                <w:szCs w:val="19"/>
              </w:rPr>
              <w:t>2</w:t>
            </w:r>
          </w:p>
        </w:tc>
        <w:tc>
          <w:tcPr>
            <w:tcW w:w="2108" w:type="dxa"/>
            <w:shd w:val="clear" w:color="auto" w:fill="auto"/>
            <w:noWrap/>
            <w:tcMar>
              <w:top w:w="0" w:type="dxa"/>
              <w:left w:w="70" w:type="dxa"/>
              <w:bottom w:w="0" w:type="dxa"/>
              <w:right w:w="70" w:type="dxa"/>
            </w:tcMar>
            <w:vAlign w:val="bottom"/>
          </w:tcPr>
          <w:p w14:paraId="2D72A74E" w14:textId="77777777" w:rsidR="00FD493F" w:rsidRPr="009530F2" w:rsidRDefault="00FD493F" w:rsidP="00097EE2">
            <w:pPr>
              <w:ind w:firstLine="360"/>
              <w:jc w:val="right"/>
              <w:rPr>
                <w:rFonts w:ascii="Tahoma" w:hAnsi="Tahoma" w:cs="Tahoma"/>
                <w:color w:val="0098BA"/>
                <w:sz w:val="19"/>
                <w:szCs w:val="19"/>
              </w:rPr>
            </w:pPr>
            <w:r w:rsidRPr="00527DEF">
              <w:rPr>
                <w:rFonts w:ascii="Tahoma" w:hAnsi="Tahoma" w:cs="Tahoma"/>
                <w:color w:val="0098BA"/>
                <w:sz w:val="19"/>
                <w:szCs w:val="19"/>
              </w:rPr>
              <w:t>61.745.551,57</w:t>
            </w:r>
          </w:p>
        </w:tc>
      </w:tr>
      <w:tr w:rsidR="00FD493F" w:rsidRPr="00773D43" w14:paraId="315FDD7F" w14:textId="77777777" w:rsidTr="00145E5A">
        <w:trPr>
          <w:trHeight w:val="255"/>
        </w:trPr>
        <w:tc>
          <w:tcPr>
            <w:tcW w:w="3912" w:type="dxa"/>
            <w:shd w:val="clear" w:color="auto" w:fill="auto"/>
            <w:noWrap/>
            <w:tcMar>
              <w:top w:w="0" w:type="dxa"/>
              <w:left w:w="70" w:type="dxa"/>
              <w:bottom w:w="0" w:type="dxa"/>
              <w:right w:w="70" w:type="dxa"/>
            </w:tcMar>
            <w:vAlign w:val="center"/>
          </w:tcPr>
          <w:p w14:paraId="008B41E9" w14:textId="77777777" w:rsidR="00FD493F" w:rsidRPr="00773D43" w:rsidRDefault="00FD493F" w:rsidP="00097EE2">
            <w:pPr>
              <w:ind w:firstLine="360"/>
              <w:rPr>
                <w:rFonts w:ascii="Tahoma" w:hAnsi="Tahoma" w:cs="Tahoma"/>
                <w:color w:val="000000"/>
                <w:sz w:val="19"/>
                <w:szCs w:val="19"/>
              </w:rPr>
            </w:pPr>
            <w:r w:rsidRPr="00773D43">
              <w:rPr>
                <w:rFonts w:ascii="Tahoma" w:hAnsi="Tahoma" w:cs="Tahoma"/>
                <w:color w:val="000000"/>
                <w:sz w:val="19"/>
                <w:szCs w:val="19"/>
              </w:rPr>
              <w:t>Inovação crítica</w:t>
            </w:r>
          </w:p>
        </w:tc>
        <w:tc>
          <w:tcPr>
            <w:tcW w:w="1134" w:type="dxa"/>
            <w:shd w:val="clear" w:color="auto" w:fill="auto"/>
            <w:noWrap/>
            <w:tcMar>
              <w:top w:w="0" w:type="dxa"/>
              <w:left w:w="70" w:type="dxa"/>
              <w:bottom w:w="0" w:type="dxa"/>
              <w:right w:w="70" w:type="dxa"/>
            </w:tcMar>
            <w:vAlign w:val="bottom"/>
          </w:tcPr>
          <w:p w14:paraId="796C2B88"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2</w:t>
            </w:r>
          </w:p>
        </w:tc>
        <w:tc>
          <w:tcPr>
            <w:tcW w:w="2108" w:type="dxa"/>
            <w:shd w:val="clear" w:color="auto" w:fill="auto"/>
            <w:noWrap/>
            <w:tcMar>
              <w:top w:w="0" w:type="dxa"/>
              <w:left w:w="70" w:type="dxa"/>
              <w:bottom w:w="0" w:type="dxa"/>
              <w:right w:w="70" w:type="dxa"/>
            </w:tcMar>
            <w:vAlign w:val="bottom"/>
          </w:tcPr>
          <w:p w14:paraId="45CF00D6"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54.100.314,52</w:t>
            </w:r>
          </w:p>
        </w:tc>
      </w:tr>
      <w:tr w:rsidR="00FD493F" w:rsidRPr="00773D43" w14:paraId="5E6E6CF8" w14:textId="77777777" w:rsidTr="00145E5A">
        <w:trPr>
          <w:trHeight w:val="255"/>
        </w:trPr>
        <w:tc>
          <w:tcPr>
            <w:tcW w:w="3912" w:type="dxa"/>
            <w:shd w:val="clear" w:color="auto" w:fill="auto"/>
            <w:noWrap/>
            <w:tcMar>
              <w:top w:w="0" w:type="dxa"/>
              <w:left w:w="70" w:type="dxa"/>
              <w:bottom w:w="0" w:type="dxa"/>
              <w:right w:w="70" w:type="dxa"/>
            </w:tcMar>
            <w:vAlign w:val="center"/>
          </w:tcPr>
          <w:p w14:paraId="45C11D1D" w14:textId="77777777" w:rsidR="00FD493F" w:rsidRPr="00773D43" w:rsidRDefault="00FD493F" w:rsidP="00097EE2">
            <w:pPr>
              <w:ind w:firstLine="360"/>
              <w:rPr>
                <w:rFonts w:ascii="Tahoma" w:hAnsi="Tahoma" w:cs="Tahoma"/>
                <w:color w:val="000000"/>
                <w:sz w:val="19"/>
                <w:szCs w:val="19"/>
              </w:rPr>
            </w:pPr>
            <w:r w:rsidRPr="00773D43">
              <w:rPr>
                <w:rFonts w:ascii="Tahoma" w:hAnsi="Tahoma" w:cs="Tahoma"/>
                <w:color w:val="000000"/>
                <w:sz w:val="19"/>
                <w:szCs w:val="19"/>
              </w:rPr>
              <w:t>Inovação pioneira</w:t>
            </w:r>
          </w:p>
        </w:tc>
        <w:tc>
          <w:tcPr>
            <w:tcW w:w="1134" w:type="dxa"/>
            <w:shd w:val="clear" w:color="auto" w:fill="auto"/>
            <w:noWrap/>
            <w:tcMar>
              <w:top w:w="0" w:type="dxa"/>
              <w:left w:w="70" w:type="dxa"/>
              <w:bottom w:w="0" w:type="dxa"/>
              <w:right w:w="70" w:type="dxa"/>
            </w:tcMar>
            <w:vAlign w:val="center"/>
          </w:tcPr>
          <w:p w14:paraId="1C86C26C"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23</w:t>
            </w:r>
          </w:p>
        </w:tc>
        <w:tc>
          <w:tcPr>
            <w:tcW w:w="2108" w:type="dxa"/>
            <w:shd w:val="clear" w:color="auto" w:fill="auto"/>
            <w:noWrap/>
            <w:tcMar>
              <w:top w:w="0" w:type="dxa"/>
              <w:left w:w="70" w:type="dxa"/>
              <w:bottom w:w="0" w:type="dxa"/>
              <w:right w:w="70" w:type="dxa"/>
            </w:tcMar>
            <w:vAlign w:val="center"/>
          </w:tcPr>
          <w:p w14:paraId="78DD5763"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573.158.434,99</w:t>
            </w:r>
          </w:p>
        </w:tc>
      </w:tr>
      <w:tr w:rsidR="00FD493F" w:rsidRPr="00773D43" w14:paraId="7B043357" w14:textId="77777777" w:rsidTr="00145E5A">
        <w:trPr>
          <w:trHeight w:val="255"/>
        </w:trPr>
        <w:tc>
          <w:tcPr>
            <w:tcW w:w="3912" w:type="dxa"/>
            <w:shd w:val="clear" w:color="auto" w:fill="auto"/>
            <w:noWrap/>
            <w:tcMar>
              <w:top w:w="0" w:type="dxa"/>
              <w:left w:w="70" w:type="dxa"/>
              <w:bottom w:w="0" w:type="dxa"/>
              <w:right w:w="70" w:type="dxa"/>
            </w:tcMar>
            <w:vAlign w:val="center"/>
          </w:tcPr>
          <w:p w14:paraId="4D57579C" w14:textId="77777777" w:rsidR="00FD493F" w:rsidRPr="00773D43" w:rsidRDefault="00FD493F" w:rsidP="00097EE2">
            <w:pPr>
              <w:ind w:firstLine="360"/>
              <w:rPr>
                <w:rFonts w:ascii="Tahoma" w:hAnsi="Tahoma" w:cs="Tahoma"/>
                <w:color w:val="000000"/>
                <w:sz w:val="19"/>
                <w:szCs w:val="19"/>
              </w:rPr>
            </w:pPr>
            <w:r w:rsidRPr="00773D43">
              <w:rPr>
                <w:rFonts w:ascii="Tahoma" w:hAnsi="Tahoma" w:cs="Tahoma"/>
                <w:color w:val="000000"/>
                <w:sz w:val="19"/>
                <w:szCs w:val="19"/>
              </w:rPr>
              <w:t>Inovação para competitividade</w:t>
            </w:r>
          </w:p>
        </w:tc>
        <w:tc>
          <w:tcPr>
            <w:tcW w:w="1134" w:type="dxa"/>
            <w:shd w:val="clear" w:color="auto" w:fill="auto"/>
            <w:noWrap/>
            <w:tcMar>
              <w:top w:w="0" w:type="dxa"/>
              <w:left w:w="70" w:type="dxa"/>
              <w:bottom w:w="0" w:type="dxa"/>
              <w:right w:w="70" w:type="dxa"/>
            </w:tcMar>
            <w:vAlign w:val="bottom"/>
          </w:tcPr>
          <w:p w14:paraId="2AC8DCA1"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91</w:t>
            </w:r>
          </w:p>
        </w:tc>
        <w:tc>
          <w:tcPr>
            <w:tcW w:w="2108" w:type="dxa"/>
            <w:shd w:val="clear" w:color="auto" w:fill="auto"/>
            <w:noWrap/>
            <w:tcMar>
              <w:top w:w="0" w:type="dxa"/>
              <w:left w:w="70" w:type="dxa"/>
              <w:bottom w:w="0" w:type="dxa"/>
              <w:right w:w="70" w:type="dxa"/>
            </w:tcMar>
            <w:vAlign w:val="bottom"/>
          </w:tcPr>
          <w:p w14:paraId="76C4E7F9"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2.416.084.568,70</w:t>
            </w:r>
          </w:p>
        </w:tc>
      </w:tr>
      <w:tr w:rsidR="00FD493F" w:rsidRPr="00773D43" w14:paraId="72F5EA78" w14:textId="77777777" w:rsidTr="00145E5A">
        <w:trPr>
          <w:trHeight w:val="255"/>
        </w:trPr>
        <w:tc>
          <w:tcPr>
            <w:tcW w:w="3912" w:type="dxa"/>
            <w:shd w:val="clear" w:color="auto" w:fill="auto"/>
            <w:noWrap/>
            <w:tcMar>
              <w:top w:w="0" w:type="dxa"/>
              <w:left w:w="70" w:type="dxa"/>
              <w:bottom w:w="0" w:type="dxa"/>
              <w:right w:w="70" w:type="dxa"/>
            </w:tcMar>
            <w:vAlign w:val="center"/>
          </w:tcPr>
          <w:p w14:paraId="6B32826B" w14:textId="77777777" w:rsidR="00FD493F" w:rsidRPr="00773D43" w:rsidRDefault="00FD493F" w:rsidP="00097EE2">
            <w:pPr>
              <w:ind w:firstLine="360"/>
              <w:rPr>
                <w:rFonts w:ascii="Tahoma" w:hAnsi="Tahoma" w:cs="Tahoma"/>
                <w:color w:val="000000"/>
                <w:sz w:val="19"/>
                <w:szCs w:val="19"/>
              </w:rPr>
            </w:pPr>
            <w:r w:rsidRPr="00773D43">
              <w:rPr>
                <w:rFonts w:ascii="Tahoma" w:hAnsi="Tahoma" w:cs="Tahoma"/>
                <w:color w:val="000000"/>
                <w:sz w:val="19"/>
                <w:szCs w:val="19"/>
              </w:rPr>
              <w:t>Inovação para desempenho</w:t>
            </w:r>
          </w:p>
        </w:tc>
        <w:tc>
          <w:tcPr>
            <w:tcW w:w="1134" w:type="dxa"/>
            <w:shd w:val="clear" w:color="auto" w:fill="auto"/>
            <w:noWrap/>
            <w:tcMar>
              <w:top w:w="0" w:type="dxa"/>
              <w:left w:w="70" w:type="dxa"/>
              <w:bottom w:w="0" w:type="dxa"/>
              <w:right w:w="70" w:type="dxa"/>
            </w:tcMar>
            <w:vAlign w:val="bottom"/>
          </w:tcPr>
          <w:p w14:paraId="0BC23FC8"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48</w:t>
            </w:r>
          </w:p>
        </w:tc>
        <w:tc>
          <w:tcPr>
            <w:tcW w:w="2108" w:type="dxa"/>
            <w:shd w:val="clear" w:color="auto" w:fill="auto"/>
            <w:noWrap/>
            <w:tcMar>
              <w:top w:w="0" w:type="dxa"/>
              <w:left w:w="70" w:type="dxa"/>
              <w:bottom w:w="0" w:type="dxa"/>
              <w:right w:w="70" w:type="dxa"/>
            </w:tcMar>
            <w:vAlign w:val="bottom"/>
          </w:tcPr>
          <w:p w14:paraId="36158757"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1.054.163.956,08</w:t>
            </w:r>
          </w:p>
        </w:tc>
      </w:tr>
      <w:tr w:rsidR="00FD493F" w:rsidRPr="00773D43" w14:paraId="3445AB1A" w14:textId="77777777" w:rsidTr="00145E5A">
        <w:trPr>
          <w:trHeight w:val="255"/>
        </w:trPr>
        <w:tc>
          <w:tcPr>
            <w:tcW w:w="3912" w:type="dxa"/>
            <w:shd w:val="clear" w:color="auto" w:fill="auto"/>
            <w:noWrap/>
            <w:tcMar>
              <w:top w:w="0" w:type="dxa"/>
              <w:left w:w="70" w:type="dxa"/>
              <w:bottom w:w="0" w:type="dxa"/>
              <w:right w:w="70" w:type="dxa"/>
            </w:tcMar>
            <w:vAlign w:val="center"/>
          </w:tcPr>
          <w:p w14:paraId="5F3103F0" w14:textId="77777777" w:rsidR="00FD493F" w:rsidRPr="00773D43" w:rsidRDefault="00FD493F" w:rsidP="00097EE2">
            <w:pPr>
              <w:rPr>
                <w:rFonts w:ascii="Tahoma" w:hAnsi="Tahoma" w:cs="Tahoma"/>
                <w:b/>
                <w:bCs/>
                <w:color w:val="000000"/>
                <w:sz w:val="19"/>
                <w:szCs w:val="19"/>
              </w:rPr>
            </w:pPr>
            <w:r w:rsidRPr="00773D43">
              <w:rPr>
                <w:rFonts w:ascii="Tahoma" w:hAnsi="Tahoma" w:cs="Tahoma"/>
                <w:b/>
                <w:bCs/>
                <w:color w:val="000000"/>
                <w:sz w:val="19"/>
                <w:szCs w:val="19"/>
              </w:rPr>
              <w:t>Finep 5G</w:t>
            </w:r>
          </w:p>
        </w:tc>
        <w:tc>
          <w:tcPr>
            <w:tcW w:w="1134" w:type="dxa"/>
            <w:shd w:val="clear" w:color="auto" w:fill="auto"/>
            <w:noWrap/>
            <w:tcMar>
              <w:top w:w="0" w:type="dxa"/>
              <w:left w:w="70" w:type="dxa"/>
              <w:bottom w:w="0" w:type="dxa"/>
              <w:right w:w="70" w:type="dxa"/>
            </w:tcMar>
            <w:vAlign w:val="center"/>
          </w:tcPr>
          <w:p w14:paraId="76710240" w14:textId="77777777" w:rsidR="00FD493F" w:rsidRPr="00773D43" w:rsidRDefault="00FD493F" w:rsidP="00097EE2">
            <w:pPr>
              <w:jc w:val="right"/>
              <w:rPr>
                <w:rFonts w:ascii="Tahoma" w:hAnsi="Tahoma" w:cs="Tahoma"/>
                <w:color w:val="000000"/>
                <w:sz w:val="19"/>
                <w:szCs w:val="19"/>
              </w:rPr>
            </w:pPr>
          </w:p>
        </w:tc>
        <w:tc>
          <w:tcPr>
            <w:tcW w:w="2108" w:type="dxa"/>
            <w:shd w:val="clear" w:color="auto" w:fill="auto"/>
            <w:noWrap/>
            <w:tcMar>
              <w:top w:w="0" w:type="dxa"/>
              <w:left w:w="70" w:type="dxa"/>
              <w:bottom w:w="0" w:type="dxa"/>
              <w:right w:w="70" w:type="dxa"/>
            </w:tcMar>
            <w:vAlign w:val="center"/>
          </w:tcPr>
          <w:p w14:paraId="687038F3" w14:textId="77777777" w:rsidR="00FD493F" w:rsidRPr="00773D43" w:rsidRDefault="00FD493F" w:rsidP="00097EE2">
            <w:pPr>
              <w:jc w:val="right"/>
              <w:rPr>
                <w:rFonts w:ascii="Tahoma" w:hAnsi="Tahoma" w:cs="Tahoma"/>
                <w:sz w:val="19"/>
                <w:szCs w:val="19"/>
              </w:rPr>
            </w:pPr>
          </w:p>
        </w:tc>
      </w:tr>
      <w:tr w:rsidR="00FD493F" w:rsidRPr="00773D43" w14:paraId="5F63F6EF" w14:textId="77777777" w:rsidTr="00145E5A">
        <w:trPr>
          <w:trHeight w:val="255"/>
        </w:trPr>
        <w:tc>
          <w:tcPr>
            <w:tcW w:w="3912" w:type="dxa"/>
            <w:shd w:val="clear" w:color="auto" w:fill="auto"/>
            <w:noWrap/>
            <w:tcMar>
              <w:top w:w="0" w:type="dxa"/>
              <w:left w:w="70" w:type="dxa"/>
              <w:bottom w:w="0" w:type="dxa"/>
              <w:right w:w="70" w:type="dxa"/>
            </w:tcMar>
            <w:vAlign w:val="center"/>
          </w:tcPr>
          <w:p w14:paraId="6FC1E2B4" w14:textId="77777777" w:rsidR="00FD493F" w:rsidRPr="00773D43" w:rsidRDefault="00FD493F" w:rsidP="00097EE2">
            <w:pPr>
              <w:ind w:firstLine="360"/>
              <w:rPr>
                <w:rFonts w:ascii="Tahoma" w:hAnsi="Tahoma" w:cs="Tahoma"/>
                <w:color w:val="000000"/>
                <w:sz w:val="19"/>
                <w:szCs w:val="19"/>
              </w:rPr>
            </w:pPr>
            <w:r w:rsidRPr="00773D43">
              <w:rPr>
                <w:rFonts w:ascii="Tahoma" w:hAnsi="Tahoma" w:cs="Tahoma"/>
                <w:color w:val="000000"/>
                <w:sz w:val="19"/>
                <w:szCs w:val="19"/>
              </w:rPr>
              <w:t>Redes</w:t>
            </w:r>
          </w:p>
        </w:tc>
        <w:tc>
          <w:tcPr>
            <w:tcW w:w="1134" w:type="dxa"/>
            <w:shd w:val="clear" w:color="auto" w:fill="auto"/>
            <w:noWrap/>
            <w:tcMar>
              <w:top w:w="0" w:type="dxa"/>
              <w:left w:w="70" w:type="dxa"/>
              <w:bottom w:w="0" w:type="dxa"/>
              <w:right w:w="70" w:type="dxa"/>
            </w:tcMar>
            <w:vAlign w:val="center"/>
          </w:tcPr>
          <w:p w14:paraId="7C23008F" w14:textId="77777777" w:rsidR="00FD493F" w:rsidRPr="00773D43" w:rsidRDefault="00FD493F" w:rsidP="00097EE2">
            <w:pPr>
              <w:jc w:val="right"/>
              <w:rPr>
                <w:rFonts w:ascii="Tahoma" w:hAnsi="Tahoma" w:cs="Tahoma"/>
                <w:color w:val="000000"/>
                <w:sz w:val="19"/>
                <w:szCs w:val="19"/>
              </w:rPr>
            </w:pPr>
            <w:r w:rsidRPr="00773D43">
              <w:rPr>
                <w:rFonts w:ascii="Tahoma" w:hAnsi="Tahoma" w:cs="Tahoma"/>
                <w:color w:val="000000"/>
                <w:sz w:val="19"/>
                <w:szCs w:val="19"/>
              </w:rPr>
              <w:t>1</w:t>
            </w:r>
          </w:p>
        </w:tc>
        <w:tc>
          <w:tcPr>
            <w:tcW w:w="2108" w:type="dxa"/>
            <w:shd w:val="clear" w:color="auto" w:fill="auto"/>
            <w:noWrap/>
            <w:tcMar>
              <w:top w:w="0" w:type="dxa"/>
              <w:left w:w="70" w:type="dxa"/>
              <w:bottom w:w="0" w:type="dxa"/>
              <w:right w:w="70" w:type="dxa"/>
            </w:tcMar>
            <w:vAlign w:val="center"/>
          </w:tcPr>
          <w:p w14:paraId="65D960D0" w14:textId="77777777" w:rsidR="00FD493F" w:rsidRPr="00773D43" w:rsidRDefault="00FD493F" w:rsidP="00097EE2">
            <w:pPr>
              <w:ind w:firstLine="360"/>
              <w:jc w:val="right"/>
              <w:rPr>
                <w:rFonts w:ascii="Tahoma" w:hAnsi="Tahoma" w:cs="Tahoma"/>
                <w:color w:val="000000"/>
                <w:sz w:val="19"/>
                <w:szCs w:val="19"/>
              </w:rPr>
            </w:pPr>
            <w:r w:rsidRPr="00527DEF">
              <w:rPr>
                <w:rFonts w:ascii="Tahoma" w:hAnsi="Tahoma" w:cs="Tahoma"/>
                <w:color w:val="000000"/>
                <w:sz w:val="19"/>
                <w:szCs w:val="19"/>
              </w:rPr>
              <w:t>75.000.000,00</w:t>
            </w:r>
          </w:p>
        </w:tc>
      </w:tr>
      <w:tr w:rsidR="00FD493F" w:rsidRPr="00773D43" w14:paraId="4993E548" w14:textId="77777777" w:rsidTr="00145E5A">
        <w:trPr>
          <w:trHeight w:val="255"/>
        </w:trPr>
        <w:tc>
          <w:tcPr>
            <w:tcW w:w="3912" w:type="dxa"/>
            <w:shd w:val="clear" w:color="auto" w:fill="auto"/>
            <w:noWrap/>
            <w:tcMar>
              <w:top w:w="0" w:type="dxa"/>
              <w:left w:w="70" w:type="dxa"/>
              <w:bottom w:w="0" w:type="dxa"/>
              <w:right w:w="70" w:type="dxa"/>
            </w:tcMar>
            <w:vAlign w:val="center"/>
          </w:tcPr>
          <w:p w14:paraId="190513D5" w14:textId="77777777" w:rsidR="00FD493F" w:rsidRPr="00773D43" w:rsidRDefault="00FD493F" w:rsidP="00097EE2">
            <w:pPr>
              <w:rPr>
                <w:rFonts w:ascii="Tahoma" w:hAnsi="Tahoma" w:cs="Tahoma"/>
                <w:b/>
                <w:bCs/>
                <w:color w:val="000000"/>
                <w:sz w:val="19"/>
                <w:szCs w:val="19"/>
              </w:rPr>
            </w:pPr>
            <w:r w:rsidRPr="00773D43">
              <w:rPr>
                <w:rFonts w:ascii="Tahoma" w:hAnsi="Tahoma" w:cs="Tahoma"/>
                <w:b/>
                <w:bCs/>
                <w:color w:val="000000"/>
                <w:sz w:val="19"/>
                <w:szCs w:val="19"/>
              </w:rPr>
              <w:t>Finep dispositivos médicos</w:t>
            </w:r>
          </w:p>
        </w:tc>
        <w:tc>
          <w:tcPr>
            <w:tcW w:w="1134" w:type="dxa"/>
            <w:shd w:val="clear" w:color="auto" w:fill="auto"/>
            <w:noWrap/>
            <w:tcMar>
              <w:top w:w="0" w:type="dxa"/>
              <w:left w:w="70" w:type="dxa"/>
              <w:bottom w:w="0" w:type="dxa"/>
              <w:right w:w="70" w:type="dxa"/>
            </w:tcMar>
            <w:vAlign w:val="center"/>
          </w:tcPr>
          <w:p w14:paraId="72D68028" w14:textId="77777777" w:rsidR="00FD493F" w:rsidRPr="00773D43" w:rsidRDefault="00FD493F" w:rsidP="00097EE2">
            <w:pPr>
              <w:jc w:val="right"/>
              <w:rPr>
                <w:rFonts w:ascii="Tahoma" w:hAnsi="Tahoma" w:cs="Tahoma"/>
                <w:color w:val="000000"/>
                <w:sz w:val="19"/>
                <w:szCs w:val="19"/>
              </w:rPr>
            </w:pPr>
            <w:r w:rsidRPr="00773D43">
              <w:rPr>
                <w:rFonts w:ascii="Tahoma" w:hAnsi="Tahoma" w:cs="Tahoma"/>
                <w:color w:val="000000"/>
                <w:sz w:val="19"/>
                <w:szCs w:val="19"/>
              </w:rPr>
              <w:t>1</w:t>
            </w:r>
          </w:p>
        </w:tc>
        <w:tc>
          <w:tcPr>
            <w:tcW w:w="2108" w:type="dxa"/>
            <w:shd w:val="clear" w:color="auto" w:fill="auto"/>
            <w:noWrap/>
            <w:tcMar>
              <w:top w:w="0" w:type="dxa"/>
              <w:left w:w="70" w:type="dxa"/>
              <w:bottom w:w="0" w:type="dxa"/>
              <w:right w:w="70" w:type="dxa"/>
            </w:tcMar>
            <w:vAlign w:val="center"/>
          </w:tcPr>
          <w:p w14:paraId="29FF7E10" w14:textId="77777777" w:rsidR="00FD493F" w:rsidRPr="00773D43" w:rsidRDefault="00FD493F" w:rsidP="00097EE2">
            <w:pPr>
              <w:jc w:val="right"/>
              <w:rPr>
                <w:sz w:val="19"/>
                <w:szCs w:val="19"/>
              </w:rPr>
            </w:pPr>
            <w:r w:rsidRPr="00527DEF">
              <w:rPr>
                <w:rFonts w:ascii="Tahoma" w:hAnsi="Tahoma" w:cs="Tahoma"/>
                <w:color w:val="000000"/>
                <w:sz w:val="19"/>
                <w:szCs w:val="19"/>
              </w:rPr>
              <w:t>980.568,24</w:t>
            </w:r>
          </w:p>
        </w:tc>
      </w:tr>
      <w:tr w:rsidR="00FD493F" w:rsidRPr="00773D43" w14:paraId="4167ADA2" w14:textId="77777777" w:rsidTr="00145E5A">
        <w:trPr>
          <w:trHeight w:val="347"/>
        </w:trPr>
        <w:tc>
          <w:tcPr>
            <w:tcW w:w="3912" w:type="dxa"/>
            <w:shd w:val="clear" w:color="auto" w:fill="0098BA"/>
            <w:noWrap/>
            <w:tcMar>
              <w:top w:w="0" w:type="dxa"/>
              <w:left w:w="70" w:type="dxa"/>
              <w:bottom w:w="0" w:type="dxa"/>
              <w:right w:w="70" w:type="dxa"/>
            </w:tcMar>
            <w:vAlign w:val="center"/>
          </w:tcPr>
          <w:p w14:paraId="49CFE135" w14:textId="77777777" w:rsidR="00FD493F" w:rsidRPr="00773D43" w:rsidRDefault="00FD493F" w:rsidP="00097EE2">
            <w:pPr>
              <w:rPr>
                <w:rFonts w:ascii="Tahoma" w:hAnsi="Tahoma" w:cs="Tahoma"/>
                <w:color w:val="FFFFFF" w:themeColor="background1"/>
                <w:sz w:val="19"/>
                <w:szCs w:val="19"/>
              </w:rPr>
            </w:pPr>
            <w:r w:rsidRPr="00773D43">
              <w:rPr>
                <w:rFonts w:ascii="Tahoma" w:hAnsi="Tahoma" w:cs="Tahoma"/>
                <w:color w:val="FFFFFF" w:themeColor="background1"/>
                <w:sz w:val="19"/>
                <w:szCs w:val="19"/>
              </w:rPr>
              <w:t>Total</w:t>
            </w:r>
          </w:p>
        </w:tc>
        <w:tc>
          <w:tcPr>
            <w:tcW w:w="1134" w:type="dxa"/>
            <w:shd w:val="clear" w:color="auto" w:fill="0098BA"/>
            <w:noWrap/>
            <w:tcMar>
              <w:top w:w="0" w:type="dxa"/>
              <w:left w:w="70" w:type="dxa"/>
              <w:bottom w:w="0" w:type="dxa"/>
              <w:right w:w="70" w:type="dxa"/>
            </w:tcMar>
            <w:vAlign w:val="center"/>
          </w:tcPr>
          <w:p w14:paraId="46FF973A" w14:textId="77777777" w:rsidR="00FD493F" w:rsidRPr="00773D43" w:rsidRDefault="00FD493F" w:rsidP="00097EE2">
            <w:pPr>
              <w:jc w:val="right"/>
              <w:rPr>
                <w:rFonts w:ascii="Tahoma" w:hAnsi="Tahoma" w:cs="Tahoma"/>
                <w:color w:val="FFFFFF" w:themeColor="background1"/>
                <w:sz w:val="19"/>
                <w:szCs w:val="19"/>
              </w:rPr>
            </w:pPr>
            <w:r w:rsidRPr="00527DEF">
              <w:rPr>
                <w:rFonts w:ascii="Tahoma" w:hAnsi="Tahoma" w:cs="Tahoma"/>
                <w:color w:val="FFFFFF" w:themeColor="background1"/>
                <w:sz w:val="19"/>
                <w:szCs w:val="19"/>
              </w:rPr>
              <w:t>169</w:t>
            </w:r>
          </w:p>
        </w:tc>
        <w:tc>
          <w:tcPr>
            <w:tcW w:w="2108" w:type="dxa"/>
            <w:shd w:val="clear" w:color="auto" w:fill="0098BA"/>
            <w:noWrap/>
            <w:tcMar>
              <w:top w:w="0" w:type="dxa"/>
              <w:left w:w="70" w:type="dxa"/>
              <w:bottom w:w="0" w:type="dxa"/>
              <w:right w:w="70" w:type="dxa"/>
            </w:tcMar>
            <w:vAlign w:val="center"/>
          </w:tcPr>
          <w:p w14:paraId="56597844" w14:textId="77777777" w:rsidR="00FD493F" w:rsidRPr="00773D43" w:rsidRDefault="00FD493F" w:rsidP="00097EE2">
            <w:pPr>
              <w:jc w:val="right"/>
              <w:rPr>
                <w:rFonts w:ascii="Tahoma" w:hAnsi="Tahoma" w:cs="Tahoma"/>
                <w:color w:val="FFFFFF" w:themeColor="background1"/>
                <w:sz w:val="19"/>
                <w:szCs w:val="19"/>
              </w:rPr>
            </w:pPr>
            <w:r w:rsidRPr="00527DEF">
              <w:rPr>
                <w:rFonts w:ascii="Tahoma" w:hAnsi="Tahoma" w:cs="Tahoma"/>
                <w:color w:val="FFFFFF" w:themeColor="background1"/>
                <w:sz w:val="19"/>
                <w:szCs w:val="19"/>
              </w:rPr>
              <w:t>4.250.530.504,10</w:t>
            </w:r>
          </w:p>
        </w:tc>
      </w:tr>
    </w:tbl>
    <w:p w14:paraId="417CED07" w14:textId="77777777" w:rsidR="00FD493F" w:rsidRDefault="00FD493F" w:rsidP="00FD493F">
      <w:pPr>
        <w:spacing w:after="120"/>
      </w:pPr>
      <w:r>
        <w:rPr>
          <w:rFonts w:ascii="Tahoma" w:hAnsi="Tahoma" w:cs="Tahoma"/>
          <w:b/>
          <w:bCs/>
          <w:color w:val="000000"/>
          <w:sz w:val="18"/>
          <w:szCs w:val="18"/>
        </w:rPr>
        <w:t>Dados obtidos em:</w:t>
      </w:r>
      <w:r>
        <w:rPr>
          <w:rFonts w:ascii="Tahoma" w:hAnsi="Tahoma" w:cs="Tahoma"/>
          <w:color w:val="000000"/>
          <w:sz w:val="18"/>
          <w:szCs w:val="18"/>
        </w:rPr>
        <w:t xml:space="preserve"> fev/2024</w:t>
      </w:r>
    </w:p>
    <w:p w14:paraId="709E02D3" w14:textId="77777777" w:rsidR="00FD493F" w:rsidRDefault="00FD493F" w:rsidP="00FD493F">
      <w:pPr>
        <w:spacing w:after="120"/>
        <w:rPr>
          <w:rFonts w:ascii="Tahoma" w:hAnsi="Tahoma" w:cs="Tahoma"/>
          <w:sz w:val="19"/>
          <w:szCs w:val="19"/>
        </w:rPr>
      </w:pPr>
    </w:p>
    <w:p w14:paraId="62B286D2" w14:textId="77777777" w:rsidR="00FD493F" w:rsidRDefault="00FD493F" w:rsidP="00874657">
      <w:pPr>
        <w:spacing w:after="120"/>
        <w:rPr>
          <w:rFonts w:ascii="Tahoma" w:hAnsi="Tahoma" w:cs="Tahoma"/>
          <w:sz w:val="19"/>
          <w:szCs w:val="19"/>
        </w:rPr>
      </w:pPr>
    </w:p>
    <w:p w14:paraId="4C2DF9D5" w14:textId="77777777" w:rsidR="0026167C" w:rsidRPr="00911315" w:rsidRDefault="0026167C" w:rsidP="0026167C">
      <w:pPr>
        <w:spacing w:before="120" w:after="120" w:line="360" w:lineRule="auto"/>
        <w:rPr>
          <w:rFonts w:ascii="Tahoma" w:hAnsi="Tahoma" w:cs="Tahoma"/>
          <w:color w:val="0098BA"/>
          <w:sz w:val="19"/>
          <w:szCs w:val="19"/>
        </w:rPr>
      </w:pPr>
      <w:r w:rsidRPr="00911315">
        <w:rPr>
          <w:rFonts w:ascii="Tahoma" w:hAnsi="Tahoma" w:cs="Tahoma"/>
          <w:color w:val="0098BA"/>
          <w:sz w:val="19"/>
          <w:szCs w:val="19"/>
        </w:rPr>
        <w:t>Seguro Garantia</w:t>
      </w:r>
    </w:p>
    <w:p w14:paraId="1AD63307" w14:textId="17E41DE2" w:rsidR="0026167C" w:rsidRPr="0026167C" w:rsidRDefault="0026167C" w:rsidP="0026167C">
      <w:pPr>
        <w:spacing w:before="120" w:after="120" w:line="360" w:lineRule="auto"/>
        <w:rPr>
          <w:rFonts w:ascii="Tahoma" w:hAnsi="Tahoma" w:cs="Tahoma"/>
          <w:sz w:val="19"/>
          <w:szCs w:val="19"/>
        </w:rPr>
      </w:pPr>
      <w:r w:rsidRPr="0026167C">
        <w:rPr>
          <w:rFonts w:ascii="Tahoma" w:hAnsi="Tahoma" w:cs="Tahoma"/>
          <w:sz w:val="19"/>
          <w:szCs w:val="19"/>
        </w:rPr>
        <w:t>A modalidade de Seguro Garantia tem crescido como opção para os financiamentos reembolsáveis</w:t>
      </w:r>
      <w:r w:rsidR="0044738A">
        <w:rPr>
          <w:rFonts w:ascii="Tahoma" w:hAnsi="Tahoma" w:cs="Tahoma"/>
          <w:sz w:val="19"/>
          <w:szCs w:val="19"/>
        </w:rPr>
        <w:t xml:space="preserve"> da Finep</w:t>
      </w:r>
      <w:r w:rsidRPr="0026167C">
        <w:rPr>
          <w:rFonts w:ascii="Tahoma" w:hAnsi="Tahoma" w:cs="Tahoma"/>
          <w:sz w:val="19"/>
          <w:szCs w:val="19"/>
        </w:rPr>
        <w:t xml:space="preserve">, sendo menos onerosa para os tomadores de </w:t>
      </w:r>
      <w:r>
        <w:rPr>
          <w:rFonts w:ascii="Tahoma" w:hAnsi="Tahoma" w:cs="Tahoma"/>
          <w:sz w:val="19"/>
          <w:szCs w:val="19"/>
        </w:rPr>
        <w:t>crédito</w:t>
      </w:r>
      <w:r w:rsidRPr="0026167C">
        <w:rPr>
          <w:rFonts w:ascii="Tahoma" w:hAnsi="Tahoma" w:cs="Tahoma"/>
          <w:sz w:val="19"/>
          <w:szCs w:val="19"/>
        </w:rPr>
        <w:t xml:space="preserve"> do que outras opções de garantia financeiras.</w:t>
      </w:r>
    </w:p>
    <w:p w14:paraId="2670546F" w14:textId="77777777" w:rsidR="0026167C" w:rsidRDefault="0026167C" w:rsidP="0026167C">
      <w:pPr>
        <w:spacing w:before="120" w:after="120" w:line="360" w:lineRule="auto"/>
        <w:rPr>
          <w:rFonts w:ascii="Tahoma" w:hAnsi="Tahoma" w:cs="Tahoma"/>
          <w:sz w:val="19"/>
          <w:szCs w:val="19"/>
        </w:rPr>
      </w:pPr>
      <w:r w:rsidRPr="0026167C">
        <w:rPr>
          <w:rFonts w:ascii="Tahoma" w:hAnsi="Tahoma" w:cs="Tahoma"/>
          <w:sz w:val="19"/>
          <w:szCs w:val="19"/>
        </w:rPr>
        <w:t>De forma a trazer segurança neste processo de crescimento, desenvolve</w:t>
      </w:r>
      <w:r>
        <w:rPr>
          <w:rFonts w:ascii="Tahoma" w:hAnsi="Tahoma" w:cs="Tahoma"/>
          <w:sz w:val="19"/>
          <w:szCs w:val="19"/>
        </w:rPr>
        <w:t>mos</w:t>
      </w:r>
      <w:r w:rsidRPr="0026167C">
        <w:rPr>
          <w:rFonts w:ascii="Tahoma" w:hAnsi="Tahoma" w:cs="Tahoma"/>
          <w:sz w:val="19"/>
          <w:szCs w:val="19"/>
        </w:rPr>
        <w:t xml:space="preserve"> uma </w:t>
      </w:r>
      <w:r>
        <w:rPr>
          <w:rFonts w:ascii="Tahoma" w:hAnsi="Tahoma" w:cs="Tahoma"/>
          <w:sz w:val="19"/>
          <w:szCs w:val="19"/>
        </w:rPr>
        <w:t>m</w:t>
      </w:r>
      <w:r w:rsidRPr="0026167C">
        <w:rPr>
          <w:rFonts w:ascii="Tahoma" w:hAnsi="Tahoma" w:cs="Tahoma"/>
          <w:sz w:val="19"/>
          <w:szCs w:val="19"/>
        </w:rPr>
        <w:t xml:space="preserve">etodologia de avaliação de limites para </w:t>
      </w:r>
      <w:r>
        <w:rPr>
          <w:rFonts w:ascii="Tahoma" w:hAnsi="Tahoma" w:cs="Tahoma"/>
          <w:sz w:val="19"/>
          <w:szCs w:val="19"/>
        </w:rPr>
        <w:t>s</w:t>
      </w:r>
      <w:r w:rsidRPr="0026167C">
        <w:rPr>
          <w:rFonts w:ascii="Tahoma" w:hAnsi="Tahoma" w:cs="Tahoma"/>
          <w:sz w:val="19"/>
          <w:szCs w:val="19"/>
        </w:rPr>
        <w:t>eguradoras, que estabelece critérios objetivos de categorização e limites, tanto para a modalidade quanto para as instituições emissoras.</w:t>
      </w:r>
    </w:p>
    <w:p w14:paraId="3E63E557" w14:textId="77777777" w:rsidR="0026167C" w:rsidRDefault="0026167C" w:rsidP="0026167C">
      <w:pPr>
        <w:spacing w:before="120" w:after="120" w:line="360" w:lineRule="auto"/>
        <w:rPr>
          <w:rFonts w:ascii="Tahoma" w:hAnsi="Tahoma" w:cs="Tahoma"/>
          <w:sz w:val="19"/>
          <w:szCs w:val="19"/>
        </w:rPr>
      </w:pPr>
    </w:p>
    <w:p w14:paraId="2254D6B0" w14:textId="77777777" w:rsidR="00E753EC" w:rsidRDefault="00E753EC" w:rsidP="00E753EC">
      <w:pPr>
        <w:spacing w:before="120" w:after="120" w:line="360" w:lineRule="auto"/>
        <w:jc w:val="both"/>
        <w:textAlignment w:val="baseline"/>
        <w:rPr>
          <w:rFonts w:ascii="Tahoma" w:hAnsi="Tahoma" w:cs="Tahoma"/>
          <w:sz w:val="19"/>
          <w:szCs w:val="19"/>
        </w:rPr>
      </w:pPr>
      <w:r>
        <w:rPr>
          <w:rFonts w:ascii="Tahoma" w:hAnsi="Tahoma" w:cs="Tahoma"/>
          <w:sz w:val="19"/>
          <w:szCs w:val="19"/>
        </w:rPr>
        <w:t xml:space="preserve">Na </w:t>
      </w:r>
      <w:r w:rsidRPr="00E060F7">
        <w:rPr>
          <w:rFonts w:ascii="Tahoma" w:hAnsi="Tahoma" w:cs="Tahoma"/>
          <w:color w:val="0098BA"/>
          <w:sz w:val="19"/>
          <w:szCs w:val="19"/>
        </w:rPr>
        <w:t xml:space="preserve">operação </w:t>
      </w:r>
      <w:r>
        <w:rPr>
          <w:rFonts w:ascii="Tahoma" w:hAnsi="Tahoma" w:cs="Tahoma"/>
          <w:color w:val="0098BA"/>
          <w:sz w:val="19"/>
          <w:szCs w:val="19"/>
        </w:rPr>
        <w:t>descentralizada</w:t>
      </w:r>
      <w:r>
        <w:rPr>
          <w:rFonts w:ascii="Tahoma" w:hAnsi="Tahoma" w:cs="Tahoma"/>
          <w:sz w:val="19"/>
          <w:szCs w:val="19"/>
        </w:rPr>
        <w:t>, os agentes financeiros credenciados a</w:t>
      </w:r>
      <w:r w:rsidRPr="00EA3EE5">
        <w:rPr>
          <w:rFonts w:ascii="Tahoma" w:hAnsi="Tahoma" w:cs="Tahoma"/>
          <w:sz w:val="19"/>
          <w:szCs w:val="19"/>
        </w:rPr>
        <w:t>ssumem integralmente o risco da operação</w:t>
      </w:r>
      <w:r>
        <w:rPr>
          <w:rFonts w:ascii="Tahoma" w:hAnsi="Tahoma" w:cs="Tahoma"/>
          <w:sz w:val="19"/>
          <w:szCs w:val="19"/>
        </w:rPr>
        <w:t xml:space="preserve"> e</w:t>
      </w:r>
      <w:r w:rsidRPr="00EA3EE5">
        <w:rPr>
          <w:rFonts w:ascii="Tahoma" w:hAnsi="Tahoma" w:cs="Tahoma"/>
          <w:sz w:val="19"/>
          <w:szCs w:val="19"/>
        </w:rPr>
        <w:t xml:space="preserve"> </w:t>
      </w:r>
      <w:r>
        <w:rPr>
          <w:rFonts w:ascii="Tahoma" w:hAnsi="Tahoma" w:cs="Tahoma"/>
          <w:sz w:val="19"/>
          <w:szCs w:val="19"/>
        </w:rPr>
        <w:t>as garantias são exigidas pelos agentes diretamente às empresas. A constituição dessas garantias é dificultada pela ausência de ativos para utilizar de garantias reais e pela concessão de garantias financeiras para MPMEs ser muito custosa ou até inviável.</w:t>
      </w:r>
    </w:p>
    <w:p w14:paraId="2BBCD8FC" w14:textId="77777777" w:rsidR="00E753EC" w:rsidRPr="00C04BCF" w:rsidRDefault="00E753EC" w:rsidP="00E753EC">
      <w:pPr>
        <w:autoSpaceDE w:val="0"/>
        <w:spacing w:before="120" w:after="120" w:line="360" w:lineRule="auto"/>
        <w:textAlignment w:val="center"/>
        <w:rPr>
          <w:rFonts w:ascii="Tahoma" w:hAnsi="Tahoma" w:cs="Tahoma"/>
          <w:sz w:val="19"/>
          <w:szCs w:val="19"/>
        </w:rPr>
      </w:pPr>
      <w:r>
        <w:rPr>
          <w:rFonts w:ascii="Tahoma" w:hAnsi="Tahoma" w:cs="Tahoma"/>
          <w:sz w:val="19"/>
          <w:szCs w:val="19"/>
        </w:rPr>
        <w:t>De forma a mitigar esta dificuldade e incrementar as operações descentralizadas, c</w:t>
      </w:r>
      <w:r w:rsidRPr="00C04BCF">
        <w:rPr>
          <w:rFonts w:ascii="Tahoma" w:hAnsi="Tahoma" w:cs="Tahoma"/>
          <w:sz w:val="19"/>
          <w:szCs w:val="19"/>
        </w:rPr>
        <w:t>oncluí</w:t>
      </w:r>
      <w:r>
        <w:rPr>
          <w:rFonts w:ascii="Tahoma" w:hAnsi="Tahoma" w:cs="Tahoma"/>
          <w:sz w:val="19"/>
          <w:szCs w:val="19"/>
        </w:rPr>
        <w:t xml:space="preserve">mos </w:t>
      </w:r>
      <w:r w:rsidRPr="00C04BCF">
        <w:rPr>
          <w:rFonts w:ascii="Tahoma" w:hAnsi="Tahoma" w:cs="Tahoma"/>
          <w:sz w:val="19"/>
          <w:szCs w:val="19"/>
        </w:rPr>
        <w:t xml:space="preserve">as tratativas </w:t>
      </w:r>
      <w:r>
        <w:rPr>
          <w:rFonts w:ascii="Tahoma" w:hAnsi="Tahoma" w:cs="Tahoma"/>
          <w:sz w:val="19"/>
          <w:szCs w:val="19"/>
        </w:rPr>
        <w:t>com o Serviço Brasileiro de Apoio às Micro e Pequenas Empresas (Sebrae)</w:t>
      </w:r>
      <w:r w:rsidRPr="00C04BCF">
        <w:rPr>
          <w:rFonts w:ascii="Tahoma" w:hAnsi="Tahoma" w:cs="Tahoma"/>
          <w:sz w:val="19"/>
          <w:szCs w:val="19"/>
        </w:rPr>
        <w:t xml:space="preserve"> para o aporte no primeiro Fundo Garantidor focado em </w:t>
      </w:r>
      <w:r>
        <w:rPr>
          <w:rFonts w:ascii="Tahoma" w:hAnsi="Tahoma" w:cs="Tahoma"/>
          <w:sz w:val="19"/>
          <w:szCs w:val="19"/>
        </w:rPr>
        <w:t>i</w:t>
      </w:r>
      <w:r w:rsidRPr="00C04BCF">
        <w:rPr>
          <w:rFonts w:ascii="Tahoma" w:hAnsi="Tahoma" w:cs="Tahoma"/>
          <w:sz w:val="19"/>
          <w:szCs w:val="19"/>
        </w:rPr>
        <w:t xml:space="preserve">novação do Brasil, o </w:t>
      </w:r>
      <w:r w:rsidRPr="003A3F5D">
        <w:rPr>
          <w:rFonts w:ascii="Tahoma" w:hAnsi="Tahoma" w:cs="Tahoma"/>
          <w:color w:val="00B0F0"/>
          <w:sz w:val="19"/>
          <w:szCs w:val="19"/>
        </w:rPr>
        <w:t>F</w:t>
      </w:r>
      <w:r>
        <w:rPr>
          <w:rFonts w:ascii="Tahoma" w:hAnsi="Tahoma" w:cs="Tahoma"/>
          <w:color w:val="00B0F0"/>
          <w:sz w:val="19"/>
          <w:szCs w:val="19"/>
        </w:rPr>
        <w:t>ampe</w:t>
      </w:r>
      <w:r w:rsidRPr="003A3F5D">
        <w:rPr>
          <w:rFonts w:ascii="Tahoma" w:hAnsi="Tahoma" w:cs="Tahoma"/>
          <w:color w:val="00B0F0"/>
          <w:sz w:val="19"/>
          <w:szCs w:val="19"/>
        </w:rPr>
        <w:t xml:space="preserve"> Inovacred</w:t>
      </w:r>
      <w:r>
        <w:rPr>
          <w:rFonts w:ascii="Tahoma" w:hAnsi="Tahoma" w:cs="Tahoma"/>
          <w:color w:val="00B0F0"/>
          <w:sz w:val="19"/>
          <w:szCs w:val="19"/>
        </w:rPr>
        <w:t xml:space="preserve"> </w:t>
      </w:r>
      <w:r w:rsidRPr="003A3F5D">
        <w:rPr>
          <w:rFonts w:ascii="Tahoma" w:hAnsi="Tahoma" w:cs="Tahoma"/>
          <w:sz w:val="19"/>
          <w:szCs w:val="19"/>
        </w:rPr>
        <w:t>(Fundo de Aval à Micro e Pequena Empresa)</w:t>
      </w:r>
      <w:r w:rsidRPr="00C04BCF">
        <w:rPr>
          <w:rFonts w:ascii="Tahoma" w:hAnsi="Tahoma" w:cs="Tahoma"/>
          <w:sz w:val="19"/>
          <w:szCs w:val="19"/>
        </w:rPr>
        <w:t>. Construído para garantir os financiamentos descentralizados da Finep/MCTI, o fundo terá patrimônio inicial de R$ 160 milhões, sendo R$ 80 milhões da Finep/MCTI e R$ 80 milhões do Sebrae.</w:t>
      </w:r>
    </w:p>
    <w:p w14:paraId="06DCF41F" w14:textId="77777777" w:rsidR="00E753EC" w:rsidRPr="00C04BCF" w:rsidRDefault="00E753EC" w:rsidP="00E753EC">
      <w:pPr>
        <w:spacing w:before="120" w:after="120" w:line="360" w:lineRule="auto"/>
        <w:textAlignment w:val="baseline"/>
        <w:rPr>
          <w:rFonts w:ascii="Tahoma" w:hAnsi="Tahoma" w:cs="Tahoma"/>
          <w:sz w:val="19"/>
          <w:szCs w:val="19"/>
        </w:rPr>
      </w:pPr>
      <w:r w:rsidRPr="00C04BCF">
        <w:rPr>
          <w:rFonts w:ascii="Tahoma" w:hAnsi="Tahoma" w:cs="Tahoma"/>
          <w:sz w:val="19"/>
          <w:szCs w:val="19"/>
        </w:rPr>
        <w:t>O grande diferencial do F</w:t>
      </w:r>
      <w:r>
        <w:rPr>
          <w:rFonts w:ascii="Tahoma" w:hAnsi="Tahoma" w:cs="Tahoma"/>
          <w:sz w:val="19"/>
          <w:szCs w:val="19"/>
        </w:rPr>
        <w:t xml:space="preserve">ampe </w:t>
      </w:r>
      <w:r w:rsidRPr="00C04BCF">
        <w:rPr>
          <w:rFonts w:ascii="Tahoma" w:hAnsi="Tahoma" w:cs="Tahoma"/>
          <w:sz w:val="19"/>
          <w:szCs w:val="19"/>
        </w:rPr>
        <w:t>Inovacred é permitir a pequenos empreendedores contornarem um de seus principais desafios – a apresentação de garantias de crédito. Por meio do Fundo, os interessados poderão adquirir a garantia de que necessitam d</w:t>
      </w:r>
      <w:r>
        <w:rPr>
          <w:rFonts w:ascii="Tahoma" w:hAnsi="Tahoma" w:cs="Tahoma"/>
          <w:sz w:val="19"/>
          <w:szCs w:val="19"/>
        </w:rPr>
        <w:t>e noss</w:t>
      </w:r>
      <w:r w:rsidRPr="00C04BCF">
        <w:rPr>
          <w:rFonts w:ascii="Tahoma" w:hAnsi="Tahoma" w:cs="Tahoma"/>
          <w:sz w:val="19"/>
          <w:szCs w:val="19"/>
        </w:rPr>
        <w:t xml:space="preserve">os agentes financeiros a um custo máximo de concessão de 5% da operação. Em contrapartida, o Fundo cobrirá até 10% da inadimplência das operações (o chamado stop-loss). Serão apoiadas empresas com faturamento de até R$ 4,8 milhões, em projetos de até R$ 1,5 milhão. As operações poderão ter prazo de até </w:t>
      </w:r>
      <w:r>
        <w:rPr>
          <w:rFonts w:ascii="Tahoma" w:hAnsi="Tahoma" w:cs="Tahoma"/>
          <w:sz w:val="19"/>
          <w:szCs w:val="19"/>
        </w:rPr>
        <w:t>dez</w:t>
      </w:r>
      <w:r w:rsidRPr="00C04BCF">
        <w:rPr>
          <w:rFonts w:ascii="Tahoma" w:hAnsi="Tahoma" w:cs="Tahoma"/>
          <w:sz w:val="19"/>
          <w:szCs w:val="19"/>
        </w:rPr>
        <w:t xml:space="preserve"> anos.</w:t>
      </w:r>
    </w:p>
    <w:p w14:paraId="13F1C727" w14:textId="4BD2B18B" w:rsidR="00E753EC" w:rsidRPr="00C04BCF" w:rsidRDefault="00E753EC" w:rsidP="00E753EC">
      <w:pPr>
        <w:spacing w:before="120" w:after="120" w:line="360" w:lineRule="auto"/>
        <w:textAlignment w:val="baseline"/>
        <w:rPr>
          <w:rFonts w:ascii="Tahoma" w:hAnsi="Tahoma" w:cs="Tahoma"/>
          <w:sz w:val="19"/>
          <w:szCs w:val="19"/>
        </w:rPr>
      </w:pPr>
      <w:r w:rsidRPr="00C04BCF">
        <w:rPr>
          <w:rFonts w:ascii="Tahoma" w:hAnsi="Tahoma" w:cs="Tahoma"/>
          <w:sz w:val="19"/>
          <w:szCs w:val="19"/>
        </w:rPr>
        <w:lastRenderedPageBreak/>
        <w:t>O F</w:t>
      </w:r>
      <w:r>
        <w:rPr>
          <w:rFonts w:ascii="Tahoma" w:hAnsi="Tahoma" w:cs="Tahoma"/>
          <w:sz w:val="19"/>
          <w:szCs w:val="19"/>
        </w:rPr>
        <w:t>ampe</w:t>
      </w:r>
      <w:r w:rsidRPr="00C04BCF">
        <w:rPr>
          <w:rFonts w:ascii="Tahoma" w:hAnsi="Tahoma" w:cs="Tahoma"/>
          <w:sz w:val="19"/>
          <w:szCs w:val="19"/>
        </w:rPr>
        <w:t xml:space="preserve"> Inovacred vai operar de forma descentralizada através de agentes financeiros e tem o potencial de mudar a realidade dos pequenos negócios inovadores do Brasil. A expectativa é de que o Fundo possa apoiar mais de 1</w:t>
      </w:r>
      <w:r>
        <w:rPr>
          <w:rFonts w:ascii="Tahoma" w:hAnsi="Tahoma" w:cs="Tahoma"/>
          <w:sz w:val="19"/>
          <w:szCs w:val="19"/>
        </w:rPr>
        <w:t>.</w:t>
      </w:r>
      <w:r w:rsidRPr="00C04BCF">
        <w:rPr>
          <w:rFonts w:ascii="Tahoma" w:hAnsi="Tahoma" w:cs="Tahoma"/>
          <w:sz w:val="19"/>
          <w:szCs w:val="19"/>
        </w:rPr>
        <w:t>000 empresas, podendo chegar a até R$ 2 bilhões em operações de crédito garantidas.</w:t>
      </w:r>
    </w:p>
    <w:p w14:paraId="3D71E482" w14:textId="77777777" w:rsidR="00E753EC" w:rsidRDefault="00E753EC" w:rsidP="00E753EC">
      <w:pPr>
        <w:spacing w:before="120" w:after="120" w:line="360" w:lineRule="auto"/>
        <w:textAlignment w:val="baseline"/>
      </w:pPr>
    </w:p>
    <w:p w14:paraId="0A1BD674" w14:textId="57D3F6DC" w:rsidR="00D765C6" w:rsidRDefault="00D765C6" w:rsidP="00D765C6">
      <w:pPr>
        <w:spacing w:before="120" w:after="120" w:line="360" w:lineRule="auto"/>
        <w:rPr>
          <w:rFonts w:ascii="Tahoma" w:eastAsiaTheme="minorHAnsi" w:hAnsi="Tahoma" w:cs="Tahoma"/>
          <w:color w:val="0098BA"/>
          <w:sz w:val="19"/>
          <w:szCs w:val="19"/>
          <w:lang w:eastAsia="en-US"/>
        </w:rPr>
      </w:pPr>
      <w:r>
        <w:rPr>
          <w:rFonts w:ascii="Tahoma" w:eastAsiaTheme="minorHAnsi" w:hAnsi="Tahoma" w:cs="Tahoma"/>
          <w:color w:val="0098BA"/>
          <w:sz w:val="19"/>
          <w:szCs w:val="19"/>
          <w:lang w:eastAsia="en-US"/>
        </w:rPr>
        <w:t>Ações em destaque – crédito descentralizado</w:t>
      </w:r>
    </w:p>
    <w:p w14:paraId="1B5D973E" w14:textId="33227F6F" w:rsidR="00E753EC" w:rsidRDefault="00C561FC" w:rsidP="00E753EC">
      <w:pPr>
        <w:spacing w:before="120" w:after="120" w:line="360" w:lineRule="auto"/>
        <w:textAlignment w:val="baseline"/>
        <w:rPr>
          <w:rFonts w:ascii="Tahoma" w:hAnsi="Tahoma" w:cs="Tahoma"/>
          <w:sz w:val="19"/>
          <w:szCs w:val="19"/>
        </w:rPr>
      </w:pPr>
      <w:r w:rsidRPr="00357C23">
        <w:rPr>
          <w:rFonts w:ascii="Tahoma" w:hAnsi="Tahoma" w:cs="Tahoma"/>
          <w:sz w:val="19"/>
          <w:szCs w:val="19"/>
        </w:rPr>
        <w:t>Sobre os resultados</w:t>
      </w:r>
      <w:r w:rsidR="0027209C">
        <w:rPr>
          <w:rFonts w:ascii="Tahoma" w:hAnsi="Tahoma" w:cs="Tahoma"/>
          <w:sz w:val="19"/>
          <w:szCs w:val="19"/>
        </w:rPr>
        <w:t xml:space="preserve"> do crédito descentralizado</w:t>
      </w:r>
      <w:r w:rsidRPr="00357C23">
        <w:rPr>
          <w:rFonts w:ascii="Tahoma" w:hAnsi="Tahoma" w:cs="Tahoma"/>
          <w:sz w:val="19"/>
          <w:szCs w:val="19"/>
        </w:rPr>
        <w:t xml:space="preserve">, além do </w:t>
      </w:r>
      <w:r w:rsidR="00357C23">
        <w:rPr>
          <w:rFonts w:ascii="Tahoma" w:hAnsi="Tahoma" w:cs="Tahoma"/>
          <w:sz w:val="19"/>
          <w:szCs w:val="19"/>
        </w:rPr>
        <w:t>crescimento dos</w:t>
      </w:r>
      <w:r w:rsidRPr="00357C23">
        <w:rPr>
          <w:rFonts w:ascii="Tahoma" w:hAnsi="Tahoma" w:cs="Tahoma"/>
          <w:sz w:val="19"/>
          <w:szCs w:val="19"/>
        </w:rPr>
        <w:t xml:space="preserve"> volumes de contratação e liberação</w:t>
      </w:r>
      <w:r w:rsidR="00357C23">
        <w:rPr>
          <w:rFonts w:ascii="Tahoma" w:hAnsi="Tahoma" w:cs="Tahoma"/>
          <w:sz w:val="19"/>
          <w:szCs w:val="19"/>
        </w:rPr>
        <w:t>,</w:t>
      </w:r>
      <w:r w:rsidRPr="00357C23">
        <w:rPr>
          <w:rFonts w:ascii="Tahoma" w:hAnsi="Tahoma" w:cs="Tahoma"/>
          <w:sz w:val="19"/>
          <w:szCs w:val="19"/>
        </w:rPr>
        <w:t xml:space="preserve"> vale destacar a expansão das operações para as regiões norte e nordeste do Brasil</w:t>
      </w:r>
      <w:r w:rsidR="00357C23">
        <w:rPr>
          <w:rFonts w:ascii="Tahoma" w:hAnsi="Tahoma" w:cs="Tahoma"/>
          <w:sz w:val="19"/>
          <w:szCs w:val="19"/>
        </w:rPr>
        <w:t xml:space="preserve"> em 2023, especialmente para os estados do Amazonas, Roraima e Piauí, </w:t>
      </w:r>
      <w:r w:rsidRPr="00357C23">
        <w:rPr>
          <w:rFonts w:ascii="Tahoma" w:hAnsi="Tahoma" w:cs="Tahoma"/>
          <w:sz w:val="19"/>
          <w:szCs w:val="19"/>
        </w:rPr>
        <w:t>onde foram realizadas as primeiras operações.</w:t>
      </w:r>
      <w:r w:rsidR="00435708">
        <w:rPr>
          <w:rFonts w:ascii="Tahoma" w:hAnsi="Tahoma" w:cs="Tahoma"/>
          <w:sz w:val="19"/>
          <w:szCs w:val="19"/>
        </w:rPr>
        <w:t xml:space="preserve"> Para isso, foi importante o credenciamento, realizado nos últimos anos, de agentes com operação regional, como Cresol Baser</w:t>
      </w:r>
      <w:r w:rsidR="0027209C">
        <w:rPr>
          <w:rFonts w:ascii="Tahoma" w:hAnsi="Tahoma" w:cs="Tahoma"/>
          <w:sz w:val="19"/>
          <w:szCs w:val="19"/>
        </w:rPr>
        <w:t xml:space="preserve"> e</w:t>
      </w:r>
      <w:r w:rsidR="00435708">
        <w:rPr>
          <w:rFonts w:ascii="Tahoma" w:hAnsi="Tahoma" w:cs="Tahoma"/>
          <w:sz w:val="19"/>
          <w:szCs w:val="19"/>
        </w:rPr>
        <w:t xml:space="preserve"> Cresol Central, e nacional, como </w:t>
      </w:r>
      <w:r w:rsidR="0027209C">
        <w:rPr>
          <w:rFonts w:ascii="Tahoma" w:hAnsi="Tahoma" w:cs="Tahoma"/>
          <w:sz w:val="19"/>
          <w:szCs w:val="19"/>
        </w:rPr>
        <w:t>o Banco</w:t>
      </w:r>
      <w:r w:rsidR="00435708">
        <w:rPr>
          <w:rFonts w:ascii="Tahoma" w:hAnsi="Tahoma" w:cs="Tahoma"/>
          <w:sz w:val="19"/>
          <w:szCs w:val="19"/>
        </w:rPr>
        <w:t xml:space="preserve"> Sofisa.</w:t>
      </w:r>
    </w:p>
    <w:p w14:paraId="7469A92D" w14:textId="77777777" w:rsidR="0027209C" w:rsidRDefault="0027209C" w:rsidP="00E753EC">
      <w:pPr>
        <w:spacing w:before="120" w:after="120" w:line="360" w:lineRule="auto"/>
        <w:textAlignment w:val="baseline"/>
        <w:rPr>
          <w:rFonts w:ascii="Tahoma" w:hAnsi="Tahoma" w:cs="Tahoma"/>
          <w:sz w:val="19"/>
          <w:szCs w:val="19"/>
        </w:rPr>
      </w:pPr>
    </w:p>
    <w:p w14:paraId="3ABA0720" w14:textId="39E329CA" w:rsidR="000920CF" w:rsidRPr="002202FB" w:rsidRDefault="002202FB" w:rsidP="0027209C">
      <w:pPr>
        <w:spacing w:after="60"/>
        <w:jc w:val="center"/>
        <w:textAlignment w:val="baseline"/>
        <w:rPr>
          <w:rFonts w:ascii="Tahoma" w:hAnsi="Tahoma" w:cs="Tahoma"/>
          <w:color w:val="0098BA"/>
          <w:sz w:val="19"/>
          <w:szCs w:val="19"/>
        </w:rPr>
      </w:pPr>
      <w:r w:rsidRPr="002202FB">
        <w:rPr>
          <w:rFonts w:ascii="Tahoma" w:hAnsi="Tahoma" w:cs="Tahoma"/>
          <w:color w:val="0098BA"/>
          <w:sz w:val="19"/>
          <w:szCs w:val="19"/>
        </w:rPr>
        <w:t>Crédito descentralizado – Número de contratos e valor financiado por agente e UF da empresa - 2023</w:t>
      </w:r>
    </w:p>
    <w:p w14:paraId="19DA0115" w14:textId="1E5EAFD6" w:rsidR="000920CF" w:rsidRDefault="000920CF" w:rsidP="0027209C">
      <w:pPr>
        <w:ind w:right="904"/>
        <w:jc w:val="right"/>
      </w:pPr>
      <w:r>
        <w:rPr>
          <w:rFonts w:ascii="Tahoma" w:hAnsi="Tahoma" w:cs="Tahoma"/>
          <w:bCs/>
          <w:color w:val="000000"/>
          <w:sz w:val="18"/>
          <w:szCs w:val="18"/>
        </w:rPr>
        <w:t>Posição em 31/12/2023</w:t>
      </w:r>
    </w:p>
    <w:tbl>
      <w:tblPr>
        <w:tblW w:w="7372" w:type="dxa"/>
        <w:jc w:val="center"/>
        <w:tblCellMar>
          <w:left w:w="70" w:type="dxa"/>
          <w:right w:w="70" w:type="dxa"/>
        </w:tblCellMar>
        <w:tblLook w:val="04A0" w:firstRow="1" w:lastRow="0" w:firstColumn="1" w:lastColumn="0" w:noHBand="0" w:noVBand="1"/>
      </w:tblPr>
      <w:tblGrid>
        <w:gridCol w:w="3686"/>
        <w:gridCol w:w="1843"/>
        <w:gridCol w:w="1843"/>
      </w:tblGrid>
      <w:tr w:rsidR="00651A7B" w:rsidRPr="0073723C" w14:paraId="5C664B32" w14:textId="76143EE4" w:rsidTr="0027209C">
        <w:trPr>
          <w:trHeight w:val="397"/>
          <w:tblHeader/>
          <w:jc w:val="center"/>
        </w:trPr>
        <w:tc>
          <w:tcPr>
            <w:tcW w:w="3686" w:type="dxa"/>
            <w:tcBorders>
              <w:top w:val="nil"/>
              <w:left w:val="nil"/>
              <w:bottom w:val="single" w:sz="4" w:space="0" w:color="8EA9DB"/>
              <w:right w:val="nil"/>
            </w:tcBorders>
            <w:shd w:val="clear" w:color="auto" w:fill="0098BA"/>
            <w:noWrap/>
            <w:vAlign w:val="center"/>
            <w:hideMark/>
          </w:tcPr>
          <w:p w14:paraId="344037CB" w14:textId="17CB5F48" w:rsidR="00651A7B" w:rsidRPr="00EE7079" w:rsidRDefault="00651A7B" w:rsidP="00EE7079">
            <w:pPr>
              <w:rPr>
                <w:rFonts w:ascii="Tahoma" w:hAnsi="Tahoma" w:cs="Tahoma"/>
                <w:color w:val="FFFFFF" w:themeColor="background1"/>
                <w:sz w:val="17"/>
                <w:szCs w:val="17"/>
              </w:rPr>
            </w:pPr>
            <w:r w:rsidRPr="0073723C">
              <w:rPr>
                <w:rFonts w:ascii="Tahoma" w:hAnsi="Tahoma" w:cs="Tahoma"/>
                <w:color w:val="FFFFFF" w:themeColor="background1"/>
                <w:sz w:val="17"/>
                <w:szCs w:val="17"/>
              </w:rPr>
              <w:t>UF da empresa beneficiária e agentes</w:t>
            </w:r>
          </w:p>
        </w:tc>
        <w:tc>
          <w:tcPr>
            <w:tcW w:w="1843" w:type="dxa"/>
            <w:tcBorders>
              <w:top w:val="nil"/>
              <w:left w:val="nil"/>
              <w:bottom w:val="single" w:sz="4" w:space="0" w:color="8EA9DB"/>
              <w:right w:val="nil"/>
            </w:tcBorders>
            <w:shd w:val="clear" w:color="auto" w:fill="0098BA"/>
            <w:noWrap/>
            <w:vAlign w:val="center"/>
            <w:hideMark/>
          </w:tcPr>
          <w:p w14:paraId="1EA928E9" w14:textId="31F00C88" w:rsidR="00651A7B" w:rsidRPr="00EE7079" w:rsidRDefault="00651A7B" w:rsidP="00EE7079">
            <w:pPr>
              <w:jc w:val="right"/>
              <w:rPr>
                <w:rFonts w:ascii="Tahoma" w:hAnsi="Tahoma" w:cs="Tahoma"/>
                <w:color w:val="FFFFFF" w:themeColor="background1"/>
                <w:sz w:val="17"/>
                <w:szCs w:val="17"/>
              </w:rPr>
            </w:pPr>
            <w:r w:rsidRPr="0073723C">
              <w:rPr>
                <w:rFonts w:ascii="Tahoma" w:hAnsi="Tahoma" w:cs="Tahoma"/>
                <w:color w:val="FFFFFF" w:themeColor="background1"/>
                <w:sz w:val="17"/>
                <w:szCs w:val="17"/>
              </w:rPr>
              <w:t>Número de contratos</w:t>
            </w:r>
          </w:p>
        </w:tc>
        <w:tc>
          <w:tcPr>
            <w:tcW w:w="1843" w:type="dxa"/>
            <w:tcBorders>
              <w:top w:val="nil"/>
              <w:left w:val="nil"/>
              <w:bottom w:val="single" w:sz="4" w:space="0" w:color="8EA9DB"/>
              <w:right w:val="nil"/>
            </w:tcBorders>
            <w:shd w:val="clear" w:color="auto" w:fill="0098BA"/>
            <w:noWrap/>
            <w:vAlign w:val="center"/>
            <w:hideMark/>
          </w:tcPr>
          <w:p w14:paraId="5A933508" w14:textId="5B6BCA1E" w:rsidR="00651A7B" w:rsidRPr="00EE7079" w:rsidRDefault="00651A7B" w:rsidP="00EE7079">
            <w:pPr>
              <w:jc w:val="right"/>
              <w:rPr>
                <w:rFonts w:ascii="Tahoma" w:hAnsi="Tahoma" w:cs="Tahoma"/>
                <w:color w:val="FFFFFF" w:themeColor="background1"/>
                <w:sz w:val="17"/>
                <w:szCs w:val="17"/>
              </w:rPr>
            </w:pPr>
            <w:r w:rsidRPr="00EE7079">
              <w:rPr>
                <w:rFonts w:ascii="Tahoma" w:hAnsi="Tahoma" w:cs="Tahoma"/>
                <w:color w:val="FFFFFF" w:themeColor="background1"/>
                <w:sz w:val="17"/>
                <w:szCs w:val="17"/>
              </w:rPr>
              <w:t>Valor</w:t>
            </w:r>
            <w:r w:rsidRPr="0073723C">
              <w:rPr>
                <w:rFonts w:ascii="Tahoma" w:hAnsi="Tahoma" w:cs="Tahoma"/>
                <w:color w:val="FFFFFF" w:themeColor="background1"/>
                <w:sz w:val="17"/>
                <w:szCs w:val="17"/>
              </w:rPr>
              <w:t xml:space="preserve"> </w:t>
            </w:r>
            <w:r w:rsidRPr="00EE7079">
              <w:rPr>
                <w:rFonts w:ascii="Tahoma" w:hAnsi="Tahoma" w:cs="Tahoma"/>
                <w:color w:val="FFFFFF" w:themeColor="background1"/>
                <w:sz w:val="17"/>
                <w:szCs w:val="17"/>
              </w:rPr>
              <w:t>Financiado</w:t>
            </w:r>
            <w:r w:rsidRPr="0073723C">
              <w:rPr>
                <w:rFonts w:ascii="Tahoma" w:hAnsi="Tahoma" w:cs="Tahoma"/>
                <w:color w:val="FFFFFF" w:themeColor="background1"/>
                <w:sz w:val="17"/>
                <w:szCs w:val="17"/>
              </w:rPr>
              <w:t xml:space="preserve"> (R$)</w:t>
            </w:r>
          </w:p>
        </w:tc>
      </w:tr>
      <w:tr w:rsidR="00651A7B" w:rsidRPr="00EE7079" w14:paraId="57250616" w14:textId="6118A173" w:rsidTr="0027209C">
        <w:trPr>
          <w:trHeight w:val="283"/>
          <w:jc w:val="center"/>
        </w:trPr>
        <w:tc>
          <w:tcPr>
            <w:tcW w:w="3686" w:type="dxa"/>
            <w:tcBorders>
              <w:top w:val="nil"/>
              <w:left w:val="nil"/>
              <w:bottom w:val="single" w:sz="4" w:space="0" w:color="8EA9DB"/>
              <w:right w:val="nil"/>
            </w:tcBorders>
            <w:shd w:val="clear" w:color="auto" w:fill="DEEAF6" w:themeFill="accent5" w:themeFillTint="33"/>
            <w:noWrap/>
            <w:vAlign w:val="center"/>
            <w:hideMark/>
          </w:tcPr>
          <w:p w14:paraId="5B5FAE74"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AM</w:t>
            </w:r>
          </w:p>
        </w:tc>
        <w:tc>
          <w:tcPr>
            <w:tcW w:w="1843" w:type="dxa"/>
            <w:tcBorders>
              <w:top w:val="nil"/>
              <w:left w:val="nil"/>
              <w:bottom w:val="single" w:sz="4" w:space="0" w:color="8EA9DB"/>
              <w:right w:val="nil"/>
            </w:tcBorders>
            <w:shd w:val="clear" w:color="auto" w:fill="DEEAF6" w:themeFill="accent5" w:themeFillTint="33"/>
            <w:noWrap/>
            <w:vAlign w:val="center"/>
            <w:hideMark/>
          </w:tcPr>
          <w:p w14:paraId="00B48A8F"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3</w:t>
            </w:r>
          </w:p>
        </w:tc>
        <w:tc>
          <w:tcPr>
            <w:tcW w:w="1843" w:type="dxa"/>
            <w:tcBorders>
              <w:top w:val="nil"/>
              <w:left w:val="nil"/>
              <w:bottom w:val="single" w:sz="4" w:space="0" w:color="8EA9DB"/>
              <w:right w:val="nil"/>
            </w:tcBorders>
            <w:shd w:val="clear" w:color="auto" w:fill="DEEAF6" w:themeFill="accent5" w:themeFillTint="33"/>
            <w:noWrap/>
            <w:vAlign w:val="center"/>
            <w:hideMark/>
          </w:tcPr>
          <w:p w14:paraId="29345170" w14:textId="23B71847"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23.570.000,00</w:t>
            </w:r>
          </w:p>
        </w:tc>
      </w:tr>
      <w:tr w:rsidR="00651A7B" w:rsidRPr="00EE7079" w14:paraId="4B2A2E99" w14:textId="765540B8" w:rsidTr="0027209C">
        <w:trPr>
          <w:trHeight w:val="283"/>
          <w:jc w:val="center"/>
        </w:trPr>
        <w:tc>
          <w:tcPr>
            <w:tcW w:w="3686" w:type="dxa"/>
            <w:tcBorders>
              <w:top w:val="nil"/>
              <w:left w:val="nil"/>
              <w:bottom w:val="nil"/>
              <w:right w:val="nil"/>
            </w:tcBorders>
            <w:shd w:val="clear" w:color="auto" w:fill="DEEAF6" w:themeFill="accent5" w:themeFillTint="33"/>
            <w:noWrap/>
            <w:vAlign w:val="center"/>
            <w:hideMark/>
          </w:tcPr>
          <w:p w14:paraId="42675B83"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BASER</w:t>
            </w:r>
          </w:p>
        </w:tc>
        <w:tc>
          <w:tcPr>
            <w:tcW w:w="1843" w:type="dxa"/>
            <w:tcBorders>
              <w:top w:val="nil"/>
              <w:left w:val="nil"/>
              <w:bottom w:val="nil"/>
              <w:right w:val="nil"/>
            </w:tcBorders>
            <w:shd w:val="clear" w:color="auto" w:fill="DEEAF6" w:themeFill="accent5" w:themeFillTint="33"/>
            <w:noWrap/>
            <w:vAlign w:val="center"/>
            <w:hideMark/>
          </w:tcPr>
          <w:p w14:paraId="122E86C3"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DEEAF6" w:themeFill="accent5" w:themeFillTint="33"/>
            <w:noWrap/>
            <w:vAlign w:val="center"/>
            <w:hideMark/>
          </w:tcPr>
          <w:p w14:paraId="1DF495F9" w14:textId="496A3FEA"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400.000,00</w:t>
            </w:r>
          </w:p>
        </w:tc>
      </w:tr>
      <w:tr w:rsidR="00651A7B" w:rsidRPr="00EE7079" w14:paraId="4705256B" w14:textId="13B6F42F" w:rsidTr="0027209C">
        <w:trPr>
          <w:trHeight w:val="283"/>
          <w:jc w:val="center"/>
        </w:trPr>
        <w:tc>
          <w:tcPr>
            <w:tcW w:w="3686" w:type="dxa"/>
            <w:tcBorders>
              <w:top w:val="nil"/>
              <w:left w:val="nil"/>
              <w:bottom w:val="nil"/>
              <w:right w:val="nil"/>
            </w:tcBorders>
            <w:shd w:val="clear" w:color="auto" w:fill="DEEAF6" w:themeFill="accent5" w:themeFillTint="33"/>
            <w:noWrap/>
            <w:vAlign w:val="center"/>
            <w:hideMark/>
          </w:tcPr>
          <w:p w14:paraId="2C4A85D1"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DEEAF6" w:themeFill="accent5" w:themeFillTint="33"/>
            <w:noWrap/>
            <w:vAlign w:val="center"/>
            <w:hideMark/>
          </w:tcPr>
          <w:p w14:paraId="41FC5B6C"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DEEAF6" w:themeFill="accent5" w:themeFillTint="33"/>
            <w:noWrap/>
            <w:vAlign w:val="center"/>
            <w:hideMark/>
          </w:tcPr>
          <w:p w14:paraId="094C166E" w14:textId="31033CE0"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14.770.000,00</w:t>
            </w:r>
          </w:p>
        </w:tc>
      </w:tr>
      <w:tr w:rsidR="00651A7B" w:rsidRPr="00EE7079" w14:paraId="519C72A7" w14:textId="79DB1AEA" w:rsidTr="0027209C">
        <w:trPr>
          <w:trHeight w:val="283"/>
          <w:jc w:val="center"/>
        </w:trPr>
        <w:tc>
          <w:tcPr>
            <w:tcW w:w="3686" w:type="dxa"/>
            <w:tcBorders>
              <w:top w:val="nil"/>
              <w:left w:val="nil"/>
              <w:bottom w:val="nil"/>
              <w:right w:val="nil"/>
            </w:tcBorders>
            <w:shd w:val="clear" w:color="auto" w:fill="DEEAF6" w:themeFill="accent5" w:themeFillTint="33"/>
            <w:noWrap/>
            <w:vAlign w:val="center"/>
            <w:hideMark/>
          </w:tcPr>
          <w:p w14:paraId="2B796133"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DEEAF6" w:themeFill="accent5" w:themeFillTint="33"/>
            <w:noWrap/>
            <w:vAlign w:val="center"/>
            <w:hideMark/>
          </w:tcPr>
          <w:p w14:paraId="6A92A782"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DEEAF6" w:themeFill="accent5" w:themeFillTint="33"/>
            <w:noWrap/>
            <w:vAlign w:val="center"/>
            <w:hideMark/>
          </w:tcPr>
          <w:p w14:paraId="17311918" w14:textId="2633B409"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8.400.000,00</w:t>
            </w:r>
          </w:p>
        </w:tc>
      </w:tr>
      <w:tr w:rsidR="00651A7B" w:rsidRPr="00EE7079" w14:paraId="23C48B3D" w14:textId="73A0BC7B"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79E74EB3"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BA</w:t>
            </w:r>
          </w:p>
        </w:tc>
        <w:tc>
          <w:tcPr>
            <w:tcW w:w="1843" w:type="dxa"/>
            <w:tcBorders>
              <w:top w:val="nil"/>
              <w:left w:val="nil"/>
              <w:bottom w:val="single" w:sz="4" w:space="0" w:color="8EA9DB"/>
              <w:right w:val="nil"/>
            </w:tcBorders>
            <w:shd w:val="clear" w:color="auto" w:fill="auto"/>
            <w:noWrap/>
            <w:vAlign w:val="center"/>
            <w:hideMark/>
          </w:tcPr>
          <w:p w14:paraId="39C327A8"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2</w:t>
            </w:r>
          </w:p>
        </w:tc>
        <w:tc>
          <w:tcPr>
            <w:tcW w:w="1843" w:type="dxa"/>
            <w:tcBorders>
              <w:top w:val="nil"/>
              <w:left w:val="nil"/>
              <w:bottom w:val="single" w:sz="4" w:space="0" w:color="8EA9DB"/>
              <w:right w:val="nil"/>
            </w:tcBorders>
            <w:shd w:val="clear" w:color="auto" w:fill="auto"/>
            <w:noWrap/>
            <w:vAlign w:val="center"/>
            <w:hideMark/>
          </w:tcPr>
          <w:p w14:paraId="0ED530F9" w14:textId="7E701C6B"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5.513.234,92</w:t>
            </w:r>
          </w:p>
        </w:tc>
      </w:tr>
      <w:tr w:rsidR="00651A7B" w:rsidRPr="00EE7079" w14:paraId="4921C194" w14:textId="579FCBA1" w:rsidTr="0027209C">
        <w:trPr>
          <w:trHeight w:val="283"/>
          <w:jc w:val="center"/>
        </w:trPr>
        <w:tc>
          <w:tcPr>
            <w:tcW w:w="3686" w:type="dxa"/>
            <w:tcBorders>
              <w:top w:val="nil"/>
              <w:left w:val="nil"/>
              <w:bottom w:val="nil"/>
              <w:right w:val="nil"/>
            </w:tcBorders>
            <w:shd w:val="clear" w:color="auto" w:fill="auto"/>
            <w:noWrap/>
            <w:vAlign w:val="center"/>
            <w:hideMark/>
          </w:tcPr>
          <w:p w14:paraId="461E6147" w14:textId="62A605A6"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1686AA86"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4748A654" w14:textId="418F8C79"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1.513.234,92</w:t>
            </w:r>
          </w:p>
        </w:tc>
      </w:tr>
      <w:tr w:rsidR="00651A7B" w:rsidRPr="00EE7079" w14:paraId="065B80F0" w14:textId="2E58A46E" w:rsidTr="0027209C">
        <w:trPr>
          <w:trHeight w:val="283"/>
          <w:jc w:val="center"/>
        </w:trPr>
        <w:tc>
          <w:tcPr>
            <w:tcW w:w="3686" w:type="dxa"/>
            <w:tcBorders>
              <w:top w:val="nil"/>
              <w:left w:val="nil"/>
              <w:bottom w:val="nil"/>
              <w:right w:val="nil"/>
            </w:tcBorders>
            <w:shd w:val="clear" w:color="auto" w:fill="auto"/>
            <w:noWrap/>
            <w:vAlign w:val="center"/>
            <w:hideMark/>
          </w:tcPr>
          <w:p w14:paraId="2F0C152C" w14:textId="0B56266F"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auto"/>
            <w:noWrap/>
            <w:vAlign w:val="center"/>
            <w:hideMark/>
          </w:tcPr>
          <w:p w14:paraId="7D94FA9E"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575F8418" w14:textId="348CEAF4"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4.000.000,00</w:t>
            </w:r>
          </w:p>
        </w:tc>
      </w:tr>
      <w:tr w:rsidR="00651A7B" w:rsidRPr="00EE7079" w14:paraId="35C19434" w14:textId="0023EEE4"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7F6E2018" w14:textId="54A8E494"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CE</w:t>
            </w:r>
          </w:p>
        </w:tc>
        <w:tc>
          <w:tcPr>
            <w:tcW w:w="1843" w:type="dxa"/>
            <w:tcBorders>
              <w:top w:val="nil"/>
              <w:left w:val="nil"/>
              <w:bottom w:val="single" w:sz="4" w:space="0" w:color="8EA9DB"/>
              <w:right w:val="nil"/>
            </w:tcBorders>
            <w:shd w:val="clear" w:color="auto" w:fill="auto"/>
            <w:noWrap/>
            <w:vAlign w:val="center"/>
            <w:hideMark/>
          </w:tcPr>
          <w:p w14:paraId="3ED23FAA"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9</w:t>
            </w:r>
          </w:p>
        </w:tc>
        <w:tc>
          <w:tcPr>
            <w:tcW w:w="1843" w:type="dxa"/>
            <w:tcBorders>
              <w:top w:val="nil"/>
              <w:left w:val="nil"/>
              <w:bottom w:val="single" w:sz="4" w:space="0" w:color="8EA9DB"/>
              <w:right w:val="nil"/>
            </w:tcBorders>
            <w:shd w:val="clear" w:color="auto" w:fill="auto"/>
            <w:noWrap/>
            <w:vAlign w:val="center"/>
            <w:hideMark/>
          </w:tcPr>
          <w:p w14:paraId="22E13BD8" w14:textId="77990147"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24.135.903,82</w:t>
            </w:r>
          </w:p>
        </w:tc>
      </w:tr>
      <w:tr w:rsidR="00651A7B" w:rsidRPr="00EE7079" w14:paraId="4CE82819" w14:textId="23B19503" w:rsidTr="0027209C">
        <w:trPr>
          <w:trHeight w:val="283"/>
          <w:jc w:val="center"/>
        </w:trPr>
        <w:tc>
          <w:tcPr>
            <w:tcW w:w="3686" w:type="dxa"/>
            <w:tcBorders>
              <w:top w:val="nil"/>
              <w:left w:val="nil"/>
              <w:bottom w:val="nil"/>
              <w:right w:val="nil"/>
            </w:tcBorders>
            <w:shd w:val="clear" w:color="auto" w:fill="auto"/>
            <w:noWrap/>
            <w:vAlign w:val="center"/>
            <w:hideMark/>
          </w:tcPr>
          <w:p w14:paraId="5E5F5459" w14:textId="73FD1861"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0A33C2C9"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8</w:t>
            </w:r>
          </w:p>
        </w:tc>
        <w:tc>
          <w:tcPr>
            <w:tcW w:w="1843" w:type="dxa"/>
            <w:tcBorders>
              <w:top w:val="nil"/>
              <w:left w:val="nil"/>
              <w:bottom w:val="nil"/>
              <w:right w:val="nil"/>
            </w:tcBorders>
            <w:shd w:val="clear" w:color="auto" w:fill="auto"/>
            <w:noWrap/>
            <w:vAlign w:val="center"/>
            <w:hideMark/>
          </w:tcPr>
          <w:p w14:paraId="7EC4546F" w14:textId="688AD4BF"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20.235.903,82</w:t>
            </w:r>
          </w:p>
        </w:tc>
      </w:tr>
      <w:tr w:rsidR="00651A7B" w:rsidRPr="00EE7079" w14:paraId="18EDCA2A" w14:textId="33B960C6" w:rsidTr="0027209C">
        <w:trPr>
          <w:trHeight w:val="283"/>
          <w:jc w:val="center"/>
        </w:trPr>
        <w:tc>
          <w:tcPr>
            <w:tcW w:w="3686" w:type="dxa"/>
            <w:tcBorders>
              <w:top w:val="nil"/>
              <w:left w:val="nil"/>
              <w:bottom w:val="nil"/>
              <w:right w:val="nil"/>
            </w:tcBorders>
            <w:shd w:val="clear" w:color="auto" w:fill="auto"/>
            <w:noWrap/>
            <w:vAlign w:val="center"/>
            <w:hideMark/>
          </w:tcPr>
          <w:p w14:paraId="01573801" w14:textId="188A5D4B"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auto"/>
            <w:noWrap/>
            <w:vAlign w:val="center"/>
            <w:hideMark/>
          </w:tcPr>
          <w:p w14:paraId="0A0C2794" w14:textId="4217ED34"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0F570880" w14:textId="1B161135"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3.900.000,00</w:t>
            </w:r>
          </w:p>
        </w:tc>
      </w:tr>
      <w:tr w:rsidR="00651A7B" w:rsidRPr="00EE7079" w14:paraId="638D5428" w14:textId="5FCD1EFF"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75717D2A"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ES</w:t>
            </w:r>
          </w:p>
        </w:tc>
        <w:tc>
          <w:tcPr>
            <w:tcW w:w="1843" w:type="dxa"/>
            <w:tcBorders>
              <w:top w:val="nil"/>
              <w:left w:val="nil"/>
              <w:bottom w:val="single" w:sz="4" w:space="0" w:color="8EA9DB"/>
              <w:right w:val="nil"/>
            </w:tcBorders>
            <w:shd w:val="clear" w:color="auto" w:fill="auto"/>
            <w:noWrap/>
            <w:vAlign w:val="center"/>
            <w:hideMark/>
          </w:tcPr>
          <w:p w14:paraId="1DDBBCE4"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26</w:t>
            </w:r>
          </w:p>
        </w:tc>
        <w:tc>
          <w:tcPr>
            <w:tcW w:w="1843" w:type="dxa"/>
            <w:tcBorders>
              <w:top w:val="nil"/>
              <w:left w:val="nil"/>
              <w:bottom w:val="single" w:sz="4" w:space="0" w:color="8EA9DB"/>
              <w:right w:val="nil"/>
            </w:tcBorders>
            <w:shd w:val="clear" w:color="auto" w:fill="auto"/>
            <w:noWrap/>
            <w:vAlign w:val="center"/>
            <w:hideMark/>
          </w:tcPr>
          <w:p w14:paraId="11EA4608" w14:textId="36E66457"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72.853.143,05</w:t>
            </w:r>
          </w:p>
        </w:tc>
      </w:tr>
      <w:tr w:rsidR="00651A7B" w:rsidRPr="00EE7079" w14:paraId="1D071AAD" w14:textId="1F62FCC3" w:rsidTr="0027209C">
        <w:trPr>
          <w:trHeight w:val="283"/>
          <w:jc w:val="center"/>
        </w:trPr>
        <w:tc>
          <w:tcPr>
            <w:tcW w:w="3686" w:type="dxa"/>
            <w:tcBorders>
              <w:top w:val="nil"/>
              <w:left w:val="nil"/>
              <w:bottom w:val="nil"/>
              <w:right w:val="nil"/>
            </w:tcBorders>
            <w:shd w:val="clear" w:color="auto" w:fill="auto"/>
            <w:noWrap/>
            <w:vAlign w:val="center"/>
            <w:hideMark/>
          </w:tcPr>
          <w:p w14:paraId="3FE265A9"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BANDES</w:t>
            </w:r>
          </w:p>
        </w:tc>
        <w:tc>
          <w:tcPr>
            <w:tcW w:w="1843" w:type="dxa"/>
            <w:tcBorders>
              <w:top w:val="nil"/>
              <w:left w:val="nil"/>
              <w:bottom w:val="nil"/>
              <w:right w:val="nil"/>
            </w:tcBorders>
            <w:shd w:val="clear" w:color="auto" w:fill="auto"/>
            <w:noWrap/>
            <w:vAlign w:val="center"/>
            <w:hideMark/>
          </w:tcPr>
          <w:p w14:paraId="6B62EA25" w14:textId="55B9609D"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24</w:t>
            </w:r>
          </w:p>
        </w:tc>
        <w:tc>
          <w:tcPr>
            <w:tcW w:w="1843" w:type="dxa"/>
            <w:tcBorders>
              <w:top w:val="nil"/>
              <w:left w:val="nil"/>
              <w:bottom w:val="nil"/>
              <w:right w:val="nil"/>
            </w:tcBorders>
            <w:shd w:val="clear" w:color="auto" w:fill="auto"/>
            <w:noWrap/>
            <w:vAlign w:val="center"/>
            <w:hideMark/>
          </w:tcPr>
          <w:p w14:paraId="4CBD80E8" w14:textId="6F3A20ED"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68.998.967,70</w:t>
            </w:r>
          </w:p>
        </w:tc>
      </w:tr>
      <w:tr w:rsidR="00651A7B" w:rsidRPr="00EE7079" w14:paraId="3ABBAC09" w14:textId="73A8D8D9" w:rsidTr="0027209C">
        <w:trPr>
          <w:trHeight w:val="283"/>
          <w:jc w:val="center"/>
        </w:trPr>
        <w:tc>
          <w:tcPr>
            <w:tcW w:w="3686" w:type="dxa"/>
            <w:tcBorders>
              <w:top w:val="nil"/>
              <w:left w:val="nil"/>
              <w:bottom w:val="nil"/>
              <w:right w:val="nil"/>
            </w:tcBorders>
            <w:shd w:val="clear" w:color="auto" w:fill="auto"/>
            <w:noWrap/>
            <w:vAlign w:val="center"/>
            <w:hideMark/>
          </w:tcPr>
          <w:p w14:paraId="349722E2"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25220F3F" w14:textId="1A4A0283"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26AFA0E1" w14:textId="0E0C86EB"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1.872.991,01</w:t>
            </w:r>
          </w:p>
        </w:tc>
      </w:tr>
      <w:tr w:rsidR="00651A7B" w:rsidRPr="00EE7079" w14:paraId="0A049339" w14:textId="59036F2C" w:rsidTr="0027209C">
        <w:trPr>
          <w:trHeight w:val="283"/>
          <w:jc w:val="center"/>
        </w:trPr>
        <w:tc>
          <w:tcPr>
            <w:tcW w:w="3686" w:type="dxa"/>
            <w:tcBorders>
              <w:top w:val="nil"/>
              <w:left w:val="nil"/>
              <w:bottom w:val="nil"/>
              <w:right w:val="nil"/>
            </w:tcBorders>
            <w:shd w:val="clear" w:color="auto" w:fill="auto"/>
            <w:noWrap/>
            <w:vAlign w:val="center"/>
            <w:hideMark/>
          </w:tcPr>
          <w:p w14:paraId="4CC39602"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auto"/>
            <w:noWrap/>
            <w:vAlign w:val="center"/>
            <w:hideMark/>
          </w:tcPr>
          <w:p w14:paraId="065EA22C" w14:textId="338CC0C0"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7780247C" w14:textId="0FD0CD1F"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1.981.184,34</w:t>
            </w:r>
          </w:p>
        </w:tc>
      </w:tr>
      <w:tr w:rsidR="00651A7B" w:rsidRPr="00EE7079" w14:paraId="5CD035AA" w14:textId="15D7D417"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6C90B404" w14:textId="56AFAA60"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GO</w:t>
            </w:r>
          </w:p>
        </w:tc>
        <w:tc>
          <w:tcPr>
            <w:tcW w:w="1843" w:type="dxa"/>
            <w:tcBorders>
              <w:top w:val="nil"/>
              <w:left w:val="nil"/>
              <w:bottom w:val="single" w:sz="4" w:space="0" w:color="8EA9DB"/>
              <w:right w:val="nil"/>
            </w:tcBorders>
            <w:shd w:val="clear" w:color="auto" w:fill="auto"/>
            <w:noWrap/>
            <w:vAlign w:val="center"/>
            <w:hideMark/>
          </w:tcPr>
          <w:p w14:paraId="0656F425" w14:textId="1CFC0E2D"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3</w:t>
            </w:r>
          </w:p>
        </w:tc>
        <w:tc>
          <w:tcPr>
            <w:tcW w:w="1843" w:type="dxa"/>
            <w:tcBorders>
              <w:top w:val="nil"/>
              <w:left w:val="nil"/>
              <w:bottom w:val="single" w:sz="4" w:space="0" w:color="8EA9DB"/>
              <w:right w:val="nil"/>
            </w:tcBorders>
            <w:shd w:val="clear" w:color="auto" w:fill="auto"/>
            <w:noWrap/>
            <w:vAlign w:val="center"/>
            <w:hideMark/>
          </w:tcPr>
          <w:p w14:paraId="50E0D820" w14:textId="5EF78F95"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11.919.868,33</w:t>
            </w:r>
          </w:p>
        </w:tc>
      </w:tr>
      <w:tr w:rsidR="00651A7B" w:rsidRPr="00EE7079" w14:paraId="1166FA0A" w14:textId="7F0EA738" w:rsidTr="0027209C">
        <w:trPr>
          <w:trHeight w:val="283"/>
          <w:jc w:val="center"/>
        </w:trPr>
        <w:tc>
          <w:tcPr>
            <w:tcW w:w="3686" w:type="dxa"/>
            <w:tcBorders>
              <w:top w:val="nil"/>
              <w:left w:val="nil"/>
              <w:bottom w:val="nil"/>
              <w:right w:val="nil"/>
            </w:tcBorders>
            <w:shd w:val="clear" w:color="auto" w:fill="auto"/>
            <w:noWrap/>
            <w:vAlign w:val="center"/>
            <w:hideMark/>
          </w:tcPr>
          <w:p w14:paraId="3AA7A621" w14:textId="78977F41"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BASER</w:t>
            </w:r>
          </w:p>
        </w:tc>
        <w:tc>
          <w:tcPr>
            <w:tcW w:w="1843" w:type="dxa"/>
            <w:tcBorders>
              <w:top w:val="nil"/>
              <w:left w:val="nil"/>
              <w:bottom w:val="nil"/>
              <w:right w:val="nil"/>
            </w:tcBorders>
            <w:shd w:val="clear" w:color="auto" w:fill="auto"/>
            <w:noWrap/>
            <w:vAlign w:val="center"/>
            <w:hideMark/>
          </w:tcPr>
          <w:p w14:paraId="4C9D24FE" w14:textId="249CCB34"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43A0F86B" w14:textId="7C08395B"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991.184,04</w:t>
            </w:r>
          </w:p>
        </w:tc>
      </w:tr>
      <w:tr w:rsidR="00651A7B" w:rsidRPr="00EE7079" w14:paraId="4A5EA4F6" w14:textId="4D2EECB9" w:rsidTr="0027209C">
        <w:trPr>
          <w:trHeight w:val="283"/>
          <w:jc w:val="center"/>
        </w:trPr>
        <w:tc>
          <w:tcPr>
            <w:tcW w:w="3686" w:type="dxa"/>
            <w:tcBorders>
              <w:top w:val="nil"/>
              <w:left w:val="nil"/>
              <w:bottom w:val="nil"/>
              <w:right w:val="nil"/>
            </w:tcBorders>
            <w:shd w:val="clear" w:color="auto" w:fill="auto"/>
            <w:noWrap/>
            <w:vAlign w:val="center"/>
            <w:hideMark/>
          </w:tcPr>
          <w:p w14:paraId="36930AF4" w14:textId="23BEF2B5"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42180AC2" w14:textId="1204EEC6"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2F617F55" w14:textId="72E6DB6A"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10.312.000,00</w:t>
            </w:r>
          </w:p>
        </w:tc>
      </w:tr>
      <w:tr w:rsidR="00651A7B" w:rsidRPr="00EE7079" w14:paraId="1B59ECC8" w14:textId="537FF0B3" w:rsidTr="0027209C">
        <w:trPr>
          <w:trHeight w:val="283"/>
          <w:jc w:val="center"/>
        </w:trPr>
        <w:tc>
          <w:tcPr>
            <w:tcW w:w="3686" w:type="dxa"/>
            <w:tcBorders>
              <w:top w:val="nil"/>
              <w:left w:val="nil"/>
              <w:bottom w:val="nil"/>
              <w:right w:val="nil"/>
            </w:tcBorders>
            <w:shd w:val="clear" w:color="auto" w:fill="auto"/>
            <w:noWrap/>
            <w:vAlign w:val="center"/>
            <w:hideMark/>
          </w:tcPr>
          <w:p w14:paraId="2BEB5D57"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GOIÁS FOMENTO</w:t>
            </w:r>
          </w:p>
        </w:tc>
        <w:tc>
          <w:tcPr>
            <w:tcW w:w="1843" w:type="dxa"/>
            <w:tcBorders>
              <w:top w:val="nil"/>
              <w:left w:val="nil"/>
              <w:bottom w:val="nil"/>
              <w:right w:val="nil"/>
            </w:tcBorders>
            <w:shd w:val="clear" w:color="auto" w:fill="auto"/>
            <w:noWrap/>
            <w:vAlign w:val="center"/>
            <w:hideMark/>
          </w:tcPr>
          <w:p w14:paraId="7F68A2A0" w14:textId="3A21BDCB"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6C33D406" w14:textId="2500F46E"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616.684,29</w:t>
            </w:r>
          </w:p>
        </w:tc>
      </w:tr>
      <w:tr w:rsidR="00651A7B" w:rsidRPr="00EE7079" w14:paraId="26B152B8" w14:textId="70867986"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63DD7F35"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MG</w:t>
            </w:r>
          </w:p>
        </w:tc>
        <w:tc>
          <w:tcPr>
            <w:tcW w:w="1843" w:type="dxa"/>
            <w:tcBorders>
              <w:top w:val="nil"/>
              <w:left w:val="nil"/>
              <w:bottom w:val="single" w:sz="4" w:space="0" w:color="8EA9DB"/>
              <w:right w:val="nil"/>
            </w:tcBorders>
            <w:shd w:val="clear" w:color="auto" w:fill="auto"/>
            <w:noWrap/>
            <w:vAlign w:val="center"/>
            <w:hideMark/>
          </w:tcPr>
          <w:p w14:paraId="43660A31"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33</w:t>
            </w:r>
          </w:p>
        </w:tc>
        <w:tc>
          <w:tcPr>
            <w:tcW w:w="1843" w:type="dxa"/>
            <w:tcBorders>
              <w:top w:val="nil"/>
              <w:left w:val="nil"/>
              <w:bottom w:val="single" w:sz="4" w:space="0" w:color="8EA9DB"/>
              <w:right w:val="nil"/>
            </w:tcBorders>
            <w:shd w:val="clear" w:color="auto" w:fill="auto"/>
            <w:noWrap/>
            <w:vAlign w:val="center"/>
            <w:hideMark/>
          </w:tcPr>
          <w:p w14:paraId="3CA1CFE5" w14:textId="17080463"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79.972.082,66</w:t>
            </w:r>
          </w:p>
        </w:tc>
      </w:tr>
      <w:tr w:rsidR="00651A7B" w:rsidRPr="00EE7079" w14:paraId="301E0254" w14:textId="4549098A" w:rsidTr="0027209C">
        <w:trPr>
          <w:trHeight w:val="283"/>
          <w:jc w:val="center"/>
        </w:trPr>
        <w:tc>
          <w:tcPr>
            <w:tcW w:w="3686" w:type="dxa"/>
            <w:tcBorders>
              <w:top w:val="nil"/>
              <w:left w:val="nil"/>
              <w:bottom w:val="nil"/>
              <w:right w:val="nil"/>
            </w:tcBorders>
            <w:shd w:val="clear" w:color="auto" w:fill="auto"/>
            <w:noWrap/>
            <w:vAlign w:val="center"/>
            <w:hideMark/>
          </w:tcPr>
          <w:p w14:paraId="7BBF1E1A"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BANRISUL</w:t>
            </w:r>
          </w:p>
        </w:tc>
        <w:tc>
          <w:tcPr>
            <w:tcW w:w="1843" w:type="dxa"/>
            <w:tcBorders>
              <w:top w:val="nil"/>
              <w:left w:val="nil"/>
              <w:bottom w:val="nil"/>
              <w:right w:val="nil"/>
            </w:tcBorders>
            <w:shd w:val="clear" w:color="auto" w:fill="auto"/>
            <w:noWrap/>
            <w:vAlign w:val="center"/>
            <w:hideMark/>
          </w:tcPr>
          <w:p w14:paraId="6DF2D3AA"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17AF034B" w14:textId="2EF770D3"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149.960,00</w:t>
            </w:r>
          </w:p>
        </w:tc>
      </w:tr>
      <w:tr w:rsidR="00651A7B" w:rsidRPr="00EE7079" w14:paraId="4C57792A" w14:textId="7B782654" w:rsidTr="0027209C">
        <w:trPr>
          <w:trHeight w:val="283"/>
          <w:jc w:val="center"/>
        </w:trPr>
        <w:tc>
          <w:tcPr>
            <w:tcW w:w="3686" w:type="dxa"/>
            <w:tcBorders>
              <w:top w:val="nil"/>
              <w:left w:val="nil"/>
              <w:bottom w:val="nil"/>
              <w:right w:val="nil"/>
            </w:tcBorders>
            <w:shd w:val="clear" w:color="auto" w:fill="auto"/>
            <w:noWrap/>
            <w:vAlign w:val="center"/>
            <w:hideMark/>
          </w:tcPr>
          <w:p w14:paraId="0A4C1F32"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BDMG</w:t>
            </w:r>
          </w:p>
        </w:tc>
        <w:tc>
          <w:tcPr>
            <w:tcW w:w="1843" w:type="dxa"/>
            <w:tcBorders>
              <w:top w:val="nil"/>
              <w:left w:val="nil"/>
              <w:bottom w:val="nil"/>
              <w:right w:val="nil"/>
            </w:tcBorders>
            <w:shd w:val="clear" w:color="auto" w:fill="auto"/>
            <w:noWrap/>
            <w:vAlign w:val="center"/>
            <w:hideMark/>
          </w:tcPr>
          <w:p w14:paraId="25556A00" w14:textId="1A155FC5"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28</w:t>
            </w:r>
          </w:p>
        </w:tc>
        <w:tc>
          <w:tcPr>
            <w:tcW w:w="1843" w:type="dxa"/>
            <w:tcBorders>
              <w:top w:val="nil"/>
              <w:left w:val="nil"/>
              <w:bottom w:val="nil"/>
              <w:right w:val="nil"/>
            </w:tcBorders>
            <w:shd w:val="clear" w:color="auto" w:fill="auto"/>
            <w:noWrap/>
            <w:vAlign w:val="center"/>
            <w:hideMark/>
          </w:tcPr>
          <w:p w14:paraId="58D05B9D" w14:textId="0BB7FC46"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76.689.676,87</w:t>
            </w:r>
          </w:p>
        </w:tc>
      </w:tr>
      <w:tr w:rsidR="00651A7B" w:rsidRPr="00EE7079" w14:paraId="43A21654" w14:textId="406369D9" w:rsidTr="0027209C">
        <w:trPr>
          <w:trHeight w:val="283"/>
          <w:jc w:val="center"/>
        </w:trPr>
        <w:tc>
          <w:tcPr>
            <w:tcW w:w="3686" w:type="dxa"/>
            <w:tcBorders>
              <w:top w:val="nil"/>
              <w:left w:val="nil"/>
              <w:bottom w:val="nil"/>
              <w:right w:val="nil"/>
            </w:tcBorders>
            <w:shd w:val="clear" w:color="auto" w:fill="auto"/>
            <w:noWrap/>
            <w:vAlign w:val="center"/>
            <w:hideMark/>
          </w:tcPr>
          <w:p w14:paraId="52D02602"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164F0E32"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3</w:t>
            </w:r>
          </w:p>
        </w:tc>
        <w:tc>
          <w:tcPr>
            <w:tcW w:w="1843" w:type="dxa"/>
            <w:tcBorders>
              <w:top w:val="nil"/>
              <w:left w:val="nil"/>
              <w:bottom w:val="nil"/>
              <w:right w:val="nil"/>
            </w:tcBorders>
            <w:shd w:val="clear" w:color="auto" w:fill="auto"/>
            <w:noWrap/>
            <w:vAlign w:val="center"/>
            <w:hideMark/>
          </w:tcPr>
          <w:p w14:paraId="71E0441E" w14:textId="18FC70E2"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2.177.874,57</w:t>
            </w:r>
          </w:p>
        </w:tc>
      </w:tr>
      <w:tr w:rsidR="00651A7B" w:rsidRPr="00EE7079" w14:paraId="0C98BF70" w14:textId="7FB81432" w:rsidTr="0027209C">
        <w:trPr>
          <w:trHeight w:val="283"/>
          <w:jc w:val="center"/>
        </w:trPr>
        <w:tc>
          <w:tcPr>
            <w:tcW w:w="3686" w:type="dxa"/>
            <w:tcBorders>
              <w:top w:val="nil"/>
              <w:left w:val="nil"/>
              <w:bottom w:val="nil"/>
              <w:right w:val="nil"/>
            </w:tcBorders>
            <w:shd w:val="clear" w:color="auto" w:fill="auto"/>
            <w:noWrap/>
            <w:vAlign w:val="center"/>
            <w:hideMark/>
          </w:tcPr>
          <w:p w14:paraId="3C3F6FDB"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auto"/>
            <w:noWrap/>
            <w:vAlign w:val="center"/>
            <w:hideMark/>
          </w:tcPr>
          <w:p w14:paraId="68B2E824"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3280A723" w14:textId="17E244B9"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954.571,22</w:t>
            </w:r>
          </w:p>
        </w:tc>
      </w:tr>
      <w:tr w:rsidR="00651A7B" w:rsidRPr="00EE7079" w14:paraId="7BEBD268" w14:textId="1791F634"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5AF4D75F"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MT</w:t>
            </w:r>
          </w:p>
        </w:tc>
        <w:tc>
          <w:tcPr>
            <w:tcW w:w="1843" w:type="dxa"/>
            <w:tcBorders>
              <w:top w:val="nil"/>
              <w:left w:val="nil"/>
              <w:bottom w:val="single" w:sz="4" w:space="0" w:color="8EA9DB"/>
              <w:right w:val="nil"/>
            </w:tcBorders>
            <w:shd w:val="clear" w:color="auto" w:fill="auto"/>
            <w:noWrap/>
            <w:vAlign w:val="center"/>
            <w:hideMark/>
          </w:tcPr>
          <w:p w14:paraId="7DF72D60" w14:textId="63C03CB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3</w:t>
            </w:r>
          </w:p>
        </w:tc>
        <w:tc>
          <w:tcPr>
            <w:tcW w:w="1843" w:type="dxa"/>
            <w:tcBorders>
              <w:top w:val="nil"/>
              <w:left w:val="nil"/>
              <w:bottom w:val="single" w:sz="4" w:space="0" w:color="8EA9DB"/>
              <w:right w:val="nil"/>
            </w:tcBorders>
            <w:shd w:val="clear" w:color="auto" w:fill="auto"/>
            <w:noWrap/>
            <w:vAlign w:val="center"/>
            <w:hideMark/>
          </w:tcPr>
          <w:p w14:paraId="0E94C23A" w14:textId="1957CE6E"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7.084.644,00</w:t>
            </w:r>
          </w:p>
        </w:tc>
      </w:tr>
      <w:tr w:rsidR="00651A7B" w:rsidRPr="00EE7079" w14:paraId="38270938" w14:textId="4DC8CDAB" w:rsidTr="0027209C">
        <w:trPr>
          <w:trHeight w:val="283"/>
          <w:jc w:val="center"/>
        </w:trPr>
        <w:tc>
          <w:tcPr>
            <w:tcW w:w="3686" w:type="dxa"/>
            <w:tcBorders>
              <w:top w:val="nil"/>
              <w:left w:val="nil"/>
              <w:bottom w:val="nil"/>
              <w:right w:val="nil"/>
            </w:tcBorders>
            <w:shd w:val="clear" w:color="auto" w:fill="auto"/>
            <w:noWrap/>
            <w:vAlign w:val="center"/>
            <w:hideMark/>
          </w:tcPr>
          <w:p w14:paraId="20F3C77C"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BASER</w:t>
            </w:r>
          </w:p>
        </w:tc>
        <w:tc>
          <w:tcPr>
            <w:tcW w:w="1843" w:type="dxa"/>
            <w:tcBorders>
              <w:top w:val="nil"/>
              <w:left w:val="nil"/>
              <w:bottom w:val="nil"/>
              <w:right w:val="nil"/>
            </w:tcBorders>
            <w:shd w:val="clear" w:color="auto" w:fill="auto"/>
            <w:noWrap/>
            <w:vAlign w:val="center"/>
            <w:hideMark/>
          </w:tcPr>
          <w:p w14:paraId="4338A282" w14:textId="0A57875E"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3</w:t>
            </w:r>
          </w:p>
        </w:tc>
        <w:tc>
          <w:tcPr>
            <w:tcW w:w="1843" w:type="dxa"/>
            <w:tcBorders>
              <w:top w:val="nil"/>
              <w:left w:val="nil"/>
              <w:bottom w:val="nil"/>
              <w:right w:val="nil"/>
            </w:tcBorders>
            <w:shd w:val="clear" w:color="auto" w:fill="auto"/>
            <w:noWrap/>
            <w:vAlign w:val="center"/>
            <w:hideMark/>
          </w:tcPr>
          <w:p w14:paraId="6EBF337C" w14:textId="1432785D"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7.084.644,00</w:t>
            </w:r>
          </w:p>
        </w:tc>
      </w:tr>
      <w:tr w:rsidR="00651A7B" w:rsidRPr="00EE7079" w14:paraId="4C56BF6D" w14:textId="74DB6540"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4C9975D8"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PA</w:t>
            </w:r>
          </w:p>
        </w:tc>
        <w:tc>
          <w:tcPr>
            <w:tcW w:w="1843" w:type="dxa"/>
            <w:tcBorders>
              <w:top w:val="nil"/>
              <w:left w:val="nil"/>
              <w:bottom w:val="single" w:sz="4" w:space="0" w:color="8EA9DB"/>
              <w:right w:val="nil"/>
            </w:tcBorders>
            <w:shd w:val="clear" w:color="auto" w:fill="auto"/>
            <w:noWrap/>
            <w:vAlign w:val="center"/>
            <w:hideMark/>
          </w:tcPr>
          <w:p w14:paraId="364ACAC4" w14:textId="467EB6EB"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2</w:t>
            </w:r>
          </w:p>
        </w:tc>
        <w:tc>
          <w:tcPr>
            <w:tcW w:w="1843" w:type="dxa"/>
            <w:tcBorders>
              <w:top w:val="nil"/>
              <w:left w:val="nil"/>
              <w:bottom w:val="single" w:sz="4" w:space="0" w:color="8EA9DB"/>
              <w:right w:val="nil"/>
            </w:tcBorders>
            <w:shd w:val="clear" w:color="auto" w:fill="auto"/>
            <w:noWrap/>
            <w:vAlign w:val="center"/>
            <w:hideMark/>
          </w:tcPr>
          <w:p w14:paraId="6E519F3C" w14:textId="5703BD56"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3.490.953,66</w:t>
            </w:r>
          </w:p>
        </w:tc>
      </w:tr>
      <w:tr w:rsidR="00651A7B" w:rsidRPr="00EE7079" w14:paraId="7635D55A" w14:textId="5EFE1994" w:rsidTr="0027209C">
        <w:trPr>
          <w:trHeight w:val="283"/>
          <w:jc w:val="center"/>
        </w:trPr>
        <w:tc>
          <w:tcPr>
            <w:tcW w:w="3686" w:type="dxa"/>
            <w:tcBorders>
              <w:top w:val="nil"/>
              <w:left w:val="nil"/>
              <w:bottom w:val="nil"/>
              <w:right w:val="nil"/>
            </w:tcBorders>
            <w:shd w:val="clear" w:color="auto" w:fill="auto"/>
            <w:noWrap/>
            <w:vAlign w:val="center"/>
            <w:hideMark/>
          </w:tcPr>
          <w:p w14:paraId="36FA918A"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BASER</w:t>
            </w:r>
          </w:p>
        </w:tc>
        <w:tc>
          <w:tcPr>
            <w:tcW w:w="1843" w:type="dxa"/>
            <w:tcBorders>
              <w:top w:val="nil"/>
              <w:left w:val="nil"/>
              <w:bottom w:val="nil"/>
              <w:right w:val="nil"/>
            </w:tcBorders>
            <w:shd w:val="clear" w:color="auto" w:fill="auto"/>
            <w:noWrap/>
            <w:vAlign w:val="center"/>
            <w:hideMark/>
          </w:tcPr>
          <w:p w14:paraId="45AE25E9"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44F14020" w14:textId="192BFBF0"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1.990.953,66</w:t>
            </w:r>
          </w:p>
        </w:tc>
      </w:tr>
      <w:tr w:rsidR="00651A7B" w:rsidRPr="00EE7079" w14:paraId="41390F68" w14:textId="7E965B36" w:rsidTr="0027209C">
        <w:trPr>
          <w:trHeight w:val="283"/>
          <w:jc w:val="center"/>
        </w:trPr>
        <w:tc>
          <w:tcPr>
            <w:tcW w:w="3686" w:type="dxa"/>
            <w:tcBorders>
              <w:top w:val="nil"/>
              <w:left w:val="nil"/>
              <w:bottom w:val="nil"/>
              <w:right w:val="nil"/>
            </w:tcBorders>
            <w:shd w:val="clear" w:color="auto" w:fill="auto"/>
            <w:noWrap/>
            <w:vAlign w:val="center"/>
            <w:hideMark/>
          </w:tcPr>
          <w:p w14:paraId="0A46D3B6"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5A34A3E3"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30803334" w14:textId="10B55EAE"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1.500.000,00</w:t>
            </w:r>
          </w:p>
        </w:tc>
      </w:tr>
      <w:tr w:rsidR="00651A7B" w:rsidRPr="00EE7079" w14:paraId="73FB3DE2" w14:textId="5B9C0D8F"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4510E77E"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PE</w:t>
            </w:r>
          </w:p>
        </w:tc>
        <w:tc>
          <w:tcPr>
            <w:tcW w:w="1843" w:type="dxa"/>
            <w:tcBorders>
              <w:top w:val="nil"/>
              <w:left w:val="nil"/>
              <w:bottom w:val="single" w:sz="4" w:space="0" w:color="8EA9DB"/>
              <w:right w:val="nil"/>
            </w:tcBorders>
            <w:shd w:val="clear" w:color="auto" w:fill="auto"/>
            <w:noWrap/>
            <w:vAlign w:val="center"/>
            <w:hideMark/>
          </w:tcPr>
          <w:p w14:paraId="348D9707" w14:textId="08F5467F"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4</w:t>
            </w:r>
          </w:p>
        </w:tc>
        <w:tc>
          <w:tcPr>
            <w:tcW w:w="1843" w:type="dxa"/>
            <w:tcBorders>
              <w:top w:val="nil"/>
              <w:left w:val="nil"/>
              <w:bottom w:val="single" w:sz="4" w:space="0" w:color="8EA9DB"/>
              <w:right w:val="nil"/>
            </w:tcBorders>
            <w:shd w:val="clear" w:color="auto" w:fill="auto"/>
            <w:noWrap/>
            <w:vAlign w:val="center"/>
            <w:hideMark/>
          </w:tcPr>
          <w:p w14:paraId="36E7C19C" w14:textId="6F91DBF2"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5.284.000,00</w:t>
            </w:r>
          </w:p>
        </w:tc>
      </w:tr>
      <w:tr w:rsidR="00651A7B" w:rsidRPr="00EE7079" w14:paraId="0FBCBD9B" w14:textId="62DDBBD7" w:rsidTr="0027209C">
        <w:trPr>
          <w:trHeight w:val="283"/>
          <w:jc w:val="center"/>
        </w:trPr>
        <w:tc>
          <w:tcPr>
            <w:tcW w:w="3686" w:type="dxa"/>
            <w:tcBorders>
              <w:top w:val="nil"/>
              <w:left w:val="nil"/>
              <w:bottom w:val="nil"/>
              <w:right w:val="nil"/>
            </w:tcBorders>
            <w:shd w:val="clear" w:color="auto" w:fill="auto"/>
            <w:noWrap/>
            <w:vAlign w:val="center"/>
            <w:hideMark/>
          </w:tcPr>
          <w:p w14:paraId="0881FA7F"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auto"/>
            <w:noWrap/>
            <w:vAlign w:val="center"/>
            <w:hideMark/>
          </w:tcPr>
          <w:p w14:paraId="7D73831E"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4</w:t>
            </w:r>
          </w:p>
        </w:tc>
        <w:tc>
          <w:tcPr>
            <w:tcW w:w="1843" w:type="dxa"/>
            <w:tcBorders>
              <w:top w:val="nil"/>
              <w:left w:val="nil"/>
              <w:bottom w:val="nil"/>
              <w:right w:val="nil"/>
            </w:tcBorders>
            <w:shd w:val="clear" w:color="auto" w:fill="auto"/>
            <w:noWrap/>
            <w:vAlign w:val="center"/>
            <w:hideMark/>
          </w:tcPr>
          <w:p w14:paraId="537A23D0" w14:textId="07AF89E6"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5.284.000,00</w:t>
            </w:r>
          </w:p>
        </w:tc>
      </w:tr>
      <w:tr w:rsidR="00651A7B" w:rsidRPr="00EE7079" w14:paraId="3BA505B2" w14:textId="0306780C" w:rsidTr="0027209C">
        <w:trPr>
          <w:trHeight w:val="283"/>
          <w:jc w:val="center"/>
        </w:trPr>
        <w:tc>
          <w:tcPr>
            <w:tcW w:w="3686" w:type="dxa"/>
            <w:tcBorders>
              <w:top w:val="nil"/>
              <w:left w:val="nil"/>
              <w:bottom w:val="single" w:sz="4" w:space="0" w:color="8EA9DB"/>
              <w:right w:val="nil"/>
            </w:tcBorders>
            <w:shd w:val="clear" w:color="auto" w:fill="DEEAF6" w:themeFill="accent5" w:themeFillTint="33"/>
            <w:noWrap/>
            <w:vAlign w:val="center"/>
            <w:hideMark/>
          </w:tcPr>
          <w:p w14:paraId="56C28B05"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lastRenderedPageBreak/>
              <w:t>PI</w:t>
            </w:r>
          </w:p>
        </w:tc>
        <w:tc>
          <w:tcPr>
            <w:tcW w:w="1843" w:type="dxa"/>
            <w:tcBorders>
              <w:top w:val="nil"/>
              <w:left w:val="nil"/>
              <w:bottom w:val="single" w:sz="4" w:space="0" w:color="8EA9DB"/>
              <w:right w:val="nil"/>
            </w:tcBorders>
            <w:shd w:val="clear" w:color="auto" w:fill="DEEAF6" w:themeFill="accent5" w:themeFillTint="33"/>
            <w:noWrap/>
            <w:vAlign w:val="center"/>
            <w:hideMark/>
          </w:tcPr>
          <w:p w14:paraId="005C2300" w14:textId="17DDBE8B"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6</w:t>
            </w:r>
          </w:p>
        </w:tc>
        <w:tc>
          <w:tcPr>
            <w:tcW w:w="1843" w:type="dxa"/>
            <w:tcBorders>
              <w:top w:val="nil"/>
              <w:left w:val="nil"/>
              <w:bottom w:val="single" w:sz="4" w:space="0" w:color="8EA9DB"/>
              <w:right w:val="nil"/>
            </w:tcBorders>
            <w:shd w:val="clear" w:color="auto" w:fill="DEEAF6" w:themeFill="accent5" w:themeFillTint="33"/>
            <w:noWrap/>
            <w:vAlign w:val="center"/>
            <w:hideMark/>
          </w:tcPr>
          <w:p w14:paraId="69B764DB" w14:textId="38E0E10B"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4.470.203,12</w:t>
            </w:r>
          </w:p>
        </w:tc>
      </w:tr>
      <w:tr w:rsidR="00651A7B" w:rsidRPr="00EE7079" w14:paraId="0A8DACE7" w14:textId="45253C59" w:rsidTr="0027209C">
        <w:trPr>
          <w:trHeight w:val="283"/>
          <w:jc w:val="center"/>
        </w:trPr>
        <w:tc>
          <w:tcPr>
            <w:tcW w:w="3686" w:type="dxa"/>
            <w:tcBorders>
              <w:top w:val="nil"/>
              <w:left w:val="nil"/>
              <w:bottom w:val="nil"/>
              <w:right w:val="nil"/>
            </w:tcBorders>
            <w:shd w:val="clear" w:color="auto" w:fill="DEEAF6" w:themeFill="accent5" w:themeFillTint="33"/>
            <w:noWrap/>
            <w:vAlign w:val="center"/>
            <w:hideMark/>
          </w:tcPr>
          <w:p w14:paraId="44D84140"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DEEAF6" w:themeFill="accent5" w:themeFillTint="33"/>
            <w:noWrap/>
            <w:vAlign w:val="center"/>
            <w:hideMark/>
          </w:tcPr>
          <w:p w14:paraId="374C07F2"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DEEAF6" w:themeFill="accent5" w:themeFillTint="33"/>
            <w:noWrap/>
            <w:vAlign w:val="center"/>
            <w:hideMark/>
          </w:tcPr>
          <w:p w14:paraId="7AD9A4A1" w14:textId="4BBC66C5"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2.264.528,49</w:t>
            </w:r>
          </w:p>
        </w:tc>
      </w:tr>
      <w:tr w:rsidR="00651A7B" w:rsidRPr="00EE7079" w14:paraId="1A529BC6" w14:textId="617E5E52" w:rsidTr="0027209C">
        <w:trPr>
          <w:trHeight w:val="283"/>
          <w:jc w:val="center"/>
        </w:trPr>
        <w:tc>
          <w:tcPr>
            <w:tcW w:w="3686" w:type="dxa"/>
            <w:tcBorders>
              <w:top w:val="nil"/>
              <w:left w:val="nil"/>
              <w:bottom w:val="nil"/>
              <w:right w:val="nil"/>
            </w:tcBorders>
            <w:shd w:val="clear" w:color="auto" w:fill="DEEAF6" w:themeFill="accent5" w:themeFillTint="33"/>
            <w:noWrap/>
            <w:vAlign w:val="center"/>
            <w:hideMark/>
          </w:tcPr>
          <w:p w14:paraId="782EC97F"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PIAUÍ FOMENTO</w:t>
            </w:r>
          </w:p>
        </w:tc>
        <w:tc>
          <w:tcPr>
            <w:tcW w:w="1843" w:type="dxa"/>
            <w:tcBorders>
              <w:top w:val="nil"/>
              <w:left w:val="nil"/>
              <w:bottom w:val="nil"/>
              <w:right w:val="nil"/>
            </w:tcBorders>
            <w:shd w:val="clear" w:color="auto" w:fill="DEEAF6" w:themeFill="accent5" w:themeFillTint="33"/>
            <w:noWrap/>
            <w:vAlign w:val="center"/>
            <w:hideMark/>
          </w:tcPr>
          <w:p w14:paraId="35F4F417"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5</w:t>
            </w:r>
          </w:p>
        </w:tc>
        <w:tc>
          <w:tcPr>
            <w:tcW w:w="1843" w:type="dxa"/>
            <w:tcBorders>
              <w:top w:val="nil"/>
              <w:left w:val="nil"/>
              <w:bottom w:val="nil"/>
              <w:right w:val="nil"/>
            </w:tcBorders>
            <w:shd w:val="clear" w:color="auto" w:fill="DEEAF6" w:themeFill="accent5" w:themeFillTint="33"/>
            <w:noWrap/>
            <w:vAlign w:val="center"/>
            <w:hideMark/>
          </w:tcPr>
          <w:p w14:paraId="1144E003" w14:textId="464D2A4F"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2.205.674,63</w:t>
            </w:r>
          </w:p>
        </w:tc>
      </w:tr>
      <w:tr w:rsidR="00651A7B" w:rsidRPr="00EE7079" w14:paraId="58469780" w14:textId="29278AE0"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6E2EB5BF"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PR</w:t>
            </w:r>
          </w:p>
        </w:tc>
        <w:tc>
          <w:tcPr>
            <w:tcW w:w="1843" w:type="dxa"/>
            <w:tcBorders>
              <w:top w:val="nil"/>
              <w:left w:val="nil"/>
              <w:bottom w:val="single" w:sz="4" w:space="0" w:color="8EA9DB"/>
              <w:right w:val="nil"/>
            </w:tcBorders>
            <w:shd w:val="clear" w:color="auto" w:fill="auto"/>
            <w:noWrap/>
            <w:vAlign w:val="center"/>
            <w:hideMark/>
          </w:tcPr>
          <w:p w14:paraId="10FF50C8"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99</w:t>
            </w:r>
          </w:p>
        </w:tc>
        <w:tc>
          <w:tcPr>
            <w:tcW w:w="1843" w:type="dxa"/>
            <w:tcBorders>
              <w:top w:val="nil"/>
              <w:left w:val="nil"/>
              <w:bottom w:val="single" w:sz="4" w:space="0" w:color="8EA9DB"/>
              <w:right w:val="nil"/>
            </w:tcBorders>
            <w:shd w:val="clear" w:color="auto" w:fill="auto"/>
            <w:noWrap/>
            <w:vAlign w:val="center"/>
            <w:hideMark/>
          </w:tcPr>
          <w:p w14:paraId="2DCACDD1" w14:textId="2E07450B"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268.243.836,98</w:t>
            </w:r>
          </w:p>
        </w:tc>
      </w:tr>
      <w:tr w:rsidR="00651A7B" w:rsidRPr="00EE7079" w14:paraId="6396C666" w14:textId="54823702" w:rsidTr="0027209C">
        <w:trPr>
          <w:trHeight w:val="283"/>
          <w:jc w:val="center"/>
        </w:trPr>
        <w:tc>
          <w:tcPr>
            <w:tcW w:w="3686" w:type="dxa"/>
            <w:tcBorders>
              <w:top w:val="nil"/>
              <w:left w:val="nil"/>
              <w:bottom w:val="nil"/>
              <w:right w:val="nil"/>
            </w:tcBorders>
            <w:shd w:val="clear" w:color="auto" w:fill="auto"/>
            <w:noWrap/>
            <w:vAlign w:val="center"/>
            <w:hideMark/>
          </w:tcPr>
          <w:p w14:paraId="272EFBC4"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BANRISUL</w:t>
            </w:r>
          </w:p>
        </w:tc>
        <w:tc>
          <w:tcPr>
            <w:tcW w:w="1843" w:type="dxa"/>
            <w:tcBorders>
              <w:top w:val="nil"/>
              <w:left w:val="nil"/>
              <w:bottom w:val="nil"/>
              <w:right w:val="nil"/>
            </w:tcBorders>
            <w:shd w:val="clear" w:color="auto" w:fill="auto"/>
            <w:noWrap/>
            <w:vAlign w:val="center"/>
            <w:hideMark/>
          </w:tcPr>
          <w:p w14:paraId="507D681E"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76101F89" w14:textId="55D93B99"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523.242,90</w:t>
            </w:r>
          </w:p>
        </w:tc>
      </w:tr>
      <w:tr w:rsidR="00651A7B" w:rsidRPr="00EE7079" w14:paraId="3FFF81E1" w14:textId="67E70F09" w:rsidTr="0027209C">
        <w:trPr>
          <w:trHeight w:val="283"/>
          <w:jc w:val="center"/>
        </w:trPr>
        <w:tc>
          <w:tcPr>
            <w:tcW w:w="3686" w:type="dxa"/>
            <w:tcBorders>
              <w:top w:val="nil"/>
              <w:left w:val="nil"/>
              <w:bottom w:val="nil"/>
              <w:right w:val="nil"/>
            </w:tcBorders>
            <w:shd w:val="clear" w:color="auto" w:fill="auto"/>
            <w:noWrap/>
            <w:vAlign w:val="center"/>
            <w:hideMark/>
          </w:tcPr>
          <w:p w14:paraId="2A462C2B"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BRDE</w:t>
            </w:r>
          </w:p>
        </w:tc>
        <w:tc>
          <w:tcPr>
            <w:tcW w:w="1843" w:type="dxa"/>
            <w:tcBorders>
              <w:top w:val="nil"/>
              <w:left w:val="nil"/>
              <w:bottom w:val="nil"/>
              <w:right w:val="nil"/>
            </w:tcBorders>
            <w:shd w:val="clear" w:color="auto" w:fill="auto"/>
            <w:noWrap/>
            <w:vAlign w:val="center"/>
            <w:hideMark/>
          </w:tcPr>
          <w:p w14:paraId="611943C9"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42</w:t>
            </w:r>
          </w:p>
        </w:tc>
        <w:tc>
          <w:tcPr>
            <w:tcW w:w="1843" w:type="dxa"/>
            <w:tcBorders>
              <w:top w:val="nil"/>
              <w:left w:val="nil"/>
              <w:bottom w:val="nil"/>
              <w:right w:val="nil"/>
            </w:tcBorders>
            <w:shd w:val="clear" w:color="auto" w:fill="auto"/>
            <w:noWrap/>
            <w:vAlign w:val="center"/>
            <w:hideMark/>
          </w:tcPr>
          <w:p w14:paraId="214A71E1" w14:textId="04935F9A"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167.398.446,89</w:t>
            </w:r>
          </w:p>
        </w:tc>
      </w:tr>
      <w:tr w:rsidR="00651A7B" w:rsidRPr="00EE7079" w14:paraId="4AB01B33" w14:textId="6A656282" w:rsidTr="0027209C">
        <w:trPr>
          <w:trHeight w:val="283"/>
          <w:jc w:val="center"/>
        </w:trPr>
        <w:tc>
          <w:tcPr>
            <w:tcW w:w="3686" w:type="dxa"/>
            <w:tcBorders>
              <w:top w:val="nil"/>
              <w:left w:val="nil"/>
              <w:bottom w:val="nil"/>
              <w:right w:val="nil"/>
            </w:tcBorders>
            <w:shd w:val="clear" w:color="auto" w:fill="auto"/>
            <w:noWrap/>
            <w:vAlign w:val="center"/>
            <w:hideMark/>
          </w:tcPr>
          <w:p w14:paraId="482676F8"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BASER</w:t>
            </w:r>
          </w:p>
        </w:tc>
        <w:tc>
          <w:tcPr>
            <w:tcW w:w="1843" w:type="dxa"/>
            <w:tcBorders>
              <w:top w:val="nil"/>
              <w:left w:val="nil"/>
              <w:bottom w:val="nil"/>
              <w:right w:val="nil"/>
            </w:tcBorders>
            <w:shd w:val="clear" w:color="auto" w:fill="auto"/>
            <w:noWrap/>
            <w:vAlign w:val="center"/>
            <w:hideMark/>
          </w:tcPr>
          <w:p w14:paraId="06AEE6F5"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36</w:t>
            </w:r>
          </w:p>
        </w:tc>
        <w:tc>
          <w:tcPr>
            <w:tcW w:w="1843" w:type="dxa"/>
            <w:tcBorders>
              <w:top w:val="nil"/>
              <w:left w:val="nil"/>
              <w:bottom w:val="nil"/>
              <w:right w:val="nil"/>
            </w:tcBorders>
            <w:shd w:val="clear" w:color="auto" w:fill="auto"/>
            <w:noWrap/>
            <w:vAlign w:val="center"/>
            <w:hideMark/>
          </w:tcPr>
          <w:p w14:paraId="7EDEF6D4" w14:textId="348EE234"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87.459.161,63</w:t>
            </w:r>
          </w:p>
        </w:tc>
      </w:tr>
      <w:tr w:rsidR="00651A7B" w:rsidRPr="00EE7079" w14:paraId="761292EE" w14:textId="473D045C" w:rsidTr="0027209C">
        <w:trPr>
          <w:trHeight w:val="283"/>
          <w:jc w:val="center"/>
        </w:trPr>
        <w:tc>
          <w:tcPr>
            <w:tcW w:w="3686" w:type="dxa"/>
            <w:tcBorders>
              <w:top w:val="nil"/>
              <w:left w:val="nil"/>
              <w:bottom w:val="nil"/>
              <w:right w:val="nil"/>
            </w:tcBorders>
            <w:shd w:val="clear" w:color="auto" w:fill="auto"/>
            <w:noWrap/>
            <w:vAlign w:val="center"/>
            <w:hideMark/>
          </w:tcPr>
          <w:p w14:paraId="61105ADA"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4B7A498B"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2D642600" w14:textId="2305CCEE"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1.514.705,38</w:t>
            </w:r>
          </w:p>
        </w:tc>
      </w:tr>
      <w:tr w:rsidR="00651A7B" w:rsidRPr="00EE7079" w14:paraId="4A72882A" w14:textId="5F05F4AF" w:rsidTr="0027209C">
        <w:trPr>
          <w:trHeight w:val="283"/>
          <w:jc w:val="center"/>
        </w:trPr>
        <w:tc>
          <w:tcPr>
            <w:tcW w:w="3686" w:type="dxa"/>
            <w:tcBorders>
              <w:top w:val="nil"/>
              <w:left w:val="nil"/>
              <w:bottom w:val="nil"/>
              <w:right w:val="nil"/>
            </w:tcBorders>
            <w:shd w:val="clear" w:color="auto" w:fill="auto"/>
            <w:noWrap/>
            <w:vAlign w:val="center"/>
            <w:hideMark/>
          </w:tcPr>
          <w:p w14:paraId="419BB8DC"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FOMENTO PARANÁ</w:t>
            </w:r>
          </w:p>
        </w:tc>
        <w:tc>
          <w:tcPr>
            <w:tcW w:w="1843" w:type="dxa"/>
            <w:tcBorders>
              <w:top w:val="nil"/>
              <w:left w:val="nil"/>
              <w:bottom w:val="nil"/>
              <w:right w:val="nil"/>
            </w:tcBorders>
            <w:shd w:val="clear" w:color="auto" w:fill="auto"/>
            <w:noWrap/>
            <w:vAlign w:val="center"/>
            <w:hideMark/>
          </w:tcPr>
          <w:p w14:paraId="0E0FA844"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16</w:t>
            </w:r>
          </w:p>
        </w:tc>
        <w:tc>
          <w:tcPr>
            <w:tcW w:w="1843" w:type="dxa"/>
            <w:tcBorders>
              <w:top w:val="nil"/>
              <w:left w:val="nil"/>
              <w:bottom w:val="nil"/>
              <w:right w:val="nil"/>
            </w:tcBorders>
            <w:shd w:val="clear" w:color="auto" w:fill="auto"/>
            <w:noWrap/>
            <w:vAlign w:val="center"/>
            <w:hideMark/>
          </w:tcPr>
          <w:p w14:paraId="09B6F21A" w14:textId="487E78F6"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7.743.383,14</w:t>
            </w:r>
          </w:p>
        </w:tc>
      </w:tr>
      <w:tr w:rsidR="00651A7B" w:rsidRPr="00EE7079" w14:paraId="3DF90933" w14:textId="5241AB8F" w:rsidTr="0027209C">
        <w:trPr>
          <w:trHeight w:val="283"/>
          <w:jc w:val="center"/>
        </w:trPr>
        <w:tc>
          <w:tcPr>
            <w:tcW w:w="3686" w:type="dxa"/>
            <w:tcBorders>
              <w:top w:val="nil"/>
              <w:left w:val="nil"/>
              <w:bottom w:val="nil"/>
              <w:right w:val="nil"/>
            </w:tcBorders>
            <w:shd w:val="clear" w:color="auto" w:fill="auto"/>
            <w:noWrap/>
            <w:vAlign w:val="center"/>
            <w:hideMark/>
          </w:tcPr>
          <w:p w14:paraId="26DEA05B"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auto"/>
            <w:noWrap/>
            <w:vAlign w:val="center"/>
            <w:hideMark/>
          </w:tcPr>
          <w:p w14:paraId="45BA8884"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3</w:t>
            </w:r>
          </w:p>
        </w:tc>
        <w:tc>
          <w:tcPr>
            <w:tcW w:w="1843" w:type="dxa"/>
            <w:tcBorders>
              <w:top w:val="nil"/>
              <w:left w:val="nil"/>
              <w:bottom w:val="nil"/>
              <w:right w:val="nil"/>
            </w:tcBorders>
            <w:shd w:val="clear" w:color="auto" w:fill="auto"/>
            <w:noWrap/>
            <w:vAlign w:val="center"/>
            <w:hideMark/>
          </w:tcPr>
          <w:p w14:paraId="20141868" w14:textId="4FBB3552"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3.604.897,04</w:t>
            </w:r>
          </w:p>
        </w:tc>
      </w:tr>
      <w:tr w:rsidR="00651A7B" w:rsidRPr="00EE7079" w14:paraId="1FF910B2" w14:textId="32DA7D5A"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15E2C4F1"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RJ</w:t>
            </w:r>
          </w:p>
        </w:tc>
        <w:tc>
          <w:tcPr>
            <w:tcW w:w="1843" w:type="dxa"/>
            <w:tcBorders>
              <w:top w:val="nil"/>
              <w:left w:val="nil"/>
              <w:bottom w:val="single" w:sz="4" w:space="0" w:color="8EA9DB"/>
              <w:right w:val="nil"/>
            </w:tcBorders>
            <w:shd w:val="clear" w:color="auto" w:fill="auto"/>
            <w:noWrap/>
            <w:vAlign w:val="center"/>
            <w:hideMark/>
          </w:tcPr>
          <w:p w14:paraId="37AA1C1B"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10</w:t>
            </w:r>
          </w:p>
        </w:tc>
        <w:tc>
          <w:tcPr>
            <w:tcW w:w="1843" w:type="dxa"/>
            <w:tcBorders>
              <w:top w:val="nil"/>
              <w:left w:val="nil"/>
              <w:bottom w:val="single" w:sz="4" w:space="0" w:color="8EA9DB"/>
              <w:right w:val="nil"/>
            </w:tcBorders>
            <w:shd w:val="clear" w:color="auto" w:fill="auto"/>
            <w:noWrap/>
            <w:vAlign w:val="center"/>
            <w:hideMark/>
          </w:tcPr>
          <w:p w14:paraId="14050763" w14:textId="5BA460F9"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13.929.441,25</w:t>
            </w:r>
          </w:p>
        </w:tc>
      </w:tr>
      <w:tr w:rsidR="00651A7B" w:rsidRPr="00EE7079" w14:paraId="051D6582" w14:textId="5A4BE7F3" w:rsidTr="0027209C">
        <w:trPr>
          <w:trHeight w:val="283"/>
          <w:jc w:val="center"/>
        </w:trPr>
        <w:tc>
          <w:tcPr>
            <w:tcW w:w="3686" w:type="dxa"/>
            <w:tcBorders>
              <w:top w:val="nil"/>
              <w:left w:val="nil"/>
              <w:bottom w:val="nil"/>
              <w:right w:val="nil"/>
            </w:tcBorders>
            <w:shd w:val="clear" w:color="auto" w:fill="auto"/>
            <w:noWrap/>
            <w:vAlign w:val="center"/>
            <w:hideMark/>
          </w:tcPr>
          <w:p w14:paraId="31024B31"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AGERIO</w:t>
            </w:r>
          </w:p>
        </w:tc>
        <w:tc>
          <w:tcPr>
            <w:tcW w:w="1843" w:type="dxa"/>
            <w:tcBorders>
              <w:top w:val="nil"/>
              <w:left w:val="nil"/>
              <w:bottom w:val="nil"/>
              <w:right w:val="nil"/>
            </w:tcBorders>
            <w:shd w:val="clear" w:color="auto" w:fill="auto"/>
            <w:noWrap/>
            <w:vAlign w:val="center"/>
            <w:hideMark/>
          </w:tcPr>
          <w:p w14:paraId="400B5810"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8</w:t>
            </w:r>
          </w:p>
        </w:tc>
        <w:tc>
          <w:tcPr>
            <w:tcW w:w="1843" w:type="dxa"/>
            <w:tcBorders>
              <w:top w:val="nil"/>
              <w:left w:val="nil"/>
              <w:bottom w:val="nil"/>
              <w:right w:val="nil"/>
            </w:tcBorders>
            <w:shd w:val="clear" w:color="auto" w:fill="auto"/>
            <w:noWrap/>
            <w:vAlign w:val="center"/>
            <w:hideMark/>
          </w:tcPr>
          <w:p w14:paraId="0E3E3FAC" w14:textId="33CB0CFE"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7.159.441,25</w:t>
            </w:r>
          </w:p>
        </w:tc>
      </w:tr>
      <w:tr w:rsidR="00651A7B" w:rsidRPr="00EE7079" w14:paraId="3B14159A" w14:textId="175A363C" w:rsidTr="0027209C">
        <w:trPr>
          <w:trHeight w:val="283"/>
          <w:jc w:val="center"/>
        </w:trPr>
        <w:tc>
          <w:tcPr>
            <w:tcW w:w="3686" w:type="dxa"/>
            <w:tcBorders>
              <w:top w:val="nil"/>
              <w:left w:val="nil"/>
              <w:bottom w:val="nil"/>
              <w:right w:val="nil"/>
            </w:tcBorders>
            <w:shd w:val="clear" w:color="auto" w:fill="auto"/>
            <w:noWrap/>
            <w:vAlign w:val="center"/>
            <w:hideMark/>
          </w:tcPr>
          <w:p w14:paraId="53CBCC4C"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BASER</w:t>
            </w:r>
          </w:p>
        </w:tc>
        <w:tc>
          <w:tcPr>
            <w:tcW w:w="1843" w:type="dxa"/>
            <w:tcBorders>
              <w:top w:val="nil"/>
              <w:left w:val="nil"/>
              <w:bottom w:val="nil"/>
              <w:right w:val="nil"/>
            </w:tcBorders>
            <w:shd w:val="clear" w:color="auto" w:fill="auto"/>
            <w:noWrap/>
            <w:vAlign w:val="center"/>
            <w:hideMark/>
          </w:tcPr>
          <w:p w14:paraId="4C694F8F"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7F1DF384" w14:textId="3AB59BD8"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2.250.000,00</w:t>
            </w:r>
          </w:p>
        </w:tc>
      </w:tr>
      <w:tr w:rsidR="00651A7B" w:rsidRPr="00EE7079" w14:paraId="6422704A" w14:textId="67329C98" w:rsidTr="0027209C">
        <w:trPr>
          <w:trHeight w:val="283"/>
          <w:jc w:val="center"/>
        </w:trPr>
        <w:tc>
          <w:tcPr>
            <w:tcW w:w="3686" w:type="dxa"/>
            <w:tcBorders>
              <w:top w:val="nil"/>
              <w:left w:val="nil"/>
              <w:bottom w:val="nil"/>
              <w:right w:val="nil"/>
            </w:tcBorders>
            <w:shd w:val="clear" w:color="auto" w:fill="auto"/>
            <w:noWrap/>
            <w:vAlign w:val="center"/>
            <w:hideMark/>
          </w:tcPr>
          <w:p w14:paraId="0C8D7829"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2A476DC0"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114A22B7" w14:textId="6350AA40"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4.520.000,00</w:t>
            </w:r>
          </w:p>
        </w:tc>
      </w:tr>
      <w:tr w:rsidR="00651A7B" w:rsidRPr="00EE7079" w14:paraId="199EEC1F" w14:textId="0D9D52C6" w:rsidTr="0027209C">
        <w:trPr>
          <w:trHeight w:val="283"/>
          <w:jc w:val="center"/>
        </w:trPr>
        <w:tc>
          <w:tcPr>
            <w:tcW w:w="3686" w:type="dxa"/>
            <w:tcBorders>
              <w:top w:val="nil"/>
              <w:left w:val="nil"/>
              <w:bottom w:val="single" w:sz="4" w:space="0" w:color="8EA9DB"/>
              <w:right w:val="nil"/>
            </w:tcBorders>
            <w:shd w:val="clear" w:color="auto" w:fill="DEEAF6" w:themeFill="accent5" w:themeFillTint="33"/>
            <w:noWrap/>
            <w:vAlign w:val="center"/>
            <w:hideMark/>
          </w:tcPr>
          <w:p w14:paraId="183AAE5D"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RR</w:t>
            </w:r>
          </w:p>
        </w:tc>
        <w:tc>
          <w:tcPr>
            <w:tcW w:w="1843" w:type="dxa"/>
            <w:tcBorders>
              <w:top w:val="nil"/>
              <w:left w:val="nil"/>
              <w:bottom w:val="single" w:sz="4" w:space="0" w:color="8EA9DB"/>
              <w:right w:val="nil"/>
            </w:tcBorders>
            <w:shd w:val="clear" w:color="auto" w:fill="DEEAF6" w:themeFill="accent5" w:themeFillTint="33"/>
            <w:noWrap/>
            <w:vAlign w:val="center"/>
            <w:hideMark/>
          </w:tcPr>
          <w:p w14:paraId="1E3FD358"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1</w:t>
            </w:r>
          </w:p>
        </w:tc>
        <w:tc>
          <w:tcPr>
            <w:tcW w:w="1843" w:type="dxa"/>
            <w:tcBorders>
              <w:top w:val="nil"/>
              <w:left w:val="nil"/>
              <w:bottom w:val="single" w:sz="4" w:space="0" w:color="8EA9DB"/>
              <w:right w:val="nil"/>
            </w:tcBorders>
            <w:shd w:val="clear" w:color="auto" w:fill="DEEAF6" w:themeFill="accent5" w:themeFillTint="33"/>
            <w:noWrap/>
            <w:vAlign w:val="center"/>
            <w:hideMark/>
          </w:tcPr>
          <w:p w14:paraId="119B9B3B" w14:textId="258C5BBC"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3.581.356,99</w:t>
            </w:r>
          </w:p>
        </w:tc>
      </w:tr>
      <w:tr w:rsidR="00651A7B" w:rsidRPr="00EE7079" w14:paraId="48FD6F16" w14:textId="47BB8BAD" w:rsidTr="0027209C">
        <w:trPr>
          <w:trHeight w:val="283"/>
          <w:jc w:val="center"/>
        </w:trPr>
        <w:tc>
          <w:tcPr>
            <w:tcW w:w="3686" w:type="dxa"/>
            <w:tcBorders>
              <w:top w:val="nil"/>
              <w:left w:val="nil"/>
              <w:bottom w:val="nil"/>
              <w:right w:val="nil"/>
            </w:tcBorders>
            <w:shd w:val="clear" w:color="auto" w:fill="DEEAF6" w:themeFill="accent5" w:themeFillTint="33"/>
            <w:noWrap/>
            <w:vAlign w:val="center"/>
            <w:hideMark/>
          </w:tcPr>
          <w:p w14:paraId="00D511E5"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DEEAF6" w:themeFill="accent5" w:themeFillTint="33"/>
            <w:noWrap/>
            <w:vAlign w:val="center"/>
            <w:hideMark/>
          </w:tcPr>
          <w:p w14:paraId="091C2D40"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DEEAF6" w:themeFill="accent5" w:themeFillTint="33"/>
            <w:noWrap/>
            <w:vAlign w:val="center"/>
            <w:hideMark/>
          </w:tcPr>
          <w:p w14:paraId="1900A66D" w14:textId="688B30F8"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3.581.356,99</w:t>
            </w:r>
          </w:p>
        </w:tc>
      </w:tr>
      <w:tr w:rsidR="00651A7B" w:rsidRPr="00EE7079" w14:paraId="5C91E0EB" w14:textId="387A2BD9"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3D9B8C20"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RS</w:t>
            </w:r>
          </w:p>
        </w:tc>
        <w:tc>
          <w:tcPr>
            <w:tcW w:w="1843" w:type="dxa"/>
            <w:tcBorders>
              <w:top w:val="nil"/>
              <w:left w:val="nil"/>
              <w:bottom w:val="single" w:sz="4" w:space="0" w:color="8EA9DB"/>
              <w:right w:val="nil"/>
            </w:tcBorders>
            <w:shd w:val="clear" w:color="auto" w:fill="auto"/>
            <w:noWrap/>
            <w:vAlign w:val="center"/>
            <w:hideMark/>
          </w:tcPr>
          <w:p w14:paraId="135B83CA"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181</w:t>
            </w:r>
          </w:p>
        </w:tc>
        <w:tc>
          <w:tcPr>
            <w:tcW w:w="1843" w:type="dxa"/>
            <w:tcBorders>
              <w:top w:val="nil"/>
              <w:left w:val="nil"/>
              <w:bottom w:val="single" w:sz="4" w:space="0" w:color="8EA9DB"/>
              <w:right w:val="nil"/>
            </w:tcBorders>
            <w:shd w:val="clear" w:color="auto" w:fill="auto"/>
            <w:noWrap/>
            <w:vAlign w:val="center"/>
            <w:hideMark/>
          </w:tcPr>
          <w:p w14:paraId="38DB9FE5" w14:textId="61F867C6"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377.294.877,10</w:t>
            </w:r>
          </w:p>
        </w:tc>
      </w:tr>
      <w:tr w:rsidR="00651A7B" w:rsidRPr="00EE7079" w14:paraId="6749A1A7" w14:textId="55B94730" w:rsidTr="0027209C">
        <w:trPr>
          <w:trHeight w:val="283"/>
          <w:jc w:val="center"/>
        </w:trPr>
        <w:tc>
          <w:tcPr>
            <w:tcW w:w="3686" w:type="dxa"/>
            <w:tcBorders>
              <w:top w:val="nil"/>
              <w:left w:val="nil"/>
              <w:bottom w:val="nil"/>
              <w:right w:val="nil"/>
            </w:tcBorders>
            <w:shd w:val="clear" w:color="auto" w:fill="auto"/>
            <w:noWrap/>
            <w:vAlign w:val="center"/>
            <w:hideMark/>
          </w:tcPr>
          <w:p w14:paraId="636E7135"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BADESUL</w:t>
            </w:r>
          </w:p>
        </w:tc>
        <w:tc>
          <w:tcPr>
            <w:tcW w:w="1843" w:type="dxa"/>
            <w:tcBorders>
              <w:top w:val="nil"/>
              <w:left w:val="nil"/>
              <w:bottom w:val="nil"/>
              <w:right w:val="nil"/>
            </w:tcBorders>
            <w:shd w:val="clear" w:color="auto" w:fill="auto"/>
            <w:noWrap/>
            <w:vAlign w:val="center"/>
            <w:hideMark/>
          </w:tcPr>
          <w:p w14:paraId="1EF9F64B"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30</w:t>
            </w:r>
          </w:p>
        </w:tc>
        <w:tc>
          <w:tcPr>
            <w:tcW w:w="1843" w:type="dxa"/>
            <w:tcBorders>
              <w:top w:val="nil"/>
              <w:left w:val="nil"/>
              <w:bottom w:val="nil"/>
              <w:right w:val="nil"/>
            </w:tcBorders>
            <w:shd w:val="clear" w:color="auto" w:fill="auto"/>
            <w:noWrap/>
            <w:vAlign w:val="center"/>
            <w:hideMark/>
          </w:tcPr>
          <w:p w14:paraId="766A4E45" w14:textId="0BC0C9FD"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75.650.441,66</w:t>
            </w:r>
          </w:p>
        </w:tc>
      </w:tr>
      <w:tr w:rsidR="00651A7B" w:rsidRPr="00EE7079" w14:paraId="57EF20D6" w14:textId="7D6F01BE" w:rsidTr="0027209C">
        <w:trPr>
          <w:trHeight w:val="283"/>
          <w:jc w:val="center"/>
        </w:trPr>
        <w:tc>
          <w:tcPr>
            <w:tcW w:w="3686" w:type="dxa"/>
            <w:tcBorders>
              <w:top w:val="nil"/>
              <w:left w:val="nil"/>
              <w:bottom w:val="nil"/>
              <w:right w:val="nil"/>
            </w:tcBorders>
            <w:shd w:val="clear" w:color="auto" w:fill="auto"/>
            <w:noWrap/>
            <w:vAlign w:val="center"/>
            <w:hideMark/>
          </w:tcPr>
          <w:p w14:paraId="0ECB75C9"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BANRISUL</w:t>
            </w:r>
          </w:p>
        </w:tc>
        <w:tc>
          <w:tcPr>
            <w:tcW w:w="1843" w:type="dxa"/>
            <w:tcBorders>
              <w:top w:val="nil"/>
              <w:left w:val="nil"/>
              <w:bottom w:val="nil"/>
              <w:right w:val="nil"/>
            </w:tcBorders>
            <w:shd w:val="clear" w:color="auto" w:fill="auto"/>
            <w:noWrap/>
            <w:vAlign w:val="center"/>
            <w:hideMark/>
          </w:tcPr>
          <w:p w14:paraId="2E726C00"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35</w:t>
            </w:r>
          </w:p>
        </w:tc>
        <w:tc>
          <w:tcPr>
            <w:tcW w:w="1843" w:type="dxa"/>
            <w:tcBorders>
              <w:top w:val="nil"/>
              <w:left w:val="nil"/>
              <w:bottom w:val="nil"/>
              <w:right w:val="nil"/>
            </w:tcBorders>
            <w:shd w:val="clear" w:color="auto" w:fill="auto"/>
            <w:noWrap/>
            <w:vAlign w:val="center"/>
            <w:hideMark/>
          </w:tcPr>
          <w:p w14:paraId="76A5F684" w14:textId="6F4747A4"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53.886.643,50</w:t>
            </w:r>
          </w:p>
        </w:tc>
      </w:tr>
      <w:tr w:rsidR="00651A7B" w:rsidRPr="00EE7079" w14:paraId="6550D227" w14:textId="5190CEEA" w:rsidTr="0027209C">
        <w:trPr>
          <w:trHeight w:val="283"/>
          <w:jc w:val="center"/>
        </w:trPr>
        <w:tc>
          <w:tcPr>
            <w:tcW w:w="3686" w:type="dxa"/>
            <w:tcBorders>
              <w:top w:val="nil"/>
              <w:left w:val="nil"/>
              <w:bottom w:val="nil"/>
              <w:right w:val="nil"/>
            </w:tcBorders>
            <w:shd w:val="clear" w:color="auto" w:fill="auto"/>
            <w:noWrap/>
            <w:vAlign w:val="center"/>
            <w:hideMark/>
          </w:tcPr>
          <w:p w14:paraId="0BCB8764"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BRDE</w:t>
            </w:r>
          </w:p>
        </w:tc>
        <w:tc>
          <w:tcPr>
            <w:tcW w:w="1843" w:type="dxa"/>
            <w:tcBorders>
              <w:top w:val="nil"/>
              <w:left w:val="nil"/>
              <w:bottom w:val="nil"/>
              <w:right w:val="nil"/>
            </w:tcBorders>
            <w:shd w:val="clear" w:color="auto" w:fill="auto"/>
            <w:noWrap/>
            <w:vAlign w:val="center"/>
            <w:hideMark/>
          </w:tcPr>
          <w:p w14:paraId="1A15AC0C"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49</w:t>
            </w:r>
          </w:p>
        </w:tc>
        <w:tc>
          <w:tcPr>
            <w:tcW w:w="1843" w:type="dxa"/>
            <w:tcBorders>
              <w:top w:val="nil"/>
              <w:left w:val="nil"/>
              <w:bottom w:val="nil"/>
              <w:right w:val="nil"/>
            </w:tcBorders>
            <w:shd w:val="clear" w:color="auto" w:fill="auto"/>
            <w:noWrap/>
            <w:vAlign w:val="center"/>
            <w:hideMark/>
          </w:tcPr>
          <w:p w14:paraId="4C75FBFC" w14:textId="60EC2C95"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142.859.183,16</w:t>
            </w:r>
          </w:p>
        </w:tc>
      </w:tr>
      <w:tr w:rsidR="00651A7B" w:rsidRPr="00EE7079" w14:paraId="5DC7C7EF" w14:textId="3F831AB3" w:rsidTr="0027209C">
        <w:trPr>
          <w:trHeight w:val="283"/>
          <w:jc w:val="center"/>
        </w:trPr>
        <w:tc>
          <w:tcPr>
            <w:tcW w:w="3686" w:type="dxa"/>
            <w:tcBorders>
              <w:top w:val="nil"/>
              <w:left w:val="nil"/>
              <w:bottom w:val="nil"/>
              <w:right w:val="nil"/>
            </w:tcBorders>
            <w:shd w:val="clear" w:color="auto" w:fill="auto"/>
            <w:noWrap/>
            <w:vAlign w:val="center"/>
            <w:hideMark/>
          </w:tcPr>
          <w:p w14:paraId="689B19AD"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BASER</w:t>
            </w:r>
          </w:p>
        </w:tc>
        <w:tc>
          <w:tcPr>
            <w:tcW w:w="1843" w:type="dxa"/>
            <w:tcBorders>
              <w:top w:val="nil"/>
              <w:left w:val="nil"/>
              <w:bottom w:val="nil"/>
              <w:right w:val="nil"/>
            </w:tcBorders>
            <w:shd w:val="clear" w:color="auto" w:fill="auto"/>
            <w:noWrap/>
            <w:vAlign w:val="center"/>
            <w:hideMark/>
          </w:tcPr>
          <w:p w14:paraId="2134F730"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3</w:t>
            </w:r>
          </w:p>
        </w:tc>
        <w:tc>
          <w:tcPr>
            <w:tcW w:w="1843" w:type="dxa"/>
            <w:tcBorders>
              <w:top w:val="nil"/>
              <w:left w:val="nil"/>
              <w:bottom w:val="nil"/>
              <w:right w:val="nil"/>
            </w:tcBorders>
            <w:shd w:val="clear" w:color="auto" w:fill="auto"/>
            <w:noWrap/>
            <w:vAlign w:val="center"/>
            <w:hideMark/>
          </w:tcPr>
          <w:p w14:paraId="07FBB127" w14:textId="074813D8"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2.093.705,19</w:t>
            </w:r>
          </w:p>
        </w:tc>
      </w:tr>
      <w:tr w:rsidR="00651A7B" w:rsidRPr="00EE7079" w14:paraId="31AAF51F" w14:textId="69A2E36E" w:rsidTr="0027209C">
        <w:trPr>
          <w:trHeight w:val="283"/>
          <w:jc w:val="center"/>
        </w:trPr>
        <w:tc>
          <w:tcPr>
            <w:tcW w:w="3686" w:type="dxa"/>
            <w:tcBorders>
              <w:top w:val="nil"/>
              <w:left w:val="nil"/>
              <w:bottom w:val="nil"/>
              <w:right w:val="nil"/>
            </w:tcBorders>
            <w:shd w:val="clear" w:color="auto" w:fill="auto"/>
            <w:noWrap/>
            <w:vAlign w:val="center"/>
            <w:hideMark/>
          </w:tcPr>
          <w:p w14:paraId="544E0074"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4F7439CE"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20</w:t>
            </w:r>
          </w:p>
        </w:tc>
        <w:tc>
          <w:tcPr>
            <w:tcW w:w="1843" w:type="dxa"/>
            <w:tcBorders>
              <w:top w:val="nil"/>
              <w:left w:val="nil"/>
              <w:bottom w:val="nil"/>
              <w:right w:val="nil"/>
            </w:tcBorders>
            <w:shd w:val="clear" w:color="auto" w:fill="auto"/>
            <w:noWrap/>
            <w:vAlign w:val="center"/>
            <w:hideMark/>
          </w:tcPr>
          <w:p w14:paraId="38DA819B" w14:textId="065258A4"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27.721.206,72</w:t>
            </w:r>
          </w:p>
        </w:tc>
      </w:tr>
      <w:tr w:rsidR="00651A7B" w:rsidRPr="00EE7079" w14:paraId="1AF60F48" w14:textId="64140AC8" w:rsidTr="0027209C">
        <w:trPr>
          <w:trHeight w:val="283"/>
          <w:jc w:val="center"/>
        </w:trPr>
        <w:tc>
          <w:tcPr>
            <w:tcW w:w="3686" w:type="dxa"/>
            <w:tcBorders>
              <w:top w:val="nil"/>
              <w:left w:val="nil"/>
              <w:bottom w:val="nil"/>
              <w:right w:val="nil"/>
            </w:tcBorders>
            <w:shd w:val="clear" w:color="auto" w:fill="auto"/>
            <w:noWrap/>
            <w:vAlign w:val="center"/>
            <w:hideMark/>
          </w:tcPr>
          <w:p w14:paraId="068A69A0"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SICOPER</w:t>
            </w:r>
          </w:p>
        </w:tc>
        <w:tc>
          <w:tcPr>
            <w:tcW w:w="1843" w:type="dxa"/>
            <w:tcBorders>
              <w:top w:val="nil"/>
              <w:left w:val="nil"/>
              <w:bottom w:val="nil"/>
              <w:right w:val="nil"/>
            </w:tcBorders>
            <w:shd w:val="clear" w:color="auto" w:fill="auto"/>
            <w:noWrap/>
            <w:vAlign w:val="center"/>
            <w:hideMark/>
          </w:tcPr>
          <w:p w14:paraId="0702DDEB"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43</w:t>
            </w:r>
          </w:p>
        </w:tc>
        <w:tc>
          <w:tcPr>
            <w:tcW w:w="1843" w:type="dxa"/>
            <w:tcBorders>
              <w:top w:val="nil"/>
              <w:left w:val="nil"/>
              <w:bottom w:val="nil"/>
              <w:right w:val="nil"/>
            </w:tcBorders>
            <w:shd w:val="clear" w:color="auto" w:fill="auto"/>
            <w:noWrap/>
            <w:vAlign w:val="center"/>
            <w:hideMark/>
          </w:tcPr>
          <w:p w14:paraId="14083C18" w14:textId="164EF5B5"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70.855.627,42</w:t>
            </w:r>
          </w:p>
        </w:tc>
      </w:tr>
      <w:tr w:rsidR="00651A7B" w:rsidRPr="00EE7079" w14:paraId="617BD06C" w14:textId="2DE330AD" w:rsidTr="0027209C">
        <w:trPr>
          <w:trHeight w:val="283"/>
          <w:jc w:val="center"/>
        </w:trPr>
        <w:tc>
          <w:tcPr>
            <w:tcW w:w="3686" w:type="dxa"/>
            <w:tcBorders>
              <w:top w:val="nil"/>
              <w:left w:val="nil"/>
              <w:bottom w:val="nil"/>
              <w:right w:val="nil"/>
            </w:tcBorders>
            <w:shd w:val="clear" w:color="auto" w:fill="auto"/>
            <w:noWrap/>
            <w:vAlign w:val="center"/>
            <w:hideMark/>
          </w:tcPr>
          <w:p w14:paraId="6CB4F739"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auto"/>
            <w:noWrap/>
            <w:vAlign w:val="center"/>
            <w:hideMark/>
          </w:tcPr>
          <w:p w14:paraId="757D3D24"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609F7C98" w14:textId="0EE68EA6"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4.228.069,45</w:t>
            </w:r>
          </w:p>
        </w:tc>
      </w:tr>
      <w:tr w:rsidR="00651A7B" w:rsidRPr="00EE7079" w14:paraId="42DAB71C" w14:textId="4891F0B7"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65F7AD14"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SC</w:t>
            </w:r>
          </w:p>
        </w:tc>
        <w:tc>
          <w:tcPr>
            <w:tcW w:w="1843" w:type="dxa"/>
            <w:tcBorders>
              <w:top w:val="nil"/>
              <w:left w:val="nil"/>
              <w:bottom w:val="single" w:sz="4" w:space="0" w:color="8EA9DB"/>
              <w:right w:val="nil"/>
            </w:tcBorders>
            <w:shd w:val="clear" w:color="auto" w:fill="auto"/>
            <w:noWrap/>
            <w:vAlign w:val="center"/>
            <w:hideMark/>
          </w:tcPr>
          <w:p w14:paraId="69B7BD0B"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148</w:t>
            </w:r>
          </w:p>
        </w:tc>
        <w:tc>
          <w:tcPr>
            <w:tcW w:w="1843" w:type="dxa"/>
            <w:tcBorders>
              <w:top w:val="nil"/>
              <w:left w:val="nil"/>
              <w:bottom w:val="single" w:sz="4" w:space="0" w:color="8EA9DB"/>
              <w:right w:val="nil"/>
            </w:tcBorders>
            <w:shd w:val="clear" w:color="auto" w:fill="auto"/>
            <w:noWrap/>
            <w:vAlign w:val="center"/>
            <w:hideMark/>
          </w:tcPr>
          <w:p w14:paraId="48DC3499" w14:textId="14952C07"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407.255.996,43</w:t>
            </w:r>
          </w:p>
        </w:tc>
      </w:tr>
      <w:tr w:rsidR="00651A7B" w:rsidRPr="00EE7079" w14:paraId="7D55F36E" w14:textId="3EB858DF" w:rsidTr="0027209C">
        <w:trPr>
          <w:trHeight w:val="283"/>
          <w:jc w:val="center"/>
        </w:trPr>
        <w:tc>
          <w:tcPr>
            <w:tcW w:w="3686" w:type="dxa"/>
            <w:tcBorders>
              <w:top w:val="nil"/>
              <w:left w:val="nil"/>
              <w:bottom w:val="nil"/>
              <w:right w:val="nil"/>
            </w:tcBorders>
            <w:shd w:val="clear" w:color="auto" w:fill="auto"/>
            <w:noWrap/>
            <w:vAlign w:val="center"/>
            <w:hideMark/>
          </w:tcPr>
          <w:p w14:paraId="5BAF8BBB"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BADESC</w:t>
            </w:r>
          </w:p>
        </w:tc>
        <w:tc>
          <w:tcPr>
            <w:tcW w:w="1843" w:type="dxa"/>
            <w:tcBorders>
              <w:top w:val="nil"/>
              <w:left w:val="nil"/>
              <w:bottom w:val="nil"/>
              <w:right w:val="nil"/>
            </w:tcBorders>
            <w:shd w:val="clear" w:color="auto" w:fill="auto"/>
            <w:noWrap/>
            <w:vAlign w:val="center"/>
            <w:hideMark/>
          </w:tcPr>
          <w:p w14:paraId="7890679C"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21</w:t>
            </w:r>
          </w:p>
        </w:tc>
        <w:tc>
          <w:tcPr>
            <w:tcW w:w="1843" w:type="dxa"/>
            <w:tcBorders>
              <w:top w:val="nil"/>
              <w:left w:val="nil"/>
              <w:bottom w:val="nil"/>
              <w:right w:val="nil"/>
            </w:tcBorders>
            <w:shd w:val="clear" w:color="auto" w:fill="auto"/>
            <w:noWrap/>
            <w:vAlign w:val="center"/>
            <w:hideMark/>
          </w:tcPr>
          <w:p w14:paraId="56E3D457" w14:textId="3C63D883"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16.214.025,17</w:t>
            </w:r>
          </w:p>
        </w:tc>
      </w:tr>
      <w:tr w:rsidR="00651A7B" w:rsidRPr="00EE7079" w14:paraId="5BE88FBD" w14:textId="58508E4C" w:rsidTr="0027209C">
        <w:trPr>
          <w:trHeight w:val="283"/>
          <w:jc w:val="center"/>
        </w:trPr>
        <w:tc>
          <w:tcPr>
            <w:tcW w:w="3686" w:type="dxa"/>
            <w:tcBorders>
              <w:top w:val="nil"/>
              <w:left w:val="nil"/>
              <w:bottom w:val="nil"/>
              <w:right w:val="nil"/>
            </w:tcBorders>
            <w:shd w:val="clear" w:color="auto" w:fill="auto"/>
            <w:noWrap/>
            <w:vAlign w:val="center"/>
            <w:hideMark/>
          </w:tcPr>
          <w:p w14:paraId="6568BD64"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BANRISUL</w:t>
            </w:r>
          </w:p>
        </w:tc>
        <w:tc>
          <w:tcPr>
            <w:tcW w:w="1843" w:type="dxa"/>
            <w:tcBorders>
              <w:top w:val="nil"/>
              <w:left w:val="nil"/>
              <w:bottom w:val="nil"/>
              <w:right w:val="nil"/>
            </w:tcBorders>
            <w:shd w:val="clear" w:color="auto" w:fill="auto"/>
            <w:noWrap/>
            <w:vAlign w:val="center"/>
            <w:hideMark/>
          </w:tcPr>
          <w:p w14:paraId="7E369E09"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1059B104" w14:textId="7F0A39E1"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845.244,00</w:t>
            </w:r>
          </w:p>
        </w:tc>
      </w:tr>
      <w:tr w:rsidR="00651A7B" w:rsidRPr="00EE7079" w14:paraId="3E7651D2" w14:textId="50EF9357" w:rsidTr="0027209C">
        <w:trPr>
          <w:trHeight w:val="283"/>
          <w:jc w:val="center"/>
        </w:trPr>
        <w:tc>
          <w:tcPr>
            <w:tcW w:w="3686" w:type="dxa"/>
            <w:tcBorders>
              <w:top w:val="nil"/>
              <w:left w:val="nil"/>
              <w:bottom w:val="nil"/>
              <w:right w:val="nil"/>
            </w:tcBorders>
            <w:shd w:val="clear" w:color="auto" w:fill="auto"/>
            <w:noWrap/>
            <w:vAlign w:val="center"/>
            <w:hideMark/>
          </w:tcPr>
          <w:p w14:paraId="03DF22BA"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BRDE</w:t>
            </w:r>
          </w:p>
        </w:tc>
        <w:tc>
          <w:tcPr>
            <w:tcW w:w="1843" w:type="dxa"/>
            <w:tcBorders>
              <w:top w:val="nil"/>
              <w:left w:val="nil"/>
              <w:bottom w:val="nil"/>
              <w:right w:val="nil"/>
            </w:tcBorders>
            <w:shd w:val="clear" w:color="auto" w:fill="auto"/>
            <w:noWrap/>
            <w:vAlign w:val="center"/>
            <w:hideMark/>
          </w:tcPr>
          <w:p w14:paraId="2243DD9D"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84</w:t>
            </w:r>
          </w:p>
        </w:tc>
        <w:tc>
          <w:tcPr>
            <w:tcW w:w="1843" w:type="dxa"/>
            <w:tcBorders>
              <w:top w:val="nil"/>
              <w:left w:val="nil"/>
              <w:bottom w:val="nil"/>
              <w:right w:val="nil"/>
            </w:tcBorders>
            <w:shd w:val="clear" w:color="auto" w:fill="auto"/>
            <w:noWrap/>
            <w:vAlign w:val="center"/>
            <w:hideMark/>
          </w:tcPr>
          <w:p w14:paraId="209991AD" w14:textId="2669AA5A"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300.755.563,09</w:t>
            </w:r>
          </w:p>
        </w:tc>
      </w:tr>
      <w:tr w:rsidR="00651A7B" w:rsidRPr="00EE7079" w14:paraId="61984E99" w14:textId="66A768C1" w:rsidTr="0027209C">
        <w:trPr>
          <w:trHeight w:val="283"/>
          <w:jc w:val="center"/>
        </w:trPr>
        <w:tc>
          <w:tcPr>
            <w:tcW w:w="3686" w:type="dxa"/>
            <w:tcBorders>
              <w:top w:val="nil"/>
              <w:left w:val="nil"/>
              <w:bottom w:val="nil"/>
              <w:right w:val="nil"/>
            </w:tcBorders>
            <w:shd w:val="clear" w:color="auto" w:fill="auto"/>
            <w:noWrap/>
            <w:vAlign w:val="center"/>
            <w:hideMark/>
          </w:tcPr>
          <w:p w14:paraId="5C2DB310"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BASER</w:t>
            </w:r>
          </w:p>
        </w:tc>
        <w:tc>
          <w:tcPr>
            <w:tcW w:w="1843" w:type="dxa"/>
            <w:tcBorders>
              <w:top w:val="nil"/>
              <w:left w:val="nil"/>
              <w:bottom w:val="nil"/>
              <w:right w:val="nil"/>
            </w:tcBorders>
            <w:shd w:val="clear" w:color="auto" w:fill="auto"/>
            <w:noWrap/>
            <w:vAlign w:val="center"/>
            <w:hideMark/>
          </w:tcPr>
          <w:p w14:paraId="603B5B7B"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4</w:t>
            </w:r>
          </w:p>
        </w:tc>
        <w:tc>
          <w:tcPr>
            <w:tcW w:w="1843" w:type="dxa"/>
            <w:tcBorders>
              <w:top w:val="nil"/>
              <w:left w:val="nil"/>
              <w:bottom w:val="nil"/>
              <w:right w:val="nil"/>
            </w:tcBorders>
            <w:shd w:val="clear" w:color="auto" w:fill="auto"/>
            <w:noWrap/>
            <w:vAlign w:val="center"/>
            <w:hideMark/>
          </w:tcPr>
          <w:p w14:paraId="60316263" w14:textId="1D2EE690"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20.952.699,38</w:t>
            </w:r>
          </w:p>
        </w:tc>
      </w:tr>
      <w:tr w:rsidR="00651A7B" w:rsidRPr="00EE7079" w14:paraId="2C50497F" w14:textId="76981284" w:rsidTr="0027209C">
        <w:trPr>
          <w:trHeight w:val="283"/>
          <w:jc w:val="center"/>
        </w:trPr>
        <w:tc>
          <w:tcPr>
            <w:tcW w:w="3686" w:type="dxa"/>
            <w:tcBorders>
              <w:top w:val="nil"/>
              <w:left w:val="nil"/>
              <w:bottom w:val="nil"/>
              <w:right w:val="nil"/>
            </w:tcBorders>
            <w:shd w:val="clear" w:color="auto" w:fill="auto"/>
            <w:noWrap/>
            <w:vAlign w:val="center"/>
            <w:hideMark/>
          </w:tcPr>
          <w:p w14:paraId="2B0C2D3C"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0D300E9F"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28</w:t>
            </w:r>
          </w:p>
        </w:tc>
        <w:tc>
          <w:tcPr>
            <w:tcW w:w="1843" w:type="dxa"/>
            <w:tcBorders>
              <w:top w:val="nil"/>
              <w:left w:val="nil"/>
              <w:bottom w:val="nil"/>
              <w:right w:val="nil"/>
            </w:tcBorders>
            <w:shd w:val="clear" w:color="auto" w:fill="auto"/>
            <w:noWrap/>
            <w:vAlign w:val="center"/>
            <w:hideMark/>
          </w:tcPr>
          <w:p w14:paraId="07ADA99B" w14:textId="1A1880D6"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32.337.386,60</w:t>
            </w:r>
          </w:p>
        </w:tc>
      </w:tr>
      <w:tr w:rsidR="00651A7B" w:rsidRPr="00EE7079" w14:paraId="7EEE7209" w14:textId="2289EF3B" w:rsidTr="0027209C">
        <w:trPr>
          <w:trHeight w:val="283"/>
          <w:jc w:val="center"/>
        </w:trPr>
        <w:tc>
          <w:tcPr>
            <w:tcW w:w="3686" w:type="dxa"/>
            <w:tcBorders>
              <w:top w:val="nil"/>
              <w:left w:val="nil"/>
              <w:bottom w:val="nil"/>
              <w:right w:val="nil"/>
            </w:tcBorders>
            <w:shd w:val="clear" w:color="auto" w:fill="auto"/>
            <w:noWrap/>
            <w:vAlign w:val="center"/>
            <w:hideMark/>
          </w:tcPr>
          <w:p w14:paraId="1F204ABB"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SICOPER</w:t>
            </w:r>
          </w:p>
        </w:tc>
        <w:tc>
          <w:tcPr>
            <w:tcW w:w="1843" w:type="dxa"/>
            <w:tcBorders>
              <w:top w:val="nil"/>
              <w:left w:val="nil"/>
              <w:bottom w:val="nil"/>
              <w:right w:val="nil"/>
            </w:tcBorders>
            <w:shd w:val="clear" w:color="auto" w:fill="auto"/>
            <w:noWrap/>
            <w:vAlign w:val="center"/>
            <w:hideMark/>
          </w:tcPr>
          <w:p w14:paraId="34DFA740"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8</w:t>
            </w:r>
          </w:p>
        </w:tc>
        <w:tc>
          <w:tcPr>
            <w:tcW w:w="1843" w:type="dxa"/>
            <w:tcBorders>
              <w:top w:val="nil"/>
              <w:left w:val="nil"/>
              <w:bottom w:val="nil"/>
              <w:right w:val="nil"/>
            </w:tcBorders>
            <w:shd w:val="clear" w:color="auto" w:fill="auto"/>
            <w:noWrap/>
            <w:vAlign w:val="center"/>
            <w:hideMark/>
          </w:tcPr>
          <w:p w14:paraId="03200863" w14:textId="001357C5"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33.414.565,13</w:t>
            </w:r>
          </w:p>
        </w:tc>
      </w:tr>
      <w:tr w:rsidR="00651A7B" w:rsidRPr="00EE7079" w14:paraId="1101843B" w14:textId="6C88BF6C" w:rsidTr="0027209C">
        <w:trPr>
          <w:trHeight w:val="283"/>
          <w:jc w:val="center"/>
        </w:trPr>
        <w:tc>
          <w:tcPr>
            <w:tcW w:w="3686" w:type="dxa"/>
            <w:tcBorders>
              <w:top w:val="nil"/>
              <w:left w:val="nil"/>
              <w:bottom w:val="nil"/>
              <w:right w:val="nil"/>
            </w:tcBorders>
            <w:shd w:val="clear" w:color="auto" w:fill="auto"/>
            <w:noWrap/>
            <w:vAlign w:val="center"/>
            <w:hideMark/>
          </w:tcPr>
          <w:p w14:paraId="1C99CCB1"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auto"/>
            <w:noWrap/>
            <w:vAlign w:val="center"/>
            <w:hideMark/>
          </w:tcPr>
          <w:p w14:paraId="534E71CD"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2</w:t>
            </w:r>
          </w:p>
        </w:tc>
        <w:tc>
          <w:tcPr>
            <w:tcW w:w="1843" w:type="dxa"/>
            <w:tcBorders>
              <w:top w:val="nil"/>
              <w:left w:val="nil"/>
              <w:bottom w:val="nil"/>
              <w:right w:val="nil"/>
            </w:tcBorders>
            <w:shd w:val="clear" w:color="auto" w:fill="auto"/>
            <w:noWrap/>
            <w:vAlign w:val="center"/>
            <w:hideMark/>
          </w:tcPr>
          <w:p w14:paraId="0370949A" w14:textId="5F8A339D"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2.736.513,06</w:t>
            </w:r>
          </w:p>
        </w:tc>
      </w:tr>
      <w:tr w:rsidR="00651A7B" w:rsidRPr="00EE7079" w14:paraId="68DEE972" w14:textId="7446E4B5" w:rsidTr="0027209C">
        <w:trPr>
          <w:trHeight w:val="283"/>
          <w:jc w:val="center"/>
        </w:trPr>
        <w:tc>
          <w:tcPr>
            <w:tcW w:w="3686" w:type="dxa"/>
            <w:tcBorders>
              <w:top w:val="nil"/>
              <w:left w:val="nil"/>
              <w:bottom w:val="single" w:sz="4" w:space="0" w:color="8EA9DB"/>
              <w:right w:val="nil"/>
            </w:tcBorders>
            <w:shd w:val="clear" w:color="auto" w:fill="auto"/>
            <w:noWrap/>
            <w:vAlign w:val="center"/>
            <w:hideMark/>
          </w:tcPr>
          <w:p w14:paraId="023A8C53" w14:textId="77777777" w:rsidR="00651A7B" w:rsidRPr="00EE7079" w:rsidRDefault="00651A7B" w:rsidP="00EE7079">
            <w:pPr>
              <w:rPr>
                <w:rFonts w:ascii="Tahoma" w:hAnsi="Tahoma" w:cs="Tahoma"/>
                <w:b/>
                <w:bCs/>
                <w:color w:val="000000"/>
                <w:sz w:val="17"/>
                <w:szCs w:val="17"/>
              </w:rPr>
            </w:pPr>
            <w:r w:rsidRPr="00EE7079">
              <w:rPr>
                <w:rFonts w:ascii="Tahoma" w:hAnsi="Tahoma" w:cs="Tahoma"/>
                <w:b/>
                <w:bCs/>
                <w:color w:val="000000"/>
                <w:sz w:val="17"/>
                <w:szCs w:val="17"/>
              </w:rPr>
              <w:t>SP</w:t>
            </w:r>
          </w:p>
        </w:tc>
        <w:tc>
          <w:tcPr>
            <w:tcW w:w="1843" w:type="dxa"/>
            <w:tcBorders>
              <w:top w:val="nil"/>
              <w:left w:val="nil"/>
              <w:bottom w:val="single" w:sz="4" w:space="0" w:color="8EA9DB"/>
              <w:right w:val="nil"/>
            </w:tcBorders>
            <w:shd w:val="clear" w:color="auto" w:fill="auto"/>
            <w:noWrap/>
            <w:vAlign w:val="center"/>
            <w:hideMark/>
          </w:tcPr>
          <w:p w14:paraId="1B260B2B" w14:textId="77777777" w:rsidR="00651A7B" w:rsidRPr="00EE7079" w:rsidRDefault="00651A7B" w:rsidP="0027209C">
            <w:pPr>
              <w:jc w:val="center"/>
              <w:rPr>
                <w:rFonts w:ascii="Tahoma" w:hAnsi="Tahoma" w:cs="Tahoma"/>
                <w:b/>
                <w:bCs/>
                <w:color w:val="000000"/>
                <w:sz w:val="17"/>
                <w:szCs w:val="17"/>
              </w:rPr>
            </w:pPr>
            <w:r w:rsidRPr="00EE7079">
              <w:rPr>
                <w:rFonts w:ascii="Tahoma" w:hAnsi="Tahoma" w:cs="Tahoma"/>
                <w:b/>
                <w:bCs/>
                <w:color w:val="000000"/>
                <w:sz w:val="17"/>
                <w:szCs w:val="17"/>
              </w:rPr>
              <w:t>72</w:t>
            </w:r>
          </w:p>
        </w:tc>
        <w:tc>
          <w:tcPr>
            <w:tcW w:w="1843" w:type="dxa"/>
            <w:tcBorders>
              <w:top w:val="nil"/>
              <w:left w:val="nil"/>
              <w:bottom w:val="single" w:sz="4" w:space="0" w:color="8EA9DB"/>
              <w:right w:val="nil"/>
            </w:tcBorders>
            <w:shd w:val="clear" w:color="auto" w:fill="auto"/>
            <w:noWrap/>
            <w:vAlign w:val="center"/>
            <w:hideMark/>
          </w:tcPr>
          <w:p w14:paraId="1D874140" w14:textId="7749F860" w:rsidR="00651A7B" w:rsidRPr="00EE7079" w:rsidRDefault="00651A7B" w:rsidP="00EE7079">
            <w:pPr>
              <w:jc w:val="right"/>
              <w:rPr>
                <w:rFonts w:ascii="Tahoma" w:hAnsi="Tahoma" w:cs="Tahoma"/>
                <w:b/>
                <w:bCs/>
                <w:color w:val="000000"/>
                <w:sz w:val="17"/>
                <w:szCs w:val="17"/>
              </w:rPr>
            </w:pPr>
            <w:r w:rsidRPr="00EE7079">
              <w:rPr>
                <w:rFonts w:ascii="Tahoma" w:hAnsi="Tahoma" w:cs="Tahoma"/>
                <w:b/>
                <w:bCs/>
                <w:color w:val="000000"/>
                <w:sz w:val="17"/>
                <w:szCs w:val="17"/>
              </w:rPr>
              <w:t>152.450.272,31</w:t>
            </w:r>
          </w:p>
        </w:tc>
      </w:tr>
      <w:tr w:rsidR="00651A7B" w:rsidRPr="00EE7079" w14:paraId="4A3EAD09" w14:textId="2BEE693B" w:rsidTr="0027209C">
        <w:trPr>
          <w:trHeight w:val="283"/>
          <w:jc w:val="center"/>
        </w:trPr>
        <w:tc>
          <w:tcPr>
            <w:tcW w:w="3686" w:type="dxa"/>
            <w:tcBorders>
              <w:top w:val="nil"/>
              <w:left w:val="nil"/>
              <w:bottom w:val="nil"/>
              <w:right w:val="nil"/>
            </w:tcBorders>
            <w:shd w:val="clear" w:color="auto" w:fill="auto"/>
            <w:noWrap/>
            <w:vAlign w:val="center"/>
            <w:hideMark/>
          </w:tcPr>
          <w:p w14:paraId="4AAEB944"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AGERIO</w:t>
            </w:r>
          </w:p>
        </w:tc>
        <w:tc>
          <w:tcPr>
            <w:tcW w:w="1843" w:type="dxa"/>
            <w:tcBorders>
              <w:top w:val="nil"/>
              <w:left w:val="nil"/>
              <w:bottom w:val="nil"/>
              <w:right w:val="nil"/>
            </w:tcBorders>
            <w:shd w:val="clear" w:color="auto" w:fill="auto"/>
            <w:noWrap/>
            <w:vAlign w:val="center"/>
            <w:hideMark/>
          </w:tcPr>
          <w:p w14:paraId="2C065366"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2</w:t>
            </w:r>
          </w:p>
        </w:tc>
        <w:tc>
          <w:tcPr>
            <w:tcW w:w="1843" w:type="dxa"/>
            <w:tcBorders>
              <w:top w:val="nil"/>
              <w:left w:val="nil"/>
              <w:bottom w:val="nil"/>
              <w:right w:val="nil"/>
            </w:tcBorders>
            <w:shd w:val="clear" w:color="auto" w:fill="auto"/>
            <w:noWrap/>
            <w:vAlign w:val="center"/>
            <w:hideMark/>
          </w:tcPr>
          <w:p w14:paraId="09BA46E6" w14:textId="09D92666"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4.800.000,00</w:t>
            </w:r>
          </w:p>
        </w:tc>
      </w:tr>
      <w:tr w:rsidR="00651A7B" w:rsidRPr="00EE7079" w14:paraId="3BC215C0" w14:textId="02393583" w:rsidTr="0027209C">
        <w:trPr>
          <w:trHeight w:val="283"/>
          <w:jc w:val="center"/>
        </w:trPr>
        <w:tc>
          <w:tcPr>
            <w:tcW w:w="3686" w:type="dxa"/>
            <w:tcBorders>
              <w:top w:val="nil"/>
              <w:left w:val="nil"/>
              <w:bottom w:val="nil"/>
              <w:right w:val="nil"/>
            </w:tcBorders>
            <w:shd w:val="clear" w:color="auto" w:fill="auto"/>
            <w:noWrap/>
            <w:vAlign w:val="center"/>
            <w:hideMark/>
          </w:tcPr>
          <w:p w14:paraId="6181170C"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BANRISUL</w:t>
            </w:r>
          </w:p>
        </w:tc>
        <w:tc>
          <w:tcPr>
            <w:tcW w:w="1843" w:type="dxa"/>
            <w:tcBorders>
              <w:top w:val="nil"/>
              <w:left w:val="nil"/>
              <w:bottom w:val="nil"/>
              <w:right w:val="nil"/>
            </w:tcBorders>
            <w:shd w:val="clear" w:color="auto" w:fill="auto"/>
            <w:noWrap/>
            <w:vAlign w:val="center"/>
            <w:hideMark/>
          </w:tcPr>
          <w:p w14:paraId="305E0CF7"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w:t>
            </w:r>
          </w:p>
        </w:tc>
        <w:tc>
          <w:tcPr>
            <w:tcW w:w="1843" w:type="dxa"/>
            <w:tcBorders>
              <w:top w:val="nil"/>
              <w:left w:val="nil"/>
              <w:bottom w:val="nil"/>
              <w:right w:val="nil"/>
            </w:tcBorders>
            <w:shd w:val="clear" w:color="auto" w:fill="auto"/>
            <w:noWrap/>
            <w:vAlign w:val="center"/>
            <w:hideMark/>
          </w:tcPr>
          <w:p w14:paraId="23241EE6" w14:textId="55D19239"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2.995.799,20</w:t>
            </w:r>
          </w:p>
        </w:tc>
      </w:tr>
      <w:tr w:rsidR="00651A7B" w:rsidRPr="00EE7079" w14:paraId="05336E7B" w14:textId="484F9DA9" w:rsidTr="0027209C">
        <w:trPr>
          <w:trHeight w:val="283"/>
          <w:jc w:val="center"/>
        </w:trPr>
        <w:tc>
          <w:tcPr>
            <w:tcW w:w="3686" w:type="dxa"/>
            <w:tcBorders>
              <w:top w:val="nil"/>
              <w:left w:val="nil"/>
              <w:bottom w:val="nil"/>
              <w:right w:val="nil"/>
            </w:tcBorders>
            <w:shd w:val="clear" w:color="auto" w:fill="auto"/>
            <w:noWrap/>
            <w:vAlign w:val="center"/>
            <w:hideMark/>
          </w:tcPr>
          <w:p w14:paraId="1FC9496F"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BRDE</w:t>
            </w:r>
          </w:p>
        </w:tc>
        <w:tc>
          <w:tcPr>
            <w:tcW w:w="1843" w:type="dxa"/>
            <w:tcBorders>
              <w:top w:val="nil"/>
              <w:left w:val="nil"/>
              <w:bottom w:val="nil"/>
              <w:right w:val="nil"/>
            </w:tcBorders>
            <w:shd w:val="clear" w:color="auto" w:fill="auto"/>
            <w:noWrap/>
            <w:vAlign w:val="center"/>
            <w:hideMark/>
          </w:tcPr>
          <w:p w14:paraId="0812E345"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3</w:t>
            </w:r>
          </w:p>
        </w:tc>
        <w:tc>
          <w:tcPr>
            <w:tcW w:w="1843" w:type="dxa"/>
            <w:tcBorders>
              <w:top w:val="nil"/>
              <w:left w:val="nil"/>
              <w:bottom w:val="nil"/>
              <w:right w:val="nil"/>
            </w:tcBorders>
            <w:shd w:val="clear" w:color="auto" w:fill="auto"/>
            <w:noWrap/>
            <w:vAlign w:val="center"/>
            <w:hideMark/>
          </w:tcPr>
          <w:p w14:paraId="57A58D88" w14:textId="51616502"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2.290.475,28</w:t>
            </w:r>
          </w:p>
        </w:tc>
      </w:tr>
      <w:tr w:rsidR="00651A7B" w:rsidRPr="00EE7079" w14:paraId="241AC7B9" w14:textId="53948764" w:rsidTr="0027209C">
        <w:trPr>
          <w:trHeight w:val="283"/>
          <w:jc w:val="center"/>
        </w:trPr>
        <w:tc>
          <w:tcPr>
            <w:tcW w:w="3686" w:type="dxa"/>
            <w:tcBorders>
              <w:top w:val="nil"/>
              <w:left w:val="nil"/>
              <w:bottom w:val="nil"/>
              <w:right w:val="nil"/>
            </w:tcBorders>
            <w:shd w:val="clear" w:color="auto" w:fill="auto"/>
            <w:noWrap/>
            <w:vAlign w:val="center"/>
            <w:hideMark/>
          </w:tcPr>
          <w:p w14:paraId="21221085"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BASER</w:t>
            </w:r>
          </w:p>
        </w:tc>
        <w:tc>
          <w:tcPr>
            <w:tcW w:w="1843" w:type="dxa"/>
            <w:tcBorders>
              <w:top w:val="nil"/>
              <w:left w:val="nil"/>
              <w:bottom w:val="nil"/>
              <w:right w:val="nil"/>
            </w:tcBorders>
            <w:shd w:val="clear" w:color="auto" w:fill="auto"/>
            <w:noWrap/>
            <w:vAlign w:val="center"/>
            <w:hideMark/>
          </w:tcPr>
          <w:p w14:paraId="32E07BC2"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2</w:t>
            </w:r>
          </w:p>
        </w:tc>
        <w:tc>
          <w:tcPr>
            <w:tcW w:w="1843" w:type="dxa"/>
            <w:tcBorders>
              <w:top w:val="nil"/>
              <w:left w:val="nil"/>
              <w:bottom w:val="nil"/>
              <w:right w:val="nil"/>
            </w:tcBorders>
            <w:shd w:val="clear" w:color="auto" w:fill="auto"/>
            <w:noWrap/>
            <w:vAlign w:val="center"/>
            <w:hideMark/>
          </w:tcPr>
          <w:p w14:paraId="68F89937" w14:textId="4CF8741B"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1.036.792,00</w:t>
            </w:r>
          </w:p>
        </w:tc>
      </w:tr>
      <w:tr w:rsidR="00651A7B" w:rsidRPr="00EE7079" w14:paraId="5471E99D" w14:textId="15E3E44E" w:rsidTr="0027209C">
        <w:trPr>
          <w:trHeight w:val="283"/>
          <w:jc w:val="center"/>
        </w:trPr>
        <w:tc>
          <w:tcPr>
            <w:tcW w:w="3686" w:type="dxa"/>
            <w:tcBorders>
              <w:top w:val="nil"/>
              <w:left w:val="nil"/>
              <w:bottom w:val="nil"/>
              <w:right w:val="nil"/>
            </w:tcBorders>
            <w:shd w:val="clear" w:color="auto" w:fill="auto"/>
            <w:noWrap/>
            <w:vAlign w:val="center"/>
            <w:hideMark/>
          </w:tcPr>
          <w:p w14:paraId="326CB789"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CRESOL CENTRAL</w:t>
            </w:r>
          </w:p>
        </w:tc>
        <w:tc>
          <w:tcPr>
            <w:tcW w:w="1843" w:type="dxa"/>
            <w:tcBorders>
              <w:top w:val="nil"/>
              <w:left w:val="nil"/>
              <w:bottom w:val="nil"/>
              <w:right w:val="nil"/>
            </w:tcBorders>
            <w:shd w:val="clear" w:color="auto" w:fill="auto"/>
            <w:noWrap/>
            <w:vAlign w:val="center"/>
            <w:hideMark/>
          </w:tcPr>
          <w:p w14:paraId="0FC9C682"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7</w:t>
            </w:r>
          </w:p>
        </w:tc>
        <w:tc>
          <w:tcPr>
            <w:tcW w:w="1843" w:type="dxa"/>
            <w:tcBorders>
              <w:top w:val="nil"/>
              <w:left w:val="nil"/>
              <w:bottom w:val="nil"/>
              <w:right w:val="nil"/>
            </w:tcBorders>
            <w:shd w:val="clear" w:color="auto" w:fill="auto"/>
            <w:noWrap/>
            <w:vAlign w:val="center"/>
            <w:hideMark/>
          </w:tcPr>
          <w:p w14:paraId="4AD1247F" w14:textId="4FB0D26F"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8.382.731,38</w:t>
            </w:r>
          </w:p>
        </w:tc>
      </w:tr>
      <w:tr w:rsidR="00651A7B" w:rsidRPr="00EE7079" w14:paraId="51EAE5EA" w14:textId="1ED08328" w:rsidTr="0027209C">
        <w:trPr>
          <w:trHeight w:val="283"/>
          <w:jc w:val="center"/>
        </w:trPr>
        <w:tc>
          <w:tcPr>
            <w:tcW w:w="3686" w:type="dxa"/>
            <w:tcBorders>
              <w:top w:val="nil"/>
              <w:left w:val="nil"/>
              <w:bottom w:val="nil"/>
              <w:right w:val="nil"/>
            </w:tcBorders>
            <w:shd w:val="clear" w:color="auto" w:fill="auto"/>
            <w:noWrap/>
            <w:vAlign w:val="center"/>
            <w:hideMark/>
          </w:tcPr>
          <w:p w14:paraId="311BFED5"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DESENVOLVE SP</w:t>
            </w:r>
          </w:p>
        </w:tc>
        <w:tc>
          <w:tcPr>
            <w:tcW w:w="1843" w:type="dxa"/>
            <w:tcBorders>
              <w:top w:val="nil"/>
              <w:left w:val="nil"/>
              <w:bottom w:val="nil"/>
              <w:right w:val="nil"/>
            </w:tcBorders>
            <w:shd w:val="clear" w:color="auto" w:fill="auto"/>
            <w:noWrap/>
            <w:vAlign w:val="center"/>
            <w:hideMark/>
          </w:tcPr>
          <w:p w14:paraId="1A0C0035"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43</w:t>
            </w:r>
          </w:p>
        </w:tc>
        <w:tc>
          <w:tcPr>
            <w:tcW w:w="1843" w:type="dxa"/>
            <w:tcBorders>
              <w:top w:val="nil"/>
              <w:left w:val="nil"/>
              <w:bottom w:val="nil"/>
              <w:right w:val="nil"/>
            </w:tcBorders>
            <w:shd w:val="clear" w:color="auto" w:fill="auto"/>
            <w:noWrap/>
            <w:vAlign w:val="center"/>
            <w:hideMark/>
          </w:tcPr>
          <w:p w14:paraId="5970A806" w14:textId="5D5314C9"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99.893.936,28</w:t>
            </w:r>
          </w:p>
        </w:tc>
      </w:tr>
      <w:tr w:rsidR="00651A7B" w:rsidRPr="00EE7079" w14:paraId="474B4A02" w14:textId="1971E3B7" w:rsidTr="0027209C">
        <w:trPr>
          <w:trHeight w:val="283"/>
          <w:jc w:val="center"/>
        </w:trPr>
        <w:tc>
          <w:tcPr>
            <w:tcW w:w="3686" w:type="dxa"/>
            <w:tcBorders>
              <w:top w:val="nil"/>
              <w:left w:val="nil"/>
              <w:bottom w:val="nil"/>
              <w:right w:val="nil"/>
            </w:tcBorders>
            <w:shd w:val="clear" w:color="auto" w:fill="auto"/>
            <w:noWrap/>
            <w:vAlign w:val="center"/>
            <w:hideMark/>
          </w:tcPr>
          <w:p w14:paraId="3B8325E3" w14:textId="77777777" w:rsidR="00651A7B" w:rsidRPr="00EE7079" w:rsidRDefault="00651A7B" w:rsidP="00EE7079">
            <w:pPr>
              <w:ind w:firstLineChars="100" w:firstLine="170"/>
              <w:rPr>
                <w:rFonts w:ascii="Tahoma" w:hAnsi="Tahoma" w:cs="Tahoma"/>
                <w:color w:val="000000"/>
                <w:sz w:val="17"/>
                <w:szCs w:val="17"/>
              </w:rPr>
            </w:pPr>
            <w:r w:rsidRPr="00EE7079">
              <w:rPr>
                <w:rFonts w:ascii="Tahoma" w:hAnsi="Tahoma" w:cs="Tahoma"/>
                <w:color w:val="000000"/>
                <w:sz w:val="17"/>
                <w:szCs w:val="17"/>
              </w:rPr>
              <w:t>SOFISA</w:t>
            </w:r>
          </w:p>
        </w:tc>
        <w:tc>
          <w:tcPr>
            <w:tcW w:w="1843" w:type="dxa"/>
            <w:tcBorders>
              <w:top w:val="nil"/>
              <w:left w:val="nil"/>
              <w:bottom w:val="nil"/>
              <w:right w:val="nil"/>
            </w:tcBorders>
            <w:shd w:val="clear" w:color="auto" w:fill="auto"/>
            <w:noWrap/>
            <w:vAlign w:val="center"/>
            <w:hideMark/>
          </w:tcPr>
          <w:p w14:paraId="3151542D" w14:textId="77777777" w:rsidR="00651A7B" w:rsidRPr="00EE7079" w:rsidRDefault="00651A7B" w:rsidP="0027209C">
            <w:pPr>
              <w:jc w:val="center"/>
              <w:rPr>
                <w:rFonts w:ascii="Tahoma" w:hAnsi="Tahoma" w:cs="Tahoma"/>
                <w:color w:val="000000"/>
                <w:sz w:val="17"/>
                <w:szCs w:val="17"/>
              </w:rPr>
            </w:pPr>
            <w:r w:rsidRPr="00EE7079">
              <w:rPr>
                <w:rFonts w:ascii="Tahoma" w:hAnsi="Tahoma" w:cs="Tahoma"/>
                <w:color w:val="000000"/>
                <w:sz w:val="17"/>
                <w:szCs w:val="17"/>
              </w:rPr>
              <w:t>14</w:t>
            </w:r>
          </w:p>
        </w:tc>
        <w:tc>
          <w:tcPr>
            <w:tcW w:w="1843" w:type="dxa"/>
            <w:tcBorders>
              <w:top w:val="nil"/>
              <w:left w:val="nil"/>
              <w:bottom w:val="nil"/>
              <w:right w:val="nil"/>
            </w:tcBorders>
            <w:shd w:val="clear" w:color="auto" w:fill="auto"/>
            <w:noWrap/>
            <w:vAlign w:val="center"/>
            <w:hideMark/>
          </w:tcPr>
          <w:p w14:paraId="18170C9B" w14:textId="1F02B135" w:rsidR="00651A7B" w:rsidRPr="00EE7079" w:rsidRDefault="00651A7B" w:rsidP="00EE7079">
            <w:pPr>
              <w:jc w:val="right"/>
              <w:rPr>
                <w:rFonts w:ascii="Tahoma" w:hAnsi="Tahoma" w:cs="Tahoma"/>
                <w:color w:val="000000"/>
                <w:sz w:val="17"/>
                <w:szCs w:val="17"/>
              </w:rPr>
            </w:pPr>
            <w:r w:rsidRPr="00EE7079">
              <w:rPr>
                <w:rFonts w:ascii="Tahoma" w:hAnsi="Tahoma" w:cs="Tahoma"/>
                <w:color w:val="000000"/>
                <w:sz w:val="17"/>
                <w:szCs w:val="17"/>
              </w:rPr>
              <w:t>33.050.538,17</w:t>
            </w:r>
          </w:p>
        </w:tc>
      </w:tr>
      <w:tr w:rsidR="00651A7B" w:rsidRPr="00435708" w14:paraId="28FDF0E7" w14:textId="5D3AFA51" w:rsidTr="0027209C">
        <w:trPr>
          <w:trHeight w:val="397"/>
          <w:jc w:val="center"/>
        </w:trPr>
        <w:tc>
          <w:tcPr>
            <w:tcW w:w="3686" w:type="dxa"/>
            <w:tcBorders>
              <w:top w:val="single" w:sz="4" w:space="0" w:color="8EA9DB"/>
              <w:left w:val="nil"/>
              <w:bottom w:val="nil"/>
              <w:right w:val="nil"/>
            </w:tcBorders>
            <w:shd w:val="clear" w:color="auto" w:fill="0098BA"/>
            <w:noWrap/>
            <w:vAlign w:val="center"/>
            <w:hideMark/>
          </w:tcPr>
          <w:p w14:paraId="2E63154E" w14:textId="090DA50D" w:rsidR="00651A7B" w:rsidRPr="00EE7079" w:rsidRDefault="00651A7B" w:rsidP="00EE7079">
            <w:pPr>
              <w:rPr>
                <w:rFonts w:ascii="Tahoma" w:hAnsi="Tahoma" w:cs="Tahoma"/>
                <w:color w:val="F2F2F2" w:themeColor="background1" w:themeShade="F2"/>
                <w:sz w:val="17"/>
                <w:szCs w:val="17"/>
              </w:rPr>
            </w:pPr>
            <w:r w:rsidRPr="00EE7079">
              <w:rPr>
                <w:rFonts w:ascii="Tahoma" w:hAnsi="Tahoma" w:cs="Tahoma"/>
                <w:color w:val="F2F2F2" w:themeColor="background1" w:themeShade="F2"/>
                <w:sz w:val="17"/>
                <w:szCs w:val="17"/>
              </w:rPr>
              <w:t>Total</w:t>
            </w:r>
          </w:p>
        </w:tc>
        <w:tc>
          <w:tcPr>
            <w:tcW w:w="1843" w:type="dxa"/>
            <w:tcBorders>
              <w:top w:val="single" w:sz="4" w:space="0" w:color="8EA9DB"/>
              <w:left w:val="nil"/>
              <w:bottom w:val="nil"/>
              <w:right w:val="nil"/>
            </w:tcBorders>
            <w:shd w:val="clear" w:color="auto" w:fill="0098BA"/>
            <w:noWrap/>
            <w:vAlign w:val="center"/>
            <w:hideMark/>
          </w:tcPr>
          <w:p w14:paraId="2A351E5D" w14:textId="77777777" w:rsidR="00651A7B" w:rsidRPr="00EE7079" w:rsidRDefault="00651A7B" w:rsidP="0027209C">
            <w:pPr>
              <w:jc w:val="center"/>
              <w:rPr>
                <w:rFonts w:ascii="Tahoma" w:hAnsi="Tahoma" w:cs="Tahoma"/>
                <w:color w:val="F2F2F2" w:themeColor="background1" w:themeShade="F2"/>
                <w:sz w:val="17"/>
                <w:szCs w:val="17"/>
              </w:rPr>
            </w:pPr>
            <w:r w:rsidRPr="00EE7079">
              <w:rPr>
                <w:rFonts w:ascii="Tahoma" w:hAnsi="Tahoma" w:cs="Tahoma"/>
                <w:color w:val="F2F2F2" w:themeColor="background1" w:themeShade="F2"/>
                <w:sz w:val="17"/>
                <w:szCs w:val="17"/>
              </w:rPr>
              <w:t>602</w:t>
            </w:r>
          </w:p>
        </w:tc>
        <w:tc>
          <w:tcPr>
            <w:tcW w:w="1843" w:type="dxa"/>
            <w:tcBorders>
              <w:top w:val="single" w:sz="4" w:space="0" w:color="8EA9DB"/>
              <w:left w:val="nil"/>
              <w:bottom w:val="nil"/>
              <w:right w:val="nil"/>
            </w:tcBorders>
            <w:shd w:val="clear" w:color="auto" w:fill="0098BA"/>
            <w:noWrap/>
            <w:vAlign w:val="center"/>
            <w:hideMark/>
          </w:tcPr>
          <w:p w14:paraId="52DAA522" w14:textId="6F3E5A89" w:rsidR="00651A7B" w:rsidRPr="00EE7079" w:rsidRDefault="00651A7B" w:rsidP="00EE7079">
            <w:pPr>
              <w:jc w:val="right"/>
              <w:rPr>
                <w:rFonts w:ascii="Tahoma" w:hAnsi="Tahoma" w:cs="Tahoma"/>
                <w:color w:val="F2F2F2" w:themeColor="background1" w:themeShade="F2"/>
                <w:sz w:val="17"/>
                <w:szCs w:val="17"/>
              </w:rPr>
            </w:pPr>
            <w:r w:rsidRPr="00EE7079">
              <w:rPr>
                <w:rFonts w:ascii="Tahoma" w:hAnsi="Tahoma" w:cs="Tahoma"/>
                <w:color w:val="F2F2F2" w:themeColor="background1" w:themeShade="F2"/>
                <w:sz w:val="17"/>
                <w:szCs w:val="17"/>
              </w:rPr>
              <w:t>1.461.049.814,62</w:t>
            </w:r>
          </w:p>
        </w:tc>
      </w:tr>
    </w:tbl>
    <w:p w14:paraId="38887633" w14:textId="47D01F1D" w:rsidR="000920CF" w:rsidRDefault="000920CF" w:rsidP="0027209C">
      <w:pPr>
        <w:spacing w:after="120"/>
        <w:ind w:left="851"/>
      </w:pPr>
      <w:r>
        <w:rPr>
          <w:rFonts w:ascii="Tahoma" w:hAnsi="Tahoma" w:cs="Tahoma"/>
          <w:b/>
          <w:bCs/>
          <w:color w:val="000000"/>
          <w:sz w:val="18"/>
          <w:szCs w:val="18"/>
        </w:rPr>
        <w:t>Dados obtidos em:</w:t>
      </w:r>
      <w:r>
        <w:rPr>
          <w:rFonts w:ascii="Tahoma" w:hAnsi="Tahoma" w:cs="Tahoma"/>
          <w:color w:val="000000"/>
          <w:sz w:val="18"/>
          <w:szCs w:val="18"/>
        </w:rPr>
        <w:t xml:space="preserve"> fev/2024</w:t>
      </w:r>
    </w:p>
    <w:p w14:paraId="0F19D9E1" w14:textId="3D623D9A" w:rsidR="00CD51AB" w:rsidRDefault="00CD51AB" w:rsidP="00E753EC">
      <w:pPr>
        <w:spacing w:before="120" w:after="120" w:line="360" w:lineRule="auto"/>
        <w:textAlignment w:val="baseline"/>
        <w:rPr>
          <w:rFonts w:ascii="Tahoma" w:hAnsi="Tahoma" w:cs="Tahoma"/>
          <w:sz w:val="19"/>
          <w:szCs w:val="19"/>
        </w:rPr>
      </w:pPr>
      <w:r w:rsidRPr="00A57F59">
        <w:rPr>
          <w:rFonts w:asciiTheme="majorHAnsi" w:hAnsiTheme="majorHAnsi" w:cstheme="majorHAnsi"/>
          <w:noProof/>
          <w:sz w:val="22"/>
          <w:szCs w:val="22"/>
        </w:rPr>
        <mc:AlternateContent>
          <mc:Choice Requires="wps">
            <w:drawing>
              <wp:anchor distT="0" distB="0" distL="114300" distR="114300" simplePos="0" relativeHeight="251825152" behindDoc="0" locked="0" layoutInCell="1" allowOverlap="1" wp14:anchorId="42B659D6" wp14:editId="7D9E0C30">
                <wp:simplePos x="0" y="0"/>
                <wp:positionH relativeFrom="column">
                  <wp:posOffset>1317905</wp:posOffset>
                </wp:positionH>
                <wp:positionV relativeFrom="paragraph">
                  <wp:posOffset>74905</wp:posOffset>
                </wp:positionV>
                <wp:extent cx="4446931" cy="349250"/>
                <wp:effectExtent l="0" t="0" r="0" b="0"/>
                <wp:wrapNone/>
                <wp:docPr id="2033429745" name="Text Box 237"/>
                <wp:cNvGraphicFramePr/>
                <a:graphic xmlns:a="http://schemas.openxmlformats.org/drawingml/2006/main">
                  <a:graphicData uri="http://schemas.microsoft.com/office/word/2010/wordprocessingShape">
                    <wps:wsp>
                      <wps:cNvSpPr txBox="1"/>
                      <wps:spPr>
                        <a:xfrm>
                          <a:off x="0" y="0"/>
                          <a:ext cx="4446931" cy="349250"/>
                        </a:xfrm>
                        <a:prstGeom prst="rect">
                          <a:avLst/>
                        </a:prstGeom>
                        <a:solidFill>
                          <a:srgbClr val="0098BA">
                            <a:alpha val="25098"/>
                          </a:srgbClr>
                        </a:solidFill>
                        <a:ln w="6345">
                          <a:noFill/>
                          <a:prstDash val="dash"/>
                        </a:ln>
                      </wps:spPr>
                      <wps:txbx>
                        <w:txbxContent>
                          <w:p w14:paraId="2C281891" w14:textId="1EA0A1CA" w:rsidR="00A74E98" w:rsidRPr="00413454" w:rsidRDefault="00A74E98" w:rsidP="00A74E98">
                            <w:pPr>
                              <w:jc w:val="right"/>
                              <w:rPr>
                                <w:rFonts w:ascii="Tahoma" w:hAnsi="Tahoma" w:cs="Tahoma"/>
                                <w:sz w:val="16"/>
                                <w:szCs w:val="16"/>
                              </w:rPr>
                            </w:pPr>
                            <w:r>
                              <w:rPr>
                                <w:rFonts w:ascii="Tahoma" w:hAnsi="Tahoma" w:cs="Tahoma"/>
                                <w:sz w:val="16"/>
                                <w:szCs w:val="16"/>
                              </w:rPr>
                              <w:t>Para conhecer outras informações</w:t>
                            </w:r>
                            <w:r w:rsidR="00651A7B">
                              <w:rPr>
                                <w:rFonts w:ascii="Tahoma" w:hAnsi="Tahoma" w:cs="Tahoma"/>
                                <w:sz w:val="16"/>
                                <w:szCs w:val="16"/>
                              </w:rPr>
                              <w:t xml:space="preserve"> sobre os agentes</w:t>
                            </w:r>
                            <w:r>
                              <w:rPr>
                                <w:rFonts w:ascii="Tahoma" w:hAnsi="Tahoma" w:cs="Tahoma"/>
                                <w:sz w:val="16"/>
                                <w:szCs w:val="16"/>
                              </w:rPr>
                              <w:t xml:space="preserve">, consulte o documento </w:t>
                            </w:r>
                            <w:hyperlink r:id="rId147" w:history="1">
                              <w:r w:rsidRPr="00A74E98">
                                <w:rPr>
                                  <w:rStyle w:val="Hyperlink"/>
                                  <w:rFonts w:ascii="Tahoma" w:hAnsi="Tahoma" w:cs="Tahoma"/>
                                  <w:sz w:val="16"/>
                                  <w:szCs w:val="16"/>
                                </w:rPr>
                                <w:t>C</w:t>
                              </w:r>
                              <w:r>
                                <w:rPr>
                                  <w:rStyle w:val="Hyperlink"/>
                                  <w:rFonts w:ascii="Tahoma" w:hAnsi="Tahoma" w:cs="Tahoma"/>
                                  <w:sz w:val="16"/>
                                  <w:szCs w:val="16"/>
                                </w:rPr>
                                <w:t>ontatos dos Agentes Financeiros</w:t>
                              </w:r>
                            </w:hyperlink>
                            <w:r>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2B659D6" id="_x0000_s1040" type="#_x0000_t202" style="position:absolute;margin-left:103.75pt;margin-top:5.9pt;width:350.15pt;height:2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" fillcolor="#0098ba" stroked="f" strokeweight=".17625mm">
                <v:fill opacity="16448f"/>
                <v:stroke dashstyle="dash"/>
                <v:textbox>
                  <w:txbxContent>
                    <w:p w14:paraId="2C281891" w14:textId="1EA0A1CA" w:rsidR="00A74E98" w:rsidRPr="00413454" w:rsidRDefault="00A74E98" w:rsidP="00A74E98">
                      <w:pPr>
                        <w:jc w:val="right"/>
                        <w:rPr>
                          <w:rFonts w:ascii="Tahoma" w:hAnsi="Tahoma" w:cs="Tahoma"/>
                          <w:sz w:val="16"/>
                          <w:szCs w:val="16"/>
                        </w:rPr>
                      </w:pPr>
                      <w:r>
                        <w:rPr>
                          <w:rFonts w:ascii="Tahoma" w:hAnsi="Tahoma" w:cs="Tahoma"/>
                          <w:sz w:val="16"/>
                          <w:szCs w:val="16"/>
                        </w:rPr>
                        <w:t>Para conhecer outras informações</w:t>
                      </w:r>
                      <w:r w:rsidR="00651A7B">
                        <w:rPr>
                          <w:rFonts w:ascii="Tahoma" w:hAnsi="Tahoma" w:cs="Tahoma"/>
                          <w:sz w:val="16"/>
                          <w:szCs w:val="16"/>
                        </w:rPr>
                        <w:t xml:space="preserve"> sobre os agentes</w:t>
                      </w:r>
                      <w:r>
                        <w:rPr>
                          <w:rFonts w:ascii="Tahoma" w:hAnsi="Tahoma" w:cs="Tahoma"/>
                          <w:sz w:val="16"/>
                          <w:szCs w:val="16"/>
                        </w:rPr>
                        <w:t xml:space="preserve">, consulte o documento </w:t>
                      </w:r>
                      <w:hyperlink r:id="rId148" w:history="1">
                        <w:r w:rsidRPr="00A74E98">
                          <w:rPr>
                            <w:rStyle w:val="Hyperlink"/>
                            <w:rFonts w:ascii="Tahoma" w:hAnsi="Tahoma" w:cs="Tahoma"/>
                            <w:sz w:val="16"/>
                            <w:szCs w:val="16"/>
                          </w:rPr>
                          <w:t>C</w:t>
                        </w:r>
                        <w:r>
                          <w:rPr>
                            <w:rStyle w:val="Hyperlink"/>
                            <w:rFonts w:ascii="Tahoma" w:hAnsi="Tahoma" w:cs="Tahoma"/>
                            <w:sz w:val="16"/>
                            <w:szCs w:val="16"/>
                          </w:rPr>
                          <w:t>ontatos dos Agentes Financeiros</w:t>
                        </w:r>
                      </w:hyperlink>
                      <w:r>
                        <w:rPr>
                          <w:rFonts w:ascii="Tahoma" w:hAnsi="Tahoma" w:cs="Tahoma"/>
                          <w:sz w:val="16"/>
                          <w:szCs w:val="16"/>
                        </w:rPr>
                        <w:t>.</w:t>
                      </w:r>
                    </w:p>
                  </w:txbxContent>
                </v:textbox>
              </v:shape>
            </w:pict>
          </mc:Fallback>
        </mc:AlternateContent>
      </w:r>
    </w:p>
    <w:p w14:paraId="384B5905" w14:textId="11E87EF7" w:rsidR="00CD51AB" w:rsidRDefault="00CD51AB" w:rsidP="00E753EC">
      <w:pPr>
        <w:spacing w:before="120" w:after="120" w:line="360" w:lineRule="auto"/>
        <w:textAlignment w:val="baseline"/>
        <w:rPr>
          <w:rFonts w:ascii="Tahoma" w:hAnsi="Tahoma" w:cs="Tahoma"/>
          <w:sz w:val="19"/>
          <w:szCs w:val="19"/>
        </w:rPr>
      </w:pPr>
    </w:p>
    <w:p w14:paraId="1695E579" w14:textId="3AADECCD" w:rsidR="00357C23" w:rsidRDefault="00357C23" w:rsidP="00E753EC">
      <w:pPr>
        <w:spacing w:before="120" w:after="120" w:line="360" w:lineRule="auto"/>
        <w:textAlignment w:val="baseline"/>
        <w:rPr>
          <w:rFonts w:ascii="Tahoma" w:hAnsi="Tahoma" w:cs="Tahoma"/>
          <w:sz w:val="19"/>
          <w:szCs w:val="19"/>
        </w:rPr>
      </w:pPr>
    </w:p>
    <w:p w14:paraId="0A159D03" w14:textId="6016FF6A" w:rsidR="00F56ABC" w:rsidRPr="002202FB" w:rsidRDefault="00F56ABC" w:rsidP="00F56ABC">
      <w:pPr>
        <w:spacing w:after="60"/>
        <w:jc w:val="center"/>
        <w:textAlignment w:val="baseline"/>
        <w:rPr>
          <w:rFonts w:ascii="Tahoma" w:hAnsi="Tahoma" w:cs="Tahoma"/>
          <w:color w:val="0098BA"/>
          <w:sz w:val="19"/>
          <w:szCs w:val="19"/>
        </w:rPr>
      </w:pPr>
      <w:r w:rsidRPr="002202FB">
        <w:rPr>
          <w:rFonts w:ascii="Tahoma" w:hAnsi="Tahoma" w:cs="Tahoma"/>
          <w:color w:val="0098BA"/>
          <w:sz w:val="19"/>
          <w:szCs w:val="19"/>
        </w:rPr>
        <w:lastRenderedPageBreak/>
        <w:t xml:space="preserve">Crédito descentralizado – Número de contratos e valor </w:t>
      </w:r>
      <w:r>
        <w:rPr>
          <w:rFonts w:ascii="Tahoma" w:hAnsi="Tahoma" w:cs="Tahoma"/>
          <w:color w:val="0098BA"/>
          <w:sz w:val="19"/>
          <w:szCs w:val="19"/>
        </w:rPr>
        <w:t>liberado</w:t>
      </w:r>
      <w:r w:rsidRPr="002202FB">
        <w:rPr>
          <w:rFonts w:ascii="Tahoma" w:hAnsi="Tahoma" w:cs="Tahoma"/>
          <w:color w:val="0098BA"/>
          <w:sz w:val="19"/>
          <w:szCs w:val="19"/>
        </w:rPr>
        <w:t xml:space="preserve"> por agente - 2023</w:t>
      </w:r>
    </w:p>
    <w:p w14:paraId="26118B31" w14:textId="0228AD49" w:rsidR="00F56ABC" w:rsidRDefault="00F56ABC" w:rsidP="001157A4">
      <w:pPr>
        <w:spacing w:before="120" w:after="120"/>
        <w:ind w:right="-372"/>
        <w:jc w:val="right"/>
        <w:textAlignment w:val="baseline"/>
        <w:rPr>
          <w:rFonts w:ascii="Tahoma" w:hAnsi="Tahoma" w:cs="Tahoma"/>
          <w:sz w:val="19"/>
          <w:szCs w:val="19"/>
        </w:rPr>
      </w:pPr>
      <w:r>
        <w:rPr>
          <w:rFonts w:ascii="Tahoma" w:hAnsi="Tahoma" w:cs="Tahoma"/>
          <w:bCs/>
          <w:color w:val="000000"/>
          <w:sz w:val="18"/>
          <w:szCs w:val="18"/>
        </w:rPr>
        <w:t>Posição em 31/12/2023</w:t>
      </w:r>
    </w:p>
    <w:tbl>
      <w:tblPr>
        <w:tblW w:w="9569" w:type="dxa"/>
        <w:tblInd w:w="-15" w:type="dxa"/>
        <w:tblCellMar>
          <w:left w:w="70" w:type="dxa"/>
          <w:right w:w="70" w:type="dxa"/>
        </w:tblCellMar>
        <w:tblLook w:val="04A0" w:firstRow="1" w:lastRow="0" w:firstColumn="1" w:lastColumn="0" w:noHBand="0" w:noVBand="1"/>
      </w:tblPr>
      <w:tblGrid>
        <w:gridCol w:w="5544"/>
        <w:gridCol w:w="1984"/>
        <w:gridCol w:w="2041"/>
      </w:tblGrid>
      <w:tr w:rsidR="00F56ABC" w:rsidRPr="001D58B9" w14:paraId="61FF9BDB" w14:textId="77777777" w:rsidTr="001D58B9">
        <w:trPr>
          <w:trHeight w:val="397"/>
        </w:trPr>
        <w:tc>
          <w:tcPr>
            <w:tcW w:w="5544" w:type="dxa"/>
            <w:tcBorders>
              <w:top w:val="nil"/>
              <w:left w:val="nil"/>
              <w:bottom w:val="single" w:sz="4" w:space="0" w:color="8EA9DB"/>
              <w:right w:val="nil"/>
            </w:tcBorders>
            <w:shd w:val="clear" w:color="auto" w:fill="0098BA"/>
            <w:noWrap/>
            <w:vAlign w:val="center"/>
            <w:hideMark/>
          </w:tcPr>
          <w:p w14:paraId="7A0EF4C2" w14:textId="6D56CBB9" w:rsidR="00F56ABC" w:rsidRPr="001D58B9" w:rsidRDefault="00F56ABC" w:rsidP="00F56ABC">
            <w:pPr>
              <w:rPr>
                <w:rFonts w:ascii="Tahoma" w:hAnsi="Tahoma" w:cs="Tahoma"/>
                <w:color w:val="FFFFFF" w:themeColor="background1"/>
                <w:sz w:val="19"/>
                <w:szCs w:val="19"/>
              </w:rPr>
            </w:pPr>
            <w:r w:rsidRPr="001D58B9">
              <w:rPr>
                <w:rFonts w:ascii="Tahoma" w:hAnsi="Tahoma" w:cs="Tahoma"/>
                <w:color w:val="FFFFFF" w:themeColor="background1"/>
                <w:sz w:val="19"/>
                <w:szCs w:val="19"/>
              </w:rPr>
              <w:t>Agente</w:t>
            </w:r>
          </w:p>
        </w:tc>
        <w:tc>
          <w:tcPr>
            <w:tcW w:w="1984" w:type="dxa"/>
            <w:tcBorders>
              <w:top w:val="nil"/>
              <w:left w:val="nil"/>
              <w:bottom w:val="single" w:sz="4" w:space="0" w:color="8EA9DB"/>
              <w:right w:val="nil"/>
            </w:tcBorders>
            <w:shd w:val="clear" w:color="auto" w:fill="0098BA"/>
            <w:noWrap/>
            <w:vAlign w:val="center"/>
            <w:hideMark/>
          </w:tcPr>
          <w:p w14:paraId="2AD0AF7D" w14:textId="63DD20C0" w:rsidR="00F56ABC" w:rsidRPr="001D58B9" w:rsidRDefault="00F56ABC" w:rsidP="00F56ABC">
            <w:pPr>
              <w:jc w:val="center"/>
              <w:rPr>
                <w:rFonts w:ascii="Tahoma" w:hAnsi="Tahoma" w:cs="Tahoma"/>
                <w:color w:val="FFFFFF" w:themeColor="background1"/>
                <w:sz w:val="19"/>
                <w:szCs w:val="19"/>
              </w:rPr>
            </w:pPr>
            <w:r w:rsidRPr="001D58B9">
              <w:rPr>
                <w:rFonts w:ascii="Tahoma" w:hAnsi="Tahoma" w:cs="Tahoma"/>
                <w:color w:val="FFFFFF" w:themeColor="background1"/>
                <w:sz w:val="19"/>
                <w:szCs w:val="19"/>
              </w:rPr>
              <w:t>N</w:t>
            </w:r>
            <w:r w:rsidRPr="001D58B9">
              <w:rPr>
                <w:rFonts w:ascii="Tahoma" w:hAnsi="Tahoma" w:cs="Tahoma"/>
                <w:color w:val="FFFFFF" w:themeColor="background1"/>
                <w:sz w:val="19"/>
                <w:szCs w:val="19"/>
                <w:vertAlign w:val="superscript"/>
              </w:rPr>
              <w:t>o</w:t>
            </w:r>
            <w:r w:rsidRPr="001D58B9">
              <w:rPr>
                <w:rFonts w:ascii="Tahoma" w:hAnsi="Tahoma" w:cs="Tahoma"/>
                <w:color w:val="FFFFFF" w:themeColor="background1"/>
                <w:sz w:val="19"/>
                <w:szCs w:val="19"/>
              </w:rPr>
              <w:t xml:space="preserve"> de contratos</w:t>
            </w:r>
          </w:p>
        </w:tc>
        <w:tc>
          <w:tcPr>
            <w:tcW w:w="2041" w:type="dxa"/>
            <w:tcBorders>
              <w:top w:val="nil"/>
              <w:left w:val="nil"/>
              <w:bottom w:val="single" w:sz="4" w:space="0" w:color="8EA9DB"/>
              <w:right w:val="nil"/>
            </w:tcBorders>
            <w:shd w:val="clear" w:color="auto" w:fill="0098BA"/>
            <w:noWrap/>
            <w:vAlign w:val="center"/>
            <w:hideMark/>
          </w:tcPr>
          <w:p w14:paraId="22E90F60" w14:textId="1FDA3BA9" w:rsidR="00F56ABC" w:rsidRPr="001D58B9" w:rsidRDefault="00F56ABC" w:rsidP="00F56ABC">
            <w:pPr>
              <w:jc w:val="right"/>
              <w:rPr>
                <w:rFonts w:ascii="Tahoma" w:hAnsi="Tahoma" w:cs="Tahoma"/>
                <w:color w:val="FFFFFF" w:themeColor="background1"/>
                <w:sz w:val="19"/>
                <w:szCs w:val="19"/>
              </w:rPr>
            </w:pPr>
            <w:r w:rsidRPr="001D58B9">
              <w:rPr>
                <w:rFonts w:ascii="Tahoma" w:hAnsi="Tahoma" w:cs="Tahoma"/>
                <w:color w:val="FFFFFF" w:themeColor="background1"/>
                <w:sz w:val="19"/>
                <w:szCs w:val="19"/>
              </w:rPr>
              <w:t>Valor Liberado (R$)</w:t>
            </w:r>
          </w:p>
        </w:tc>
      </w:tr>
      <w:tr w:rsidR="00F56ABC" w:rsidRPr="001D58B9" w14:paraId="1FA67352" w14:textId="77777777" w:rsidTr="001D58B9">
        <w:trPr>
          <w:trHeight w:val="315"/>
        </w:trPr>
        <w:tc>
          <w:tcPr>
            <w:tcW w:w="5544" w:type="dxa"/>
            <w:tcBorders>
              <w:top w:val="nil"/>
              <w:left w:val="nil"/>
              <w:bottom w:val="nil"/>
              <w:right w:val="nil"/>
            </w:tcBorders>
            <w:shd w:val="clear" w:color="auto" w:fill="auto"/>
            <w:noWrap/>
            <w:vAlign w:val="center"/>
            <w:hideMark/>
          </w:tcPr>
          <w:p w14:paraId="260B136D"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Agência de Fomento de Goiás S. A.</w:t>
            </w:r>
          </w:p>
        </w:tc>
        <w:tc>
          <w:tcPr>
            <w:tcW w:w="1984" w:type="dxa"/>
            <w:tcBorders>
              <w:top w:val="nil"/>
              <w:left w:val="nil"/>
              <w:bottom w:val="nil"/>
              <w:right w:val="nil"/>
            </w:tcBorders>
            <w:shd w:val="clear" w:color="auto" w:fill="auto"/>
            <w:noWrap/>
            <w:vAlign w:val="center"/>
            <w:hideMark/>
          </w:tcPr>
          <w:p w14:paraId="11F50189" w14:textId="309FD52B"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3</w:t>
            </w:r>
          </w:p>
        </w:tc>
        <w:tc>
          <w:tcPr>
            <w:tcW w:w="2041" w:type="dxa"/>
            <w:tcBorders>
              <w:top w:val="nil"/>
              <w:left w:val="nil"/>
              <w:bottom w:val="nil"/>
              <w:right w:val="nil"/>
            </w:tcBorders>
            <w:shd w:val="clear" w:color="auto" w:fill="auto"/>
            <w:noWrap/>
            <w:vAlign w:val="center"/>
            <w:hideMark/>
          </w:tcPr>
          <w:p w14:paraId="7F489C70" w14:textId="7674BDB7"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2.043.057,29</w:t>
            </w:r>
          </w:p>
        </w:tc>
      </w:tr>
      <w:tr w:rsidR="00F56ABC" w:rsidRPr="001D58B9" w14:paraId="5A286E7E" w14:textId="77777777" w:rsidTr="001D58B9">
        <w:trPr>
          <w:trHeight w:val="315"/>
        </w:trPr>
        <w:tc>
          <w:tcPr>
            <w:tcW w:w="5544" w:type="dxa"/>
            <w:tcBorders>
              <w:top w:val="nil"/>
              <w:left w:val="nil"/>
              <w:bottom w:val="nil"/>
              <w:right w:val="nil"/>
            </w:tcBorders>
            <w:shd w:val="clear" w:color="auto" w:fill="auto"/>
            <w:noWrap/>
            <w:vAlign w:val="center"/>
            <w:hideMark/>
          </w:tcPr>
          <w:p w14:paraId="4FA2C35D"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Agência de Fomento do Estado de Santa Catarina S. A.</w:t>
            </w:r>
          </w:p>
        </w:tc>
        <w:tc>
          <w:tcPr>
            <w:tcW w:w="1984" w:type="dxa"/>
            <w:tcBorders>
              <w:top w:val="nil"/>
              <w:left w:val="nil"/>
              <w:bottom w:val="nil"/>
              <w:right w:val="nil"/>
            </w:tcBorders>
            <w:shd w:val="clear" w:color="auto" w:fill="auto"/>
            <w:noWrap/>
            <w:vAlign w:val="center"/>
            <w:hideMark/>
          </w:tcPr>
          <w:p w14:paraId="322DB7EE"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22</w:t>
            </w:r>
          </w:p>
        </w:tc>
        <w:tc>
          <w:tcPr>
            <w:tcW w:w="2041" w:type="dxa"/>
            <w:tcBorders>
              <w:top w:val="nil"/>
              <w:left w:val="nil"/>
              <w:bottom w:val="nil"/>
              <w:right w:val="nil"/>
            </w:tcBorders>
            <w:shd w:val="clear" w:color="auto" w:fill="auto"/>
            <w:noWrap/>
            <w:vAlign w:val="center"/>
            <w:hideMark/>
          </w:tcPr>
          <w:p w14:paraId="1EF5E394" w14:textId="16900CA5"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9.038.445,02</w:t>
            </w:r>
          </w:p>
        </w:tc>
      </w:tr>
      <w:tr w:rsidR="00F56ABC" w:rsidRPr="001D58B9" w14:paraId="1E1F27E9" w14:textId="77777777" w:rsidTr="001D58B9">
        <w:trPr>
          <w:trHeight w:val="315"/>
        </w:trPr>
        <w:tc>
          <w:tcPr>
            <w:tcW w:w="5544" w:type="dxa"/>
            <w:tcBorders>
              <w:top w:val="nil"/>
              <w:left w:val="nil"/>
              <w:bottom w:val="nil"/>
              <w:right w:val="nil"/>
            </w:tcBorders>
            <w:shd w:val="clear" w:color="auto" w:fill="auto"/>
            <w:noWrap/>
            <w:vAlign w:val="center"/>
            <w:hideMark/>
          </w:tcPr>
          <w:p w14:paraId="5C23CDC9"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Agência de Fomento do Estado de São Paulo S. A.</w:t>
            </w:r>
          </w:p>
        </w:tc>
        <w:tc>
          <w:tcPr>
            <w:tcW w:w="1984" w:type="dxa"/>
            <w:tcBorders>
              <w:top w:val="nil"/>
              <w:left w:val="nil"/>
              <w:bottom w:val="nil"/>
              <w:right w:val="nil"/>
            </w:tcBorders>
            <w:shd w:val="clear" w:color="auto" w:fill="auto"/>
            <w:noWrap/>
            <w:vAlign w:val="center"/>
            <w:hideMark/>
          </w:tcPr>
          <w:p w14:paraId="649A7514"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48</w:t>
            </w:r>
          </w:p>
        </w:tc>
        <w:tc>
          <w:tcPr>
            <w:tcW w:w="2041" w:type="dxa"/>
            <w:tcBorders>
              <w:top w:val="nil"/>
              <w:left w:val="nil"/>
              <w:bottom w:val="nil"/>
              <w:right w:val="nil"/>
            </w:tcBorders>
            <w:shd w:val="clear" w:color="auto" w:fill="auto"/>
            <w:noWrap/>
            <w:vAlign w:val="center"/>
            <w:hideMark/>
          </w:tcPr>
          <w:p w14:paraId="148A7109" w14:textId="72E7D17C"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73.932.437,02</w:t>
            </w:r>
          </w:p>
        </w:tc>
      </w:tr>
      <w:tr w:rsidR="00F56ABC" w:rsidRPr="001D58B9" w14:paraId="1F332D60" w14:textId="77777777" w:rsidTr="001D58B9">
        <w:trPr>
          <w:trHeight w:val="315"/>
        </w:trPr>
        <w:tc>
          <w:tcPr>
            <w:tcW w:w="5544" w:type="dxa"/>
            <w:tcBorders>
              <w:top w:val="nil"/>
              <w:left w:val="nil"/>
              <w:bottom w:val="nil"/>
              <w:right w:val="nil"/>
            </w:tcBorders>
            <w:shd w:val="clear" w:color="auto" w:fill="auto"/>
            <w:noWrap/>
            <w:vAlign w:val="center"/>
            <w:hideMark/>
          </w:tcPr>
          <w:p w14:paraId="2C4ACD9E"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Agência de Fomento do Estado do Rio de Janeiro S. A.</w:t>
            </w:r>
          </w:p>
        </w:tc>
        <w:tc>
          <w:tcPr>
            <w:tcW w:w="1984" w:type="dxa"/>
            <w:tcBorders>
              <w:top w:val="nil"/>
              <w:left w:val="nil"/>
              <w:bottom w:val="nil"/>
              <w:right w:val="nil"/>
            </w:tcBorders>
            <w:shd w:val="clear" w:color="auto" w:fill="auto"/>
            <w:noWrap/>
            <w:vAlign w:val="center"/>
            <w:hideMark/>
          </w:tcPr>
          <w:p w14:paraId="4CBEF42C"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16</w:t>
            </w:r>
          </w:p>
        </w:tc>
        <w:tc>
          <w:tcPr>
            <w:tcW w:w="2041" w:type="dxa"/>
            <w:tcBorders>
              <w:top w:val="nil"/>
              <w:left w:val="nil"/>
              <w:bottom w:val="nil"/>
              <w:right w:val="nil"/>
            </w:tcBorders>
            <w:shd w:val="clear" w:color="auto" w:fill="auto"/>
            <w:noWrap/>
            <w:vAlign w:val="center"/>
            <w:hideMark/>
          </w:tcPr>
          <w:p w14:paraId="54AA2AA7" w14:textId="0E05A148"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13.049.707,75</w:t>
            </w:r>
          </w:p>
        </w:tc>
      </w:tr>
      <w:tr w:rsidR="00F56ABC" w:rsidRPr="001D58B9" w14:paraId="2E4FC556" w14:textId="77777777" w:rsidTr="001D58B9">
        <w:trPr>
          <w:trHeight w:val="330"/>
        </w:trPr>
        <w:tc>
          <w:tcPr>
            <w:tcW w:w="5544" w:type="dxa"/>
            <w:tcBorders>
              <w:top w:val="nil"/>
              <w:left w:val="nil"/>
              <w:bottom w:val="nil"/>
              <w:right w:val="nil"/>
            </w:tcBorders>
            <w:shd w:val="clear" w:color="auto" w:fill="auto"/>
            <w:noWrap/>
            <w:vAlign w:val="center"/>
            <w:hideMark/>
          </w:tcPr>
          <w:p w14:paraId="09607426"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Agência de Fomento do Paraná S. A.</w:t>
            </w:r>
          </w:p>
        </w:tc>
        <w:tc>
          <w:tcPr>
            <w:tcW w:w="1984" w:type="dxa"/>
            <w:tcBorders>
              <w:top w:val="nil"/>
              <w:left w:val="nil"/>
              <w:bottom w:val="nil"/>
              <w:right w:val="nil"/>
            </w:tcBorders>
            <w:shd w:val="clear" w:color="auto" w:fill="auto"/>
            <w:noWrap/>
            <w:vAlign w:val="center"/>
            <w:hideMark/>
          </w:tcPr>
          <w:p w14:paraId="54549917"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15</w:t>
            </w:r>
          </w:p>
        </w:tc>
        <w:tc>
          <w:tcPr>
            <w:tcW w:w="2041" w:type="dxa"/>
            <w:tcBorders>
              <w:top w:val="nil"/>
              <w:left w:val="nil"/>
              <w:bottom w:val="nil"/>
              <w:right w:val="nil"/>
            </w:tcBorders>
            <w:shd w:val="clear" w:color="auto" w:fill="auto"/>
            <w:noWrap/>
            <w:vAlign w:val="center"/>
            <w:hideMark/>
          </w:tcPr>
          <w:p w14:paraId="4C81E58A" w14:textId="61D2054D"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7.693.711,00</w:t>
            </w:r>
          </w:p>
        </w:tc>
      </w:tr>
      <w:tr w:rsidR="00F56ABC" w:rsidRPr="001D58B9" w14:paraId="3C2150DF" w14:textId="77777777" w:rsidTr="001D58B9">
        <w:trPr>
          <w:trHeight w:val="315"/>
        </w:trPr>
        <w:tc>
          <w:tcPr>
            <w:tcW w:w="5544" w:type="dxa"/>
            <w:tcBorders>
              <w:top w:val="nil"/>
              <w:left w:val="nil"/>
              <w:bottom w:val="nil"/>
              <w:right w:val="nil"/>
            </w:tcBorders>
            <w:shd w:val="clear" w:color="auto" w:fill="auto"/>
            <w:noWrap/>
            <w:vAlign w:val="center"/>
            <w:hideMark/>
          </w:tcPr>
          <w:p w14:paraId="455244CA"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Agência de Fomento e Desenvolvimento do Estado do Piauí S.A.</w:t>
            </w:r>
          </w:p>
        </w:tc>
        <w:tc>
          <w:tcPr>
            <w:tcW w:w="1984" w:type="dxa"/>
            <w:tcBorders>
              <w:top w:val="nil"/>
              <w:left w:val="nil"/>
              <w:bottom w:val="nil"/>
              <w:right w:val="nil"/>
            </w:tcBorders>
            <w:shd w:val="clear" w:color="auto" w:fill="auto"/>
            <w:noWrap/>
            <w:vAlign w:val="center"/>
            <w:hideMark/>
          </w:tcPr>
          <w:p w14:paraId="0025DD57"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5</w:t>
            </w:r>
          </w:p>
        </w:tc>
        <w:tc>
          <w:tcPr>
            <w:tcW w:w="2041" w:type="dxa"/>
            <w:tcBorders>
              <w:top w:val="nil"/>
              <w:left w:val="nil"/>
              <w:bottom w:val="nil"/>
              <w:right w:val="nil"/>
            </w:tcBorders>
            <w:shd w:val="clear" w:color="auto" w:fill="auto"/>
            <w:noWrap/>
            <w:vAlign w:val="center"/>
            <w:hideMark/>
          </w:tcPr>
          <w:p w14:paraId="47A911EB" w14:textId="52DE92BE"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2.205.674,63</w:t>
            </w:r>
          </w:p>
        </w:tc>
      </w:tr>
      <w:tr w:rsidR="00F56ABC" w:rsidRPr="001D58B9" w14:paraId="74ED7498" w14:textId="77777777" w:rsidTr="001D58B9">
        <w:trPr>
          <w:trHeight w:val="315"/>
        </w:trPr>
        <w:tc>
          <w:tcPr>
            <w:tcW w:w="5544" w:type="dxa"/>
            <w:tcBorders>
              <w:top w:val="nil"/>
              <w:left w:val="nil"/>
              <w:bottom w:val="nil"/>
              <w:right w:val="nil"/>
            </w:tcBorders>
            <w:shd w:val="clear" w:color="auto" w:fill="auto"/>
            <w:noWrap/>
            <w:vAlign w:val="center"/>
            <w:hideMark/>
          </w:tcPr>
          <w:p w14:paraId="65283D79"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Badesul Desenvolvimento S. A. - Agência de Fomento RS</w:t>
            </w:r>
          </w:p>
        </w:tc>
        <w:tc>
          <w:tcPr>
            <w:tcW w:w="1984" w:type="dxa"/>
            <w:tcBorders>
              <w:top w:val="nil"/>
              <w:left w:val="nil"/>
              <w:bottom w:val="nil"/>
              <w:right w:val="nil"/>
            </w:tcBorders>
            <w:shd w:val="clear" w:color="auto" w:fill="auto"/>
            <w:noWrap/>
            <w:vAlign w:val="center"/>
            <w:hideMark/>
          </w:tcPr>
          <w:p w14:paraId="53CB2937"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41</w:t>
            </w:r>
          </w:p>
        </w:tc>
        <w:tc>
          <w:tcPr>
            <w:tcW w:w="2041" w:type="dxa"/>
            <w:tcBorders>
              <w:top w:val="nil"/>
              <w:left w:val="nil"/>
              <w:bottom w:val="nil"/>
              <w:right w:val="nil"/>
            </w:tcBorders>
            <w:shd w:val="clear" w:color="auto" w:fill="auto"/>
            <w:noWrap/>
            <w:vAlign w:val="center"/>
            <w:hideMark/>
          </w:tcPr>
          <w:p w14:paraId="33F91027" w14:textId="1E9B3CBC"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81.109.062,50</w:t>
            </w:r>
          </w:p>
        </w:tc>
      </w:tr>
      <w:tr w:rsidR="00F56ABC" w:rsidRPr="001D58B9" w14:paraId="629A1352" w14:textId="77777777" w:rsidTr="001D58B9">
        <w:trPr>
          <w:trHeight w:val="315"/>
        </w:trPr>
        <w:tc>
          <w:tcPr>
            <w:tcW w:w="5544" w:type="dxa"/>
            <w:tcBorders>
              <w:top w:val="nil"/>
              <w:left w:val="nil"/>
              <w:bottom w:val="nil"/>
              <w:right w:val="nil"/>
            </w:tcBorders>
            <w:shd w:val="clear" w:color="auto" w:fill="auto"/>
            <w:noWrap/>
            <w:vAlign w:val="center"/>
            <w:hideMark/>
          </w:tcPr>
          <w:p w14:paraId="549ECF8C"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Banco de Desenvolvimento de Minas Gerais S.A.</w:t>
            </w:r>
          </w:p>
        </w:tc>
        <w:tc>
          <w:tcPr>
            <w:tcW w:w="1984" w:type="dxa"/>
            <w:tcBorders>
              <w:top w:val="nil"/>
              <w:left w:val="nil"/>
              <w:bottom w:val="nil"/>
              <w:right w:val="nil"/>
            </w:tcBorders>
            <w:shd w:val="clear" w:color="auto" w:fill="auto"/>
            <w:noWrap/>
            <w:vAlign w:val="center"/>
            <w:hideMark/>
          </w:tcPr>
          <w:p w14:paraId="6B8D1017"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26</w:t>
            </w:r>
          </w:p>
        </w:tc>
        <w:tc>
          <w:tcPr>
            <w:tcW w:w="2041" w:type="dxa"/>
            <w:tcBorders>
              <w:top w:val="nil"/>
              <w:left w:val="nil"/>
              <w:bottom w:val="nil"/>
              <w:right w:val="nil"/>
            </w:tcBorders>
            <w:shd w:val="clear" w:color="auto" w:fill="auto"/>
            <w:noWrap/>
            <w:vAlign w:val="center"/>
            <w:hideMark/>
          </w:tcPr>
          <w:p w14:paraId="1DAF2138" w14:textId="3B7D00C5"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58.332.658,32</w:t>
            </w:r>
          </w:p>
        </w:tc>
      </w:tr>
      <w:tr w:rsidR="00F56ABC" w:rsidRPr="001D58B9" w14:paraId="4D2EF8C3" w14:textId="77777777" w:rsidTr="001D58B9">
        <w:trPr>
          <w:trHeight w:val="315"/>
        </w:trPr>
        <w:tc>
          <w:tcPr>
            <w:tcW w:w="5544" w:type="dxa"/>
            <w:tcBorders>
              <w:top w:val="nil"/>
              <w:left w:val="nil"/>
              <w:bottom w:val="nil"/>
              <w:right w:val="nil"/>
            </w:tcBorders>
            <w:shd w:val="clear" w:color="auto" w:fill="auto"/>
            <w:noWrap/>
            <w:vAlign w:val="center"/>
            <w:hideMark/>
          </w:tcPr>
          <w:p w14:paraId="4BE4108C" w14:textId="574E865A"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Banco de Desenvolvimento do Espírito Santo S. A.</w:t>
            </w:r>
          </w:p>
        </w:tc>
        <w:tc>
          <w:tcPr>
            <w:tcW w:w="1984" w:type="dxa"/>
            <w:tcBorders>
              <w:top w:val="nil"/>
              <w:left w:val="nil"/>
              <w:bottom w:val="nil"/>
              <w:right w:val="nil"/>
            </w:tcBorders>
            <w:shd w:val="clear" w:color="auto" w:fill="auto"/>
            <w:noWrap/>
            <w:vAlign w:val="center"/>
            <w:hideMark/>
          </w:tcPr>
          <w:p w14:paraId="075BA9F2"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23</w:t>
            </w:r>
          </w:p>
        </w:tc>
        <w:tc>
          <w:tcPr>
            <w:tcW w:w="2041" w:type="dxa"/>
            <w:tcBorders>
              <w:top w:val="nil"/>
              <w:left w:val="nil"/>
              <w:bottom w:val="nil"/>
              <w:right w:val="nil"/>
            </w:tcBorders>
            <w:shd w:val="clear" w:color="auto" w:fill="auto"/>
            <w:noWrap/>
            <w:vAlign w:val="center"/>
            <w:hideMark/>
          </w:tcPr>
          <w:p w14:paraId="62936FA5" w14:textId="32F86E9E"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42.468.777,07</w:t>
            </w:r>
          </w:p>
        </w:tc>
      </w:tr>
      <w:tr w:rsidR="00F56ABC" w:rsidRPr="001D58B9" w14:paraId="3643188A" w14:textId="77777777" w:rsidTr="001D58B9">
        <w:trPr>
          <w:trHeight w:val="315"/>
        </w:trPr>
        <w:tc>
          <w:tcPr>
            <w:tcW w:w="5544" w:type="dxa"/>
            <w:tcBorders>
              <w:top w:val="nil"/>
              <w:left w:val="nil"/>
              <w:bottom w:val="nil"/>
              <w:right w:val="nil"/>
            </w:tcBorders>
            <w:shd w:val="clear" w:color="auto" w:fill="auto"/>
            <w:noWrap/>
            <w:vAlign w:val="center"/>
            <w:hideMark/>
          </w:tcPr>
          <w:p w14:paraId="1E0A394B"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Banco do Estado do Rio Grande do Sul S. A.</w:t>
            </w:r>
          </w:p>
        </w:tc>
        <w:tc>
          <w:tcPr>
            <w:tcW w:w="1984" w:type="dxa"/>
            <w:tcBorders>
              <w:top w:val="nil"/>
              <w:left w:val="nil"/>
              <w:bottom w:val="nil"/>
              <w:right w:val="nil"/>
            </w:tcBorders>
            <w:shd w:val="clear" w:color="auto" w:fill="auto"/>
            <w:noWrap/>
            <w:vAlign w:val="center"/>
            <w:hideMark/>
          </w:tcPr>
          <w:p w14:paraId="0944ADAB"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37</w:t>
            </w:r>
          </w:p>
        </w:tc>
        <w:tc>
          <w:tcPr>
            <w:tcW w:w="2041" w:type="dxa"/>
            <w:tcBorders>
              <w:top w:val="nil"/>
              <w:left w:val="nil"/>
              <w:bottom w:val="nil"/>
              <w:right w:val="nil"/>
            </w:tcBorders>
            <w:shd w:val="clear" w:color="auto" w:fill="auto"/>
            <w:noWrap/>
            <w:vAlign w:val="center"/>
            <w:hideMark/>
          </w:tcPr>
          <w:p w14:paraId="2AC72E2C" w14:textId="40FD4A41"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35.629.990,92</w:t>
            </w:r>
          </w:p>
        </w:tc>
      </w:tr>
      <w:tr w:rsidR="00F56ABC" w:rsidRPr="001D58B9" w14:paraId="55E217AF" w14:textId="77777777" w:rsidTr="001D58B9">
        <w:trPr>
          <w:trHeight w:val="315"/>
        </w:trPr>
        <w:tc>
          <w:tcPr>
            <w:tcW w:w="5544" w:type="dxa"/>
            <w:tcBorders>
              <w:top w:val="nil"/>
              <w:left w:val="nil"/>
              <w:bottom w:val="nil"/>
              <w:right w:val="nil"/>
            </w:tcBorders>
            <w:shd w:val="clear" w:color="auto" w:fill="auto"/>
            <w:noWrap/>
            <w:vAlign w:val="center"/>
            <w:hideMark/>
          </w:tcPr>
          <w:p w14:paraId="471135B5"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Banco Regional de Desenvolvimento do Extremo Sul</w:t>
            </w:r>
          </w:p>
        </w:tc>
        <w:tc>
          <w:tcPr>
            <w:tcW w:w="1984" w:type="dxa"/>
            <w:tcBorders>
              <w:top w:val="nil"/>
              <w:left w:val="nil"/>
              <w:bottom w:val="nil"/>
              <w:right w:val="nil"/>
            </w:tcBorders>
            <w:shd w:val="clear" w:color="auto" w:fill="auto"/>
            <w:noWrap/>
            <w:vAlign w:val="center"/>
            <w:hideMark/>
          </w:tcPr>
          <w:p w14:paraId="7A4636D8"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183</w:t>
            </w:r>
          </w:p>
        </w:tc>
        <w:tc>
          <w:tcPr>
            <w:tcW w:w="2041" w:type="dxa"/>
            <w:tcBorders>
              <w:top w:val="nil"/>
              <w:left w:val="nil"/>
              <w:bottom w:val="nil"/>
              <w:right w:val="nil"/>
            </w:tcBorders>
            <w:shd w:val="clear" w:color="auto" w:fill="auto"/>
            <w:noWrap/>
            <w:vAlign w:val="center"/>
            <w:hideMark/>
          </w:tcPr>
          <w:p w14:paraId="72B2F15B" w14:textId="5C966A04"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436.854.961,17</w:t>
            </w:r>
          </w:p>
        </w:tc>
      </w:tr>
      <w:tr w:rsidR="00F56ABC" w:rsidRPr="001D58B9" w14:paraId="36810992" w14:textId="77777777" w:rsidTr="001D58B9">
        <w:trPr>
          <w:trHeight w:val="315"/>
        </w:trPr>
        <w:tc>
          <w:tcPr>
            <w:tcW w:w="5544" w:type="dxa"/>
            <w:tcBorders>
              <w:top w:val="nil"/>
              <w:left w:val="nil"/>
              <w:bottom w:val="nil"/>
              <w:right w:val="nil"/>
            </w:tcBorders>
            <w:shd w:val="clear" w:color="auto" w:fill="auto"/>
            <w:noWrap/>
            <w:vAlign w:val="center"/>
            <w:hideMark/>
          </w:tcPr>
          <w:p w14:paraId="5DB37681" w14:textId="77777777"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Banco Sofisa S. A.</w:t>
            </w:r>
          </w:p>
        </w:tc>
        <w:tc>
          <w:tcPr>
            <w:tcW w:w="1984" w:type="dxa"/>
            <w:tcBorders>
              <w:top w:val="nil"/>
              <w:left w:val="nil"/>
              <w:bottom w:val="nil"/>
              <w:right w:val="nil"/>
            </w:tcBorders>
            <w:shd w:val="clear" w:color="auto" w:fill="auto"/>
            <w:noWrap/>
            <w:vAlign w:val="center"/>
            <w:hideMark/>
          </w:tcPr>
          <w:p w14:paraId="48D61C36"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28</w:t>
            </w:r>
          </w:p>
        </w:tc>
        <w:tc>
          <w:tcPr>
            <w:tcW w:w="2041" w:type="dxa"/>
            <w:tcBorders>
              <w:top w:val="nil"/>
              <w:left w:val="nil"/>
              <w:bottom w:val="nil"/>
              <w:right w:val="nil"/>
            </w:tcBorders>
            <w:shd w:val="clear" w:color="auto" w:fill="auto"/>
            <w:noWrap/>
            <w:vAlign w:val="center"/>
            <w:hideMark/>
          </w:tcPr>
          <w:p w14:paraId="59052C4A" w14:textId="05E0BAAD"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64.139.773,28</w:t>
            </w:r>
          </w:p>
        </w:tc>
      </w:tr>
      <w:tr w:rsidR="00F56ABC" w:rsidRPr="001D58B9" w14:paraId="4257E5CC" w14:textId="77777777" w:rsidTr="001D58B9">
        <w:trPr>
          <w:trHeight w:val="315"/>
        </w:trPr>
        <w:tc>
          <w:tcPr>
            <w:tcW w:w="5544" w:type="dxa"/>
            <w:tcBorders>
              <w:top w:val="nil"/>
              <w:left w:val="nil"/>
              <w:bottom w:val="nil"/>
              <w:right w:val="nil"/>
            </w:tcBorders>
            <w:shd w:val="clear" w:color="auto" w:fill="auto"/>
            <w:noWrap/>
            <w:vAlign w:val="center"/>
            <w:hideMark/>
          </w:tcPr>
          <w:p w14:paraId="0F58F517" w14:textId="1C27509F"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Cresol Central Brasil</w:t>
            </w:r>
          </w:p>
        </w:tc>
        <w:tc>
          <w:tcPr>
            <w:tcW w:w="1984" w:type="dxa"/>
            <w:tcBorders>
              <w:top w:val="nil"/>
              <w:left w:val="nil"/>
              <w:bottom w:val="nil"/>
              <w:right w:val="nil"/>
            </w:tcBorders>
            <w:shd w:val="clear" w:color="auto" w:fill="auto"/>
            <w:noWrap/>
            <w:vAlign w:val="center"/>
            <w:hideMark/>
          </w:tcPr>
          <w:p w14:paraId="62BF3F08"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73</w:t>
            </w:r>
          </w:p>
        </w:tc>
        <w:tc>
          <w:tcPr>
            <w:tcW w:w="2041" w:type="dxa"/>
            <w:tcBorders>
              <w:top w:val="nil"/>
              <w:left w:val="nil"/>
              <w:bottom w:val="nil"/>
              <w:right w:val="nil"/>
            </w:tcBorders>
            <w:shd w:val="clear" w:color="auto" w:fill="auto"/>
            <w:noWrap/>
            <w:vAlign w:val="center"/>
            <w:hideMark/>
          </w:tcPr>
          <w:p w14:paraId="5DE20147" w14:textId="1BFFF5CB"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132.705.606,69</w:t>
            </w:r>
          </w:p>
        </w:tc>
      </w:tr>
      <w:tr w:rsidR="00F56ABC" w:rsidRPr="001D58B9" w14:paraId="53E254EF" w14:textId="77777777" w:rsidTr="001D58B9">
        <w:trPr>
          <w:trHeight w:val="315"/>
        </w:trPr>
        <w:tc>
          <w:tcPr>
            <w:tcW w:w="5544" w:type="dxa"/>
            <w:tcBorders>
              <w:top w:val="nil"/>
              <w:left w:val="nil"/>
              <w:bottom w:val="nil"/>
              <w:right w:val="nil"/>
            </w:tcBorders>
            <w:shd w:val="clear" w:color="auto" w:fill="auto"/>
            <w:noWrap/>
            <w:vAlign w:val="center"/>
            <w:hideMark/>
          </w:tcPr>
          <w:p w14:paraId="41179741" w14:textId="2B4CAC72"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Central Cresol Baser</w:t>
            </w:r>
          </w:p>
        </w:tc>
        <w:tc>
          <w:tcPr>
            <w:tcW w:w="1984" w:type="dxa"/>
            <w:tcBorders>
              <w:top w:val="nil"/>
              <w:left w:val="nil"/>
              <w:bottom w:val="nil"/>
              <w:right w:val="nil"/>
            </w:tcBorders>
            <w:shd w:val="clear" w:color="auto" w:fill="auto"/>
            <w:noWrap/>
            <w:vAlign w:val="center"/>
            <w:hideMark/>
          </w:tcPr>
          <w:p w14:paraId="411271C7"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52</w:t>
            </w:r>
          </w:p>
        </w:tc>
        <w:tc>
          <w:tcPr>
            <w:tcW w:w="2041" w:type="dxa"/>
            <w:tcBorders>
              <w:top w:val="nil"/>
              <w:left w:val="nil"/>
              <w:bottom w:val="nil"/>
              <w:right w:val="nil"/>
            </w:tcBorders>
            <w:shd w:val="clear" w:color="auto" w:fill="auto"/>
            <w:noWrap/>
            <w:vAlign w:val="center"/>
            <w:hideMark/>
          </w:tcPr>
          <w:p w14:paraId="7BA3BEF9" w14:textId="4665C64C"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123.869.298,00</w:t>
            </w:r>
          </w:p>
        </w:tc>
      </w:tr>
      <w:tr w:rsidR="00F56ABC" w:rsidRPr="001D58B9" w14:paraId="1627B430" w14:textId="77777777" w:rsidTr="001D58B9">
        <w:trPr>
          <w:trHeight w:val="315"/>
        </w:trPr>
        <w:tc>
          <w:tcPr>
            <w:tcW w:w="5544" w:type="dxa"/>
            <w:tcBorders>
              <w:top w:val="nil"/>
              <w:left w:val="nil"/>
              <w:bottom w:val="nil"/>
              <w:right w:val="nil"/>
            </w:tcBorders>
            <w:shd w:val="clear" w:color="auto" w:fill="auto"/>
            <w:noWrap/>
            <w:vAlign w:val="center"/>
            <w:hideMark/>
          </w:tcPr>
          <w:p w14:paraId="2CE1460B" w14:textId="37804C3C" w:rsidR="00F56ABC" w:rsidRPr="001D58B9" w:rsidRDefault="00F56ABC" w:rsidP="00F56ABC">
            <w:pPr>
              <w:rPr>
                <w:rFonts w:ascii="Tahoma" w:hAnsi="Tahoma" w:cs="Tahoma"/>
                <w:color w:val="000000"/>
                <w:sz w:val="19"/>
                <w:szCs w:val="19"/>
              </w:rPr>
            </w:pPr>
            <w:r w:rsidRPr="001D58B9">
              <w:rPr>
                <w:rFonts w:ascii="Tahoma" w:hAnsi="Tahoma" w:cs="Tahoma"/>
                <w:color w:val="000000"/>
                <w:sz w:val="19"/>
                <w:szCs w:val="19"/>
              </w:rPr>
              <w:t>Central Cresol Sicoper</w:t>
            </w:r>
          </w:p>
        </w:tc>
        <w:tc>
          <w:tcPr>
            <w:tcW w:w="1984" w:type="dxa"/>
            <w:tcBorders>
              <w:top w:val="nil"/>
              <w:left w:val="nil"/>
              <w:bottom w:val="nil"/>
              <w:right w:val="nil"/>
            </w:tcBorders>
            <w:shd w:val="clear" w:color="auto" w:fill="auto"/>
            <w:noWrap/>
            <w:vAlign w:val="center"/>
            <w:hideMark/>
          </w:tcPr>
          <w:p w14:paraId="5948D914" w14:textId="77777777" w:rsidR="00F56ABC" w:rsidRPr="001D58B9" w:rsidRDefault="00F56ABC" w:rsidP="00F56ABC">
            <w:pPr>
              <w:jc w:val="center"/>
              <w:rPr>
                <w:rFonts w:ascii="Tahoma" w:hAnsi="Tahoma" w:cs="Tahoma"/>
                <w:color w:val="000000"/>
                <w:sz w:val="19"/>
                <w:szCs w:val="19"/>
              </w:rPr>
            </w:pPr>
            <w:r w:rsidRPr="001D58B9">
              <w:rPr>
                <w:rFonts w:ascii="Tahoma" w:hAnsi="Tahoma" w:cs="Tahoma"/>
                <w:color w:val="000000"/>
                <w:sz w:val="19"/>
                <w:szCs w:val="19"/>
              </w:rPr>
              <w:t>51</w:t>
            </w:r>
          </w:p>
        </w:tc>
        <w:tc>
          <w:tcPr>
            <w:tcW w:w="2041" w:type="dxa"/>
            <w:tcBorders>
              <w:top w:val="nil"/>
              <w:left w:val="nil"/>
              <w:bottom w:val="nil"/>
              <w:right w:val="nil"/>
            </w:tcBorders>
            <w:shd w:val="clear" w:color="auto" w:fill="auto"/>
            <w:noWrap/>
            <w:vAlign w:val="center"/>
            <w:hideMark/>
          </w:tcPr>
          <w:p w14:paraId="5ABCC03C" w14:textId="0505C92F" w:rsidR="00F56ABC" w:rsidRPr="001D58B9" w:rsidRDefault="00F56ABC" w:rsidP="00F56ABC">
            <w:pPr>
              <w:jc w:val="right"/>
              <w:rPr>
                <w:rFonts w:ascii="Tahoma" w:hAnsi="Tahoma" w:cs="Tahoma"/>
                <w:color w:val="000000"/>
                <w:sz w:val="19"/>
                <w:szCs w:val="19"/>
              </w:rPr>
            </w:pPr>
            <w:r w:rsidRPr="001D58B9">
              <w:rPr>
                <w:rFonts w:ascii="Tahoma" w:hAnsi="Tahoma" w:cs="Tahoma"/>
                <w:color w:val="000000"/>
                <w:sz w:val="19"/>
                <w:szCs w:val="19"/>
              </w:rPr>
              <w:t>96.667.224,55</w:t>
            </w:r>
          </w:p>
        </w:tc>
      </w:tr>
      <w:tr w:rsidR="00F56ABC" w:rsidRPr="001D58B9" w14:paraId="0FEA375D" w14:textId="77777777" w:rsidTr="001D58B9">
        <w:trPr>
          <w:trHeight w:val="397"/>
        </w:trPr>
        <w:tc>
          <w:tcPr>
            <w:tcW w:w="5544" w:type="dxa"/>
            <w:tcBorders>
              <w:top w:val="single" w:sz="4" w:space="0" w:color="8EA9DB"/>
              <w:left w:val="nil"/>
              <w:bottom w:val="nil"/>
              <w:right w:val="nil"/>
            </w:tcBorders>
            <w:shd w:val="clear" w:color="auto" w:fill="0098BA"/>
            <w:noWrap/>
            <w:vAlign w:val="center"/>
            <w:hideMark/>
          </w:tcPr>
          <w:p w14:paraId="0C38489E" w14:textId="78F69811" w:rsidR="00F56ABC" w:rsidRPr="001D58B9" w:rsidRDefault="00F56ABC" w:rsidP="00F56ABC">
            <w:pPr>
              <w:rPr>
                <w:rFonts w:ascii="Tahoma" w:hAnsi="Tahoma" w:cs="Tahoma"/>
                <w:color w:val="FFFFFF" w:themeColor="background1"/>
                <w:sz w:val="19"/>
                <w:szCs w:val="19"/>
              </w:rPr>
            </w:pPr>
            <w:r w:rsidRPr="001D58B9">
              <w:rPr>
                <w:rFonts w:ascii="Tahoma" w:hAnsi="Tahoma" w:cs="Tahoma"/>
                <w:color w:val="FFFFFF" w:themeColor="background1"/>
                <w:sz w:val="19"/>
                <w:szCs w:val="19"/>
              </w:rPr>
              <w:t xml:space="preserve">Total </w:t>
            </w:r>
          </w:p>
        </w:tc>
        <w:tc>
          <w:tcPr>
            <w:tcW w:w="1984" w:type="dxa"/>
            <w:tcBorders>
              <w:top w:val="single" w:sz="4" w:space="0" w:color="8EA9DB"/>
              <w:left w:val="nil"/>
              <w:bottom w:val="nil"/>
              <w:right w:val="nil"/>
            </w:tcBorders>
            <w:shd w:val="clear" w:color="auto" w:fill="0098BA"/>
            <w:noWrap/>
            <w:vAlign w:val="center"/>
            <w:hideMark/>
          </w:tcPr>
          <w:p w14:paraId="66468B32" w14:textId="77777777" w:rsidR="00F56ABC" w:rsidRPr="001D58B9" w:rsidRDefault="00F56ABC" w:rsidP="00F56ABC">
            <w:pPr>
              <w:jc w:val="center"/>
              <w:rPr>
                <w:rFonts w:ascii="Tahoma" w:hAnsi="Tahoma" w:cs="Tahoma"/>
                <w:color w:val="FFFFFF" w:themeColor="background1"/>
                <w:sz w:val="19"/>
                <w:szCs w:val="19"/>
              </w:rPr>
            </w:pPr>
            <w:r w:rsidRPr="001D58B9">
              <w:rPr>
                <w:rFonts w:ascii="Tahoma" w:hAnsi="Tahoma" w:cs="Tahoma"/>
                <w:color w:val="FFFFFF" w:themeColor="background1"/>
                <w:sz w:val="19"/>
                <w:szCs w:val="19"/>
              </w:rPr>
              <w:t>623</w:t>
            </w:r>
          </w:p>
        </w:tc>
        <w:tc>
          <w:tcPr>
            <w:tcW w:w="2041" w:type="dxa"/>
            <w:tcBorders>
              <w:top w:val="single" w:sz="4" w:space="0" w:color="8EA9DB"/>
              <w:left w:val="nil"/>
              <w:bottom w:val="nil"/>
              <w:right w:val="nil"/>
            </w:tcBorders>
            <w:shd w:val="clear" w:color="auto" w:fill="0098BA"/>
            <w:noWrap/>
            <w:vAlign w:val="center"/>
            <w:hideMark/>
          </w:tcPr>
          <w:p w14:paraId="3B56E70A" w14:textId="5C415A38" w:rsidR="00F56ABC" w:rsidRPr="001D58B9" w:rsidRDefault="00F56ABC" w:rsidP="00F56ABC">
            <w:pPr>
              <w:jc w:val="right"/>
              <w:rPr>
                <w:rFonts w:ascii="Tahoma" w:hAnsi="Tahoma" w:cs="Tahoma"/>
                <w:color w:val="FFFFFF" w:themeColor="background1"/>
                <w:sz w:val="19"/>
                <w:szCs w:val="19"/>
              </w:rPr>
            </w:pPr>
            <w:r w:rsidRPr="001D58B9">
              <w:rPr>
                <w:rFonts w:ascii="Tahoma" w:hAnsi="Tahoma" w:cs="Tahoma"/>
                <w:color w:val="FFFFFF" w:themeColor="background1"/>
                <w:sz w:val="19"/>
                <w:szCs w:val="19"/>
              </w:rPr>
              <w:t>1.179.740.385,21</w:t>
            </w:r>
          </w:p>
        </w:tc>
      </w:tr>
    </w:tbl>
    <w:p w14:paraId="68D187D3" w14:textId="77777777" w:rsidR="00F56ABC" w:rsidRDefault="00F56ABC" w:rsidP="00F56ABC">
      <w:pPr>
        <w:spacing w:after="120"/>
        <w:ind w:left="851" w:hanging="851"/>
      </w:pPr>
      <w:r>
        <w:rPr>
          <w:rFonts w:ascii="Tahoma" w:hAnsi="Tahoma" w:cs="Tahoma"/>
          <w:b/>
          <w:bCs/>
          <w:color w:val="000000"/>
          <w:sz w:val="18"/>
          <w:szCs w:val="18"/>
        </w:rPr>
        <w:t>Dados obtidos em:</w:t>
      </w:r>
      <w:r>
        <w:rPr>
          <w:rFonts w:ascii="Tahoma" w:hAnsi="Tahoma" w:cs="Tahoma"/>
          <w:color w:val="000000"/>
          <w:sz w:val="18"/>
          <w:szCs w:val="18"/>
        </w:rPr>
        <w:t xml:space="preserve"> fev/2024</w:t>
      </w:r>
    </w:p>
    <w:p w14:paraId="4111A18A" w14:textId="77777777" w:rsidR="00F56ABC" w:rsidRDefault="00F56ABC" w:rsidP="00E753EC">
      <w:pPr>
        <w:spacing w:before="120" w:after="120" w:line="360" w:lineRule="auto"/>
        <w:textAlignment w:val="baseline"/>
        <w:rPr>
          <w:rFonts w:ascii="Tahoma" w:hAnsi="Tahoma" w:cs="Tahoma"/>
          <w:sz w:val="19"/>
          <w:szCs w:val="19"/>
        </w:rPr>
      </w:pPr>
    </w:p>
    <w:p w14:paraId="0B6E3909" w14:textId="06F8284A" w:rsidR="001D58B9" w:rsidRPr="002202FB" w:rsidRDefault="001D58B9" w:rsidP="001D58B9">
      <w:pPr>
        <w:spacing w:after="60"/>
        <w:textAlignment w:val="baseline"/>
        <w:rPr>
          <w:rFonts w:ascii="Tahoma" w:hAnsi="Tahoma" w:cs="Tahoma"/>
          <w:color w:val="0098BA"/>
          <w:sz w:val="19"/>
          <w:szCs w:val="19"/>
        </w:rPr>
      </w:pPr>
      <w:r w:rsidRPr="002202FB">
        <w:rPr>
          <w:rFonts w:ascii="Tahoma" w:hAnsi="Tahoma" w:cs="Tahoma"/>
          <w:color w:val="0098BA"/>
          <w:sz w:val="19"/>
          <w:szCs w:val="19"/>
        </w:rPr>
        <w:t xml:space="preserve">Crédito descentralizado – Número de contratos e valor </w:t>
      </w:r>
      <w:r>
        <w:rPr>
          <w:rFonts w:ascii="Tahoma" w:hAnsi="Tahoma" w:cs="Tahoma"/>
          <w:color w:val="0098BA"/>
          <w:sz w:val="19"/>
          <w:szCs w:val="19"/>
        </w:rPr>
        <w:t>liberado</w:t>
      </w:r>
      <w:r w:rsidRPr="002202FB">
        <w:rPr>
          <w:rFonts w:ascii="Tahoma" w:hAnsi="Tahoma" w:cs="Tahoma"/>
          <w:color w:val="0098BA"/>
          <w:sz w:val="19"/>
          <w:szCs w:val="19"/>
        </w:rPr>
        <w:t xml:space="preserve"> por </w:t>
      </w:r>
      <w:r>
        <w:rPr>
          <w:rFonts w:ascii="Tahoma" w:hAnsi="Tahoma" w:cs="Tahoma"/>
          <w:color w:val="0098BA"/>
          <w:sz w:val="19"/>
          <w:szCs w:val="19"/>
        </w:rPr>
        <w:t>porte</w:t>
      </w:r>
      <w:r w:rsidRPr="002202FB">
        <w:rPr>
          <w:rFonts w:ascii="Tahoma" w:hAnsi="Tahoma" w:cs="Tahoma"/>
          <w:color w:val="0098BA"/>
          <w:sz w:val="19"/>
          <w:szCs w:val="19"/>
        </w:rPr>
        <w:t xml:space="preserve"> - 2023</w:t>
      </w:r>
    </w:p>
    <w:p w14:paraId="1E8EC558" w14:textId="77777777" w:rsidR="001D58B9" w:rsidRDefault="001D58B9" w:rsidP="001D58B9">
      <w:pPr>
        <w:ind w:right="1758"/>
        <w:jc w:val="right"/>
        <w:textAlignment w:val="baseline"/>
        <w:rPr>
          <w:rFonts w:ascii="Tahoma" w:hAnsi="Tahoma" w:cs="Tahoma"/>
          <w:sz w:val="19"/>
          <w:szCs w:val="19"/>
        </w:rPr>
      </w:pPr>
      <w:r>
        <w:rPr>
          <w:rFonts w:ascii="Tahoma" w:hAnsi="Tahoma" w:cs="Tahoma"/>
          <w:bCs/>
          <w:color w:val="000000"/>
          <w:sz w:val="18"/>
          <w:szCs w:val="18"/>
        </w:rPr>
        <w:t>Posição em 31/12/2023</w:t>
      </w:r>
    </w:p>
    <w:tbl>
      <w:tblPr>
        <w:tblW w:w="7528" w:type="dxa"/>
        <w:tblInd w:w="-15" w:type="dxa"/>
        <w:tblCellMar>
          <w:left w:w="70" w:type="dxa"/>
          <w:right w:w="70" w:type="dxa"/>
        </w:tblCellMar>
        <w:tblLook w:val="04A0" w:firstRow="1" w:lastRow="0" w:firstColumn="1" w:lastColumn="0" w:noHBand="0" w:noVBand="1"/>
      </w:tblPr>
      <w:tblGrid>
        <w:gridCol w:w="2567"/>
        <w:gridCol w:w="1559"/>
        <w:gridCol w:w="3402"/>
      </w:tblGrid>
      <w:tr w:rsidR="001D58B9" w:rsidRPr="001D58B9" w14:paraId="1703CC17" w14:textId="77777777" w:rsidTr="001D58B9">
        <w:trPr>
          <w:trHeight w:val="397"/>
        </w:trPr>
        <w:tc>
          <w:tcPr>
            <w:tcW w:w="2567" w:type="dxa"/>
            <w:tcBorders>
              <w:top w:val="nil"/>
              <w:left w:val="nil"/>
              <w:bottom w:val="single" w:sz="4" w:space="0" w:color="8EA9DB"/>
              <w:right w:val="nil"/>
            </w:tcBorders>
            <w:shd w:val="clear" w:color="auto" w:fill="0098BA"/>
            <w:noWrap/>
            <w:vAlign w:val="center"/>
            <w:hideMark/>
          </w:tcPr>
          <w:p w14:paraId="58C224BD" w14:textId="77777777" w:rsidR="001D58B9" w:rsidRPr="001D58B9" w:rsidRDefault="001D58B9" w:rsidP="001D58B9">
            <w:pPr>
              <w:rPr>
                <w:rFonts w:ascii="Tahoma" w:hAnsi="Tahoma" w:cs="Tahoma"/>
                <w:color w:val="FFFFFF" w:themeColor="background1"/>
                <w:sz w:val="19"/>
                <w:szCs w:val="19"/>
              </w:rPr>
            </w:pPr>
            <w:r w:rsidRPr="001D58B9">
              <w:rPr>
                <w:rFonts w:ascii="Tahoma" w:hAnsi="Tahoma" w:cs="Tahoma"/>
                <w:color w:val="FFFFFF" w:themeColor="background1"/>
                <w:sz w:val="19"/>
                <w:szCs w:val="19"/>
              </w:rPr>
              <w:t>Porte - IBGE</w:t>
            </w:r>
          </w:p>
        </w:tc>
        <w:tc>
          <w:tcPr>
            <w:tcW w:w="1559" w:type="dxa"/>
            <w:tcBorders>
              <w:top w:val="nil"/>
              <w:left w:val="nil"/>
              <w:bottom w:val="single" w:sz="4" w:space="0" w:color="8EA9DB"/>
              <w:right w:val="nil"/>
            </w:tcBorders>
            <w:shd w:val="clear" w:color="auto" w:fill="0098BA"/>
            <w:noWrap/>
            <w:vAlign w:val="center"/>
            <w:hideMark/>
          </w:tcPr>
          <w:p w14:paraId="2B085076" w14:textId="77777777" w:rsidR="001D58B9" w:rsidRPr="001D58B9" w:rsidRDefault="001D58B9" w:rsidP="001D58B9">
            <w:pPr>
              <w:jc w:val="center"/>
              <w:rPr>
                <w:rFonts w:ascii="Tahoma" w:hAnsi="Tahoma" w:cs="Tahoma"/>
                <w:color w:val="FFFFFF" w:themeColor="background1"/>
                <w:sz w:val="19"/>
                <w:szCs w:val="19"/>
              </w:rPr>
            </w:pPr>
            <w:r w:rsidRPr="001D58B9">
              <w:rPr>
                <w:rFonts w:ascii="Tahoma" w:hAnsi="Tahoma" w:cs="Tahoma"/>
                <w:color w:val="FFFFFF" w:themeColor="background1"/>
                <w:sz w:val="19"/>
                <w:szCs w:val="19"/>
              </w:rPr>
              <w:t>Contagem de Contrato</w:t>
            </w:r>
          </w:p>
        </w:tc>
        <w:tc>
          <w:tcPr>
            <w:tcW w:w="3402" w:type="dxa"/>
            <w:tcBorders>
              <w:top w:val="nil"/>
              <w:left w:val="nil"/>
              <w:bottom w:val="single" w:sz="4" w:space="0" w:color="8EA9DB"/>
              <w:right w:val="nil"/>
            </w:tcBorders>
            <w:shd w:val="clear" w:color="auto" w:fill="0098BA"/>
            <w:noWrap/>
            <w:vAlign w:val="center"/>
            <w:hideMark/>
          </w:tcPr>
          <w:p w14:paraId="7903849F" w14:textId="27A2823B" w:rsidR="001D58B9" w:rsidRPr="001D58B9" w:rsidRDefault="001D58B9" w:rsidP="001D58B9">
            <w:pPr>
              <w:jc w:val="right"/>
              <w:rPr>
                <w:rFonts w:ascii="Tahoma" w:hAnsi="Tahoma" w:cs="Tahoma"/>
                <w:color w:val="FFFFFF" w:themeColor="background1"/>
                <w:sz w:val="19"/>
                <w:szCs w:val="19"/>
              </w:rPr>
            </w:pPr>
            <w:r w:rsidRPr="001D58B9">
              <w:rPr>
                <w:rFonts w:ascii="Tahoma" w:hAnsi="Tahoma" w:cs="Tahoma"/>
                <w:color w:val="FFFFFF" w:themeColor="background1"/>
                <w:sz w:val="19"/>
                <w:szCs w:val="19"/>
              </w:rPr>
              <w:t>Valor Contratado</w:t>
            </w:r>
          </w:p>
        </w:tc>
      </w:tr>
      <w:tr w:rsidR="001D58B9" w:rsidRPr="001D58B9" w14:paraId="0565D60E" w14:textId="77777777" w:rsidTr="001D58B9">
        <w:trPr>
          <w:trHeight w:val="315"/>
        </w:trPr>
        <w:tc>
          <w:tcPr>
            <w:tcW w:w="2567" w:type="dxa"/>
            <w:tcBorders>
              <w:top w:val="nil"/>
              <w:left w:val="nil"/>
              <w:bottom w:val="nil"/>
              <w:right w:val="nil"/>
            </w:tcBorders>
            <w:shd w:val="clear" w:color="auto" w:fill="auto"/>
            <w:noWrap/>
            <w:vAlign w:val="center"/>
            <w:hideMark/>
          </w:tcPr>
          <w:p w14:paraId="07B93971" w14:textId="63AB3807" w:rsidR="001D58B9" w:rsidRPr="001D58B9" w:rsidRDefault="001D58B9" w:rsidP="001D58B9">
            <w:pPr>
              <w:rPr>
                <w:rFonts w:ascii="Tahoma" w:hAnsi="Tahoma" w:cs="Tahoma"/>
                <w:color w:val="000000"/>
                <w:sz w:val="19"/>
                <w:szCs w:val="19"/>
              </w:rPr>
            </w:pPr>
            <w:r w:rsidRPr="001D58B9">
              <w:rPr>
                <w:rFonts w:ascii="Tahoma" w:hAnsi="Tahoma" w:cs="Tahoma"/>
                <w:color w:val="000000"/>
                <w:sz w:val="19"/>
                <w:szCs w:val="19"/>
              </w:rPr>
              <w:t>Micro</w:t>
            </w:r>
            <w:r>
              <w:rPr>
                <w:rFonts w:ascii="Tahoma" w:hAnsi="Tahoma" w:cs="Tahoma"/>
                <w:color w:val="000000"/>
                <w:sz w:val="19"/>
                <w:szCs w:val="19"/>
              </w:rPr>
              <w:t xml:space="preserve"> e </w:t>
            </w:r>
            <w:r w:rsidRPr="001D58B9">
              <w:rPr>
                <w:rFonts w:ascii="Tahoma" w:hAnsi="Tahoma" w:cs="Tahoma"/>
                <w:color w:val="000000"/>
                <w:sz w:val="19"/>
                <w:szCs w:val="19"/>
              </w:rPr>
              <w:t>Peq</w:t>
            </w:r>
            <w:r>
              <w:rPr>
                <w:rFonts w:ascii="Tahoma" w:hAnsi="Tahoma" w:cs="Tahoma"/>
                <w:color w:val="000000"/>
                <w:sz w:val="19"/>
                <w:szCs w:val="19"/>
              </w:rPr>
              <w:t>ueno</w:t>
            </w:r>
            <w:r w:rsidRPr="001D58B9">
              <w:rPr>
                <w:rFonts w:ascii="Tahoma" w:hAnsi="Tahoma" w:cs="Tahoma"/>
                <w:color w:val="000000"/>
                <w:sz w:val="19"/>
                <w:szCs w:val="19"/>
              </w:rPr>
              <w:t xml:space="preserve"> Porte</w:t>
            </w:r>
          </w:p>
        </w:tc>
        <w:tc>
          <w:tcPr>
            <w:tcW w:w="1559" w:type="dxa"/>
            <w:tcBorders>
              <w:top w:val="nil"/>
              <w:left w:val="nil"/>
              <w:bottom w:val="nil"/>
              <w:right w:val="nil"/>
            </w:tcBorders>
            <w:shd w:val="clear" w:color="auto" w:fill="auto"/>
            <w:noWrap/>
            <w:vAlign w:val="center"/>
            <w:hideMark/>
          </w:tcPr>
          <w:p w14:paraId="67DD6888" w14:textId="77777777" w:rsidR="001D58B9" w:rsidRPr="001D58B9" w:rsidRDefault="001D58B9" w:rsidP="001D58B9">
            <w:pPr>
              <w:jc w:val="center"/>
              <w:rPr>
                <w:rFonts w:ascii="Tahoma" w:hAnsi="Tahoma" w:cs="Tahoma"/>
                <w:color w:val="000000"/>
                <w:sz w:val="19"/>
                <w:szCs w:val="19"/>
              </w:rPr>
            </w:pPr>
            <w:r w:rsidRPr="001D58B9">
              <w:rPr>
                <w:rFonts w:ascii="Tahoma" w:hAnsi="Tahoma" w:cs="Tahoma"/>
                <w:color w:val="000000"/>
                <w:sz w:val="19"/>
                <w:szCs w:val="19"/>
              </w:rPr>
              <w:t>243</w:t>
            </w:r>
          </w:p>
        </w:tc>
        <w:tc>
          <w:tcPr>
            <w:tcW w:w="3402" w:type="dxa"/>
            <w:tcBorders>
              <w:top w:val="nil"/>
              <w:left w:val="nil"/>
              <w:bottom w:val="nil"/>
              <w:right w:val="nil"/>
            </w:tcBorders>
            <w:shd w:val="clear" w:color="auto" w:fill="auto"/>
            <w:noWrap/>
            <w:vAlign w:val="center"/>
            <w:hideMark/>
          </w:tcPr>
          <w:p w14:paraId="34002A5C" w14:textId="6AE3E827" w:rsidR="001D58B9" w:rsidRPr="001D58B9" w:rsidRDefault="001D58B9" w:rsidP="001D58B9">
            <w:pPr>
              <w:jc w:val="right"/>
              <w:rPr>
                <w:rFonts w:ascii="Tahoma" w:hAnsi="Tahoma" w:cs="Tahoma"/>
                <w:color w:val="000000"/>
                <w:sz w:val="19"/>
                <w:szCs w:val="19"/>
              </w:rPr>
            </w:pPr>
            <w:r w:rsidRPr="001D58B9">
              <w:rPr>
                <w:rFonts w:ascii="Tahoma" w:hAnsi="Tahoma" w:cs="Tahoma"/>
                <w:color w:val="000000"/>
                <w:sz w:val="19"/>
                <w:szCs w:val="19"/>
              </w:rPr>
              <w:t>248.526.384,58</w:t>
            </w:r>
          </w:p>
        </w:tc>
      </w:tr>
      <w:tr w:rsidR="001D58B9" w:rsidRPr="001D58B9" w14:paraId="5817A77D" w14:textId="77777777" w:rsidTr="001D58B9">
        <w:trPr>
          <w:trHeight w:val="315"/>
        </w:trPr>
        <w:tc>
          <w:tcPr>
            <w:tcW w:w="2567" w:type="dxa"/>
            <w:tcBorders>
              <w:top w:val="nil"/>
              <w:left w:val="nil"/>
              <w:bottom w:val="nil"/>
              <w:right w:val="nil"/>
            </w:tcBorders>
            <w:shd w:val="clear" w:color="auto" w:fill="auto"/>
            <w:noWrap/>
            <w:vAlign w:val="center"/>
            <w:hideMark/>
          </w:tcPr>
          <w:p w14:paraId="2ED18744" w14:textId="77777777" w:rsidR="001D58B9" w:rsidRPr="001D58B9" w:rsidRDefault="001D58B9" w:rsidP="001D58B9">
            <w:pPr>
              <w:rPr>
                <w:rFonts w:ascii="Tahoma" w:hAnsi="Tahoma" w:cs="Tahoma"/>
                <w:color w:val="000000"/>
                <w:sz w:val="19"/>
                <w:szCs w:val="19"/>
              </w:rPr>
            </w:pPr>
            <w:r w:rsidRPr="001D58B9">
              <w:rPr>
                <w:rFonts w:ascii="Tahoma" w:hAnsi="Tahoma" w:cs="Tahoma"/>
                <w:color w:val="000000"/>
                <w:sz w:val="19"/>
                <w:szCs w:val="19"/>
              </w:rPr>
              <w:t>Pequena</w:t>
            </w:r>
          </w:p>
        </w:tc>
        <w:tc>
          <w:tcPr>
            <w:tcW w:w="1559" w:type="dxa"/>
            <w:tcBorders>
              <w:top w:val="nil"/>
              <w:left w:val="nil"/>
              <w:bottom w:val="nil"/>
              <w:right w:val="nil"/>
            </w:tcBorders>
            <w:shd w:val="clear" w:color="auto" w:fill="auto"/>
            <w:noWrap/>
            <w:vAlign w:val="center"/>
            <w:hideMark/>
          </w:tcPr>
          <w:p w14:paraId="373F0DAD" w14:textId="77777777" w:rsidR="001D58B9" w:rsidRPr="001D58B9" w:rsidRDefault="001D58B9" w:rsidP="001D58B9">
            <w:pPr>
              <w:jc w:val="center"/>
              <w:rPr>
                <w:rFonts w:ascii="Tahoma" w:hAnsi="Tahoma" w:cs="Tahoma"/>
                <w:color w:val="000000"/>
                <w:sz w:val="19"/>
                <w:szCs w:val="19"/>
              </w:rPr>
            </w:pPr>
            <w:r w:rsidRPr="001D58B9">
              <w:rPr>
                <w:rFonts w:ascii="Tahoma" w:hAnsi="Tahoma" w:cs="Tahoma"/>
                <w:color w:val="000000"/>
                <w:sz w:val="19"/>
                <w:szCs w:val="19"/>
              </w:rPr>
              <w:t>100</w:t>
            </w:r>
          </w:p>
        </w:tc>
        <w:tc>
          <w:tcPr>
            <w:tcW w:w="3402" w:type="dxa"/>
            <w:tcBorders>
              <w:top w:val="nil"/>
              <w:left w:val="nil"/>
              <w:bottom w:val="nil"/>
              <w:right w:val="nil"/>
            </w:tcBorders>
            <w:shd w:val="clear" w:color="auto" w:fill="auto"/>
            <w:noWrap/>
            <w:vAlign w:val="center"/>
            <w:hideMark/>
          </w:tcPr>
          <w:p w14:paraId="08FC74C0" w14:textId="79991949" w:rsidR="001D58B9" w:rsidRPr="001D58B9" w:rsidRDefault="001D58B9" w:rsidP="001D58B9">
            <w:pPr>
              <w:jc w:val="right"/>
              <w:rPr>
                <w:rFonts w:ascii="Tahoma" w:hAnsi="Tahoma" w:cs="Tahoma"/>
                <w:color w:val="000000"/>
                <w:sz w:val="19"/>
                <w:szCs w:val="19"/>
              </w:rPr>
            </w:pPr>
            <w:r w:rsidRPr="001D58B9">
              <w:rPr>
                <w:rFonts w:ascii="Tahoma" w:hAnsi="Tahoma" w:cs="Tahoma"/>
                <w:color w:val="000000"/>
                <w:sz w:val="19"/>
                <w:szCs w:val="19"/>
              </w:rPr>
              <w:t>214.663.145,76</w:t>
            </w:r>
          </w:p>
        </w:tc>
      </w:tr>
      <w:tr w:rsidR="001D58B9" w:rsidRPr="001D58B9" w14:paraId="4C31429A" w14:textId="77777777" w:rsidTr="001D58B9">
        <w:trPr>
          <w:trHeight w:val="315"/>
        </w:trPr>
        <w:tc>
          <w:tcPr>
            <w:tcW w:w="2567" w:type="dxa"/>
            <w:tcBorders>
              <w:top w:val="nil"/>
              <w:left w:val="nil"/>
              <w:bottom w:val="nil"/>
              <w:right w:val="nil"/>
            </w:tcBorders>
            <w:shd w:val="clear" w:color="auto" w:fill="auto"/>
            <w:noWrap/>
            <w:vAlign w:val="center"/>
            <w:hideMark/>
          </w:tcPr>
          <w:p w14:paraId="1E815A07" w14:textId="77777777" w:rsidR="001D58B9" w:rsidRPr="001D58B9" w:rsidRDefault="001D58B9" w:rsidP="001D58B9">
            <w:pPr>
              <w:rPr>
                <w:rFonts w:ascii="Tahoma" w:hAnsi="Tahoma" w:cs="Tahoma"/>
                <w:color w:val="000000"/>
                <w:sz w:val="19"/>
                <w:szCs w:val="19"/>
              </w:rPr>
            </w:pPr>
            <w:r w:rsidRPr="001D58B9">
              <w:rPr>
                <w:rFonts w:ascii="Tahoma" w:hAnsi="Tahoma" w:cs="Tahoma"/>
                <w:color w:val="000000"/>
                <w:sz w:val="19"/>
                <w:szCs w:val="19"/>
              </w:rPr>
              <w:t>Média I</w:t>
            </w:r>
          </w:p>
        </w:tc>
        <w:tc>
          <w:tcPr>
            <w:tcW w:w="1559" w:type="dxa"/>
            <w:tcBorders>
              <w:top w:val="nil"/>
              <w:left w:val="nil"/>
              <w:bottom w:val="nil"/>
              <w:right w:val="nil"/>
            </w:tcBorders>
            <w:shd w:val="clear" w:color="auto" w:fill="auto"/>
            <w:noWrap/>
            <w:vAlign w:val="center"/>
            <w:hideMark/>
          </w:tcPr>
          <w:p w14:paraId="63677C6F" w14:textId="77777777" w:rsidR="001D58B9" w:rsidRPr="001D58B9" w:rsidRDefault="001D58B9" w:rsidP="001D58B9">
            <w:pPr>
              <w:jc w:val="center"/>
              <w:rPr>
                <w:rFonts w:ascii="Tahoma" w:hAnsi="Tahoma" w:cs="Tahoma"/>
                <w:color w:val="000000"/>
                <w:sz w:val="19"/>
                <w:szCs w:val="19"/>
              </w:rPr>
            </w:pPr>
            <w:r w:rsidRPr="001D58B9">
              <w:rPr>
                <w:rFonts w:ascii="Tahoma" w:hAnsi="Tahoma" w:cs="Tahoma"/>
                <w:color w:val="000000"/>
                <w:sz w:val="19"/>
                <w:szCs w:val="19"/>
              </w:rPr>
              <w:t>179</w:t>
            </w:r>
          </w:p>
        </w:tc>
        <w:tc>
          <w:tcPr>
            <w:tcW w:w="3402" w:type="dxa"/>
            <w:tcBorders>
              <w:top w:val="nil"/>
              <w:left w:val="nil"/>
              <w:bottom w:val="nil"/>
              <w:right w:val="nil"/>
            </w:tcBorders>
            <w:shd w:val="clear" w:color="auto" w:fill="auto"/>
            <w:noWrap/>
            <w:vAlign w:val="center"/>
            <w:hideMark/>
          </w:tcPr>
          <w:p w14:paraId="141D8984" w14:textId="24A29154" w:rsidR="001D58B9" w:rsidRPr="001D58B9" w:rsidRDefault="001D58B9" w:rsidP="001D58B9">
            <w:pPr>
              <w:jc w:val="right"/>
              <w:rPr>
                <w:rFonts w:ascii="Tahoma" w:hAnsi="Tahoma" w:cs="Tahoma"/>
                <w:color w:val="000000"/>
                <w:sz w:val="19"/>
                <w:szCs w:val="19"/>
              </w:rPr>
            </w:pPr>
            <w:r w:rsidRPr="001D58B9">
              <w:rPr>
                <w:rFonts w:ascii="Tahoma" w:hAnsi="Tahoma" w:cs="Tahoma"/>
                <w:color w:val="000000"/>
                <w:sz w:val="19"/>
                <w:szCs w:val="19"/>
              </w:rPr>
              <w:t>555.881.833,14</w:t>
            </w:r>
          </w:p>
        </w:tc>
      </w:tr>
      <w:tr w:rsidR="001D58B9" w:rsidRPr="001D58B9" w14:paraId="7A6E9033" w14:textId="77777777" w:rsidTr="001D58B9">
        <w:trPr>
          <w:trHeight w:val="315"/>
        </w:trPr>
        <w:tc>
          <w:tcPr>
            <w:tcW w:w="2567" w:type="dxa"/>
            <w:tcBorders>
              <w:top w:val="nil"/>
              <w:left w:val="nil"/>
              <w:bottom w:val="nil"/>
              <w:right w:val="nil"/>
            </w:tcBorders>
            <w:shd w:val="clear" w:color="auto" w:fill="auto"/>
            <w:noWrap/>
            <w:vAlign w:val="center"/>
            <w:hideMark/>
          </w:tcPr>
          <w:p w14:paraId="18D4E9E3" w14:textId="77777777" w:rsidR="001D58B9" w:rsidRPr="001D58B9" w:rsidRDefault="001D58B9" w:rsidP="001D58B9">
            <w:pPr>
              <w:rPr>
                <w:rFonts w:ascii="Tahoma" w:hAnsi="Tahoma" w:cs="Tahoma"/>
                <w:color w:val="000000"/>
                <w:sz w:val="19"/>
                <w:szCs w:val="19"/>
              </w:rPr>
            </w:pPr>
            <w:r w:rsidRPr="001D58B9">
              <w:rPr>
                <w:rFonts w:ascii="Tahoma" w:hAnsi="Tahoma" w:cs="Tahoma"/>
                <w:color w:val="000000"/>
                <w:sz w:val="19"/>
                <w:szCs w:val="19"/>
              </w:rPr>
              <w:t>Média II</w:t>
            </w:r>
          </w:p>
        </w:tc>
        <w:tc>
          <w:tcPr>
            <w:tcW w:w="1559" w:type="dxa"/>
            <w:tcBorders>
              <w:top w:val="nil"/>
              <w:left w:val="nil"/>
              <w:bottom w:val="nil"/>
              <w:right w:val="nil"/>
            </w:tcBorders>
            <w:shd w:val="clear" w:color="auto" w:fill="auto"/>
            <w:noWrap/>
            <w:vAlign w:val="center"/>
            <w:hideMark/>
          </w:tcPr>
          <w:p w14:paraId="3B1D5812" w14:textId="77777777" w:rsidR="001D58B9" w:rsidRPr="001D58B9" w:rsidRDefault="001D58B9" w:rsidP="001D58B9">
            <w:pPr>
              <w:jc w:val="center"/>
              <w:rPr>
                <w:rFonts w:ascii="Tahoma" w:hAnsi="Tahoma" w:cs="Tahoma"/>
                <w:color w:val="000000"/>
                <w:sz w:val="19"/>
                <w:szCs w:val="19"/>
              </w:rPr>
            </w:pPr>
            <w:r w:rsidRPr="001D58B9">
              <w:rPr>
                <w:rFonts w:ascii="Tahoma" w:hAnsi="Tahoma" w:cs="Tahoma"/>
                <w:color w:val="000000"/>
                <w:sz w:val="19"/>
                <w:szCs w:val="19"/>
              </w:rPr>
              <w:t>80</w:t>
            </w:r>
          </w:p>
        </w:tc>
        <w:tc>
          <w:tcPr>
            <w:tcW w:w="3402" w:type="dxa"/>
            <w:tcBorders>
              <w:top w:val="nil"/>
              <w:left w:val="nil"/>
              <w:bottom w:val="nil"/>
              <w:right w:val="nil"/>
            </w:tcBorders>
            <w:shd w:val="clear" w:color="auto" w:fill="auto"/>
            <w:noWrap/>
            <w:vAlign w:val="center"/>
            <w:hideMark/>
          </w:tcPr>
          <w:p w14:paraId="6FC883A0" w14:textId="6B07D362" w:rsidR="001D58B9" w:rsidRPr="001D58B9" w:rsidRDefault="001D58B9" w:rsidP="001D58B9">
            <w:pPr>
              <w:jc w:val="right"/>
              <w:rPr>
                <w:rFonts w:ascii="Tahoma" w:hAnsi="Tahoma" w:cs="Tahoma"/>
                <w:color w:val="000000"/>
                <w:sz w:val="19"/>
                <w:szCs w:val="19"/>
              </w:rPr>
            </w:pPr>
            <w:r w:rsidRPr="001D58B9">
              <w:rPr>
                <w:rFonts w:ascii="Tahoma" w:hAnsi="Tahoma" w:cs="Tahoma"/>
                <w:color w:val="000000"/>
                <w:sz w:val="19"/>
                <w:szCs w:val="19"/>
              </w:rPr>
              <w:t>441.978.451,14</w:t>
            </w:r>
          </w:p>
        </w:tc>
      </w:tr>
      <w:tr w:rsidR="001D58B9" w:rsidRPr="001D58B9" w14:paraId="506E6B80" w14:textId="77777777" w:rsidTr="001D58B9">
        <w:trPr>
          <w:trHeight w:val="397"/>
        </w:trPr>
        <w:tc>
          <w:tcPr>
            <w:tcW w:w="2567" w:type="dxa"/>
            <w:tcBorders>
              <w:top w:val="single" w:sz="4" w:space="0" w:color="8EA9DB"/>
              <w:left w:val="nil"/>
              <w:bottom w:val="nil"/>
              <w:right w:val="nil"/>
            </w:tcBorders>
            <w:shd w:val="clear" w:color="auto" w:fill="0098BA"/>
            <w:noWrap/>
            <w:vAlign w:val="center"/>
            <w:hideMark/>
          </w:tcPr>
          <w:p w14:paraId="7E9EF720" w14:textId="598DD505" w:rsidR="001D58B9" w:rsidRPr="001D58B9" w:rsidRDefault="001D58B9" w:rsidP="001D58B9">
            <w:pPr>
              <w:rPr>
                <w:rFonts w:ascii="Tahoma" w:hAnsi="Tahoma" w:cs="Tahoma"/>
                <w:color w:val="FFFFFF" w:themeColor="background1"/>
                <w:sz w:val="19"/>
                <w:szCs w:val="19"/>
              </w:rPr>
            </w:pPr>
            <w:r w:rsidRPr="001D58B9">
              <w:rPr>
                <w:rFonts w:ascii="Tahoma" w:hAnsi="Tahoma" w:cs="Tahoma"/>
                <w:color w:val="FFFFFF" w:themeColor="background1"/>
                <w:sz w:val="19"/>
                <w:szCs w:val="19"/>
              </w:rPr>
              <w:t>Total</w:t>
            </w:r>
          </w:p>
        </w:tc>
        <w:tc>
          <w:tcPr>
            <w:tcW w:w="1559" w:type="dxa"/>
            <w:tcBorders>
              <w:top w:val="single" w:sz="4" w:space="0" w:color="8EA9DB"/>
              <w:left w:val="nil"/>
              <w:bottom w:val="nil"/>
              <w:right w:val="nil"/>
            </w:tcBorders>
            <w:shd w:val="clear" w:color="auto" w:fill="0098BA"/>
            <w:noWrap/>
            <w:vAlign w:val="center"/>
            <w:hideMark/>
          </w:tcPr>
          <w:p w14:paraId="337B778B" w14:textId="77777777" w:rsidR="001D58B9" w:rsidRPr="001D58B9" w:rsidRDefault="001D58B9" w:rsidP="001D58B9">
            <w:pPr>
              <w:jc w:val="center"/>
              <w:rPr>
                <w:rFonts w:ascii="Tahoma" w:hAnsi="Tahoma" w:cs="Tahoma"/>
                <w:color w:val="FFFFFF" w:themeColor="background1"/>
                <w:sz w:val="19"/>
                <w:szCs w:val="19"/>
              </w:rPr>
            </w:pPr>
            <w:r w:rsidRPr="001D58B9">
              <w:rPr>
                <w:rFonts w:ascii="Tahoma" w:hAnsi="Tahoma" w:cs="Tahoma"/>
                <w:color w:val="FFFFFF" w:themeColor="background1"/>
                <w:sz w:val="19"/>
                <w:szCs w:val="19"/>
              </w:rPr>
              <w:t>602</w:t>
            </w:r>
          </w:p>
        </w:tc>
        <w:tc>
          <w:tcPr>
            <w:tcW w:w="3402" w:type="dxa"/>
            <w:tcBorders>
              <w:top w:val="single" w:sz="4" w:space="0" w:color="8EA9DB"/>
              <w:left w:val="nil"/>
              <w:bottom w:val="nil"/>
              <w:right w:val="nil"/>
            </w:tcBorders>
            <w:shd w:val="clear" w:color="auto" w:fill="0098BA"/>
            <w:noWrap/>
            <w:vAlign w:val="center"/>
            <w:hideMark/>
          </w:tcPr>
          <w:p w14:paraId="22A5DF26" w14:textId="598BAE37" w:rsidR="001D58B9" w:rsidRPr="001D58B9" w:rsidRDefault="001D58B9" w:rsidP="001D58B9">
            <w:pPr>
              <w:jc w:val="right"/>
              <w:rPr>
                <w:rFonts w:ascii="Tahoma" w:hAnsi="Tahoma" w:cs="Tahoma"/>
                <w:color w:val="FFFFFF" w:themeColor="background1"/>
                <w:sz w:val="19"/>
                <w:szCs w:val="19"/>
              </w:rPr>
            </w:pPr>
            <w:r w:rsidRPr="001D58B9">
              <w:rPr>
                <w:rFonts w:ascii="Tahoma" w:hAnsi="Tahoma" w:cs="Tahoma"/>
                <w:color w:val="FFFFFF" w:themeColor="background1"/>
                <w:sz w:val="19"/>
                <w:szCs w:val="19"/>
              </w:rPr>
              <w:t>1.461.049.814,62</w:t>
            </w:r>
          </w:p>
        </w:tc>
      </w:tr>
    </w:tbl>
    <w:p w14:paraId="4CEB62AC" w14:textId="77777777" w:rsidR="001D58B9" w:rsidRDefault="001D58B9" w:rsidP="00E753EC">
      <w:pPr>
        <w:spacing w:before="120" w:after="120" w:line="360" w:lineRule="auto"/>
        <w:textAlignment w:val="baseline"/>
        <w:rPr>
          <w:rFonts w:ascii="Tahoma" w:hAnsi="Tahoma" w:cs="Tahoma"/>
          <w:sz w:val="19"/>
          <w:szCs w:val="19"/>
        </w:rPr>
      </w:pPr>
    </w:p>
    <w:p w14:paraId="2C3271CB" w14:textId="77777777" w:rsidR="00FD493F" w:rsidRPr="00851EC1" w:rsidRDefault="00FD493F" w:rsidP="00FD493F">
      <w:pPr>
        <w:spacing w:before="120" w:after="120" w:line="360" w:lineRule="auto"/>
        <w:rPr>
          <w:rFonts w:ascii="Tahoma" w:hAnsi="Tahoma" w:cs="Tahoma"/>
          <w:color w:val="0098BA"/>
          <w:sz w:val="19"/>
          <w:szCs w:val="19"/>
        </w:rPr>
      </w:pPr>
      <w:r w:rsidRPr="00851EC1">
        <w:rPr>
          <w:rFonts w:ascii="Tahoma" w:hAnsi="Tahoma" w:cs="Tahoma"/>
          <w:color w:val="0098BA"/>
          <w:sz w:val="19"/>
          <w:szCs w:val="19"/>
        </w:rPr>
        <w:t>Resultados quantitativos</w:t>
      </w:r>
    </w:p>
    <w:p w14:paraId="248C5BDE" w14:textId="77777777" w:rsidR="00E45822" w:rsidRDefault="00911315" w:rsidP="00191E31">
      <w:pPr>
        <w:spacing w:before="120" w:after="120" w:line="360" w:lineRule="auto"/>
        <w:rPr>
          <w:rFonts w:ascii="Tahoma" w:hAnsi="Tahoma" w:cs="Tahoma"/>
          <w:sz w:val="19"/>
          <w:szCs w:val="19"/>
        </w:rPr>
      </w:pPr>
      <w:r>
        <w:rPr>
          <w:rFonts w:ascii="Tahoma" w:hAnsi="Tahoma" w:cs="Tahoma"/>
          <w:sz w:val="19"/>
          <w:szCs w:val="19"/>
        </w:rPr>
        <w:t>No caso do c</w:t>
      </w:r>
      <w:r w:rsidR="00FD493F">
        <w:rPr>
          <w:rFonts w:ascii="Tahoma" w:hAnsi="Tahoma" w:cs="Tahoma"/>
          <w:sz w:val="19"/>
          <w:szCs w:val="19"/>
        </w:rPr>
        <w:t xml:space="preserve">rescimento das operações reembolsáveis, por meio do crédito operado </w:t>
      </w:r>
      <w:r>
        <w:rPr>
          <w:rFonts w:ascii="Tahoma" w:hAnsi="Tahoma" w:cs="Tahoma"/>
          <w:sz w:val="19"/>
          <w:szCs w:val="19"/>
        </w:rPr>
        <w:t xml:space="preserve">de forma </w:t>
      </w:r>
      <w:r w:rsidR="00FD493F">
        <w:rPr>
          <w:rFonts w:ascii="Tahoma" w:hAnsi="Tahoma" w:cs="Tahoma"/>
          <w:sz w:val="19"/>
          <w:szCs w:val="19"/>
        </w:rPr>
        <w:t>direta</w:t>
      </w:r>
      <w:r>
        <w:rPr>
          <w:rFonts w:ascii="Tahoma" w:hAnsi="Tahoma" w:cs="Tahoma"/>
          <w:sz w:val="19"/>
          <w:szCs w:val="19"/>
        </w:rPr>
        <w:t xml:space="preserve"> registramos </w:t>
      </w:r>
      <w:r w:rsidR="00E45822">
        <w:rPr>
          <w:rFonts w:ascii="Tahoma" w:hAnsi="Tahoma" w:cs="Tahoma"/>
          <w:sz w:val="19"/>
          <w:szCs w:val="19"/>
        </w:rPr>
        <w:t>que a manutenção do esforço pela eficiência dos processos de trabalho e a experiência acumulada nos analistas, permitiu diminuir o tempo para a contratação dos projetos de crédito direto.</w:t>
      </w:r>
    </w:p>
    <w:p w14:paraId="056FB75C" w14:textId="5346E46D" w:rsidR="00E45822" w:rsidRDefault="00E45822" w:rsidP="00191E31">
      <w:pPr>
        <w:spacing w:before="120" w:after="120" w:line="360" w:lineRule="auto"/>
        <w:rPr>
          <w:rFonts w:ascii="Tahoma" w:hAnsi="Tahoma" w:cs="Tahoma"/>
          <w:sz w:val="19"/>
          <w:szCs w:val="19"/>
        </w:rPr>
      </w:pPr>
      <w:r>
        <w:rPr>
          <w:rFonts w:ascii="Tahoma" w:hAnsi="Tahoma" w:cs="Tahoma"/>
          <w:sz w:val="19"/>
          <w:szCs w:val="19"/>
        </w:rPr>
        <w:t>Além disso, a disponibilidade de mais recursos do FNDCT em 2023 teve efeito significativo na contratação de novos projetos e na liberação de recursos ao longo do ano.</w:t>
      </w:r>
    </w:p>
    <w:p w14:paraId="21944FFF" w14:textId="2F4A30FA" w:rsidR="00E45822" w:rsidRDefault="00357C23" w:rsidP="00191E31">
      <w:pPr>
        <w:spacing w:before="120" w:after="120" w:line="360" w:lineRule="auto"/>
        <w:rPr>
          <w:rFonts w:ascii="Tahoma" w:hAnsi="Tahoma" w:cs="Tahoma"/>
          <w:sz w:val="19"/>
          <w:szCs w:val="19"/>
        </w:rPr>
      </w:pPr>
      <w:r>
        <w:rPr>
          <w:rFonts w:ascii="Tahoma" w:hAnsi="Tahoma" w:cs="Tahoma"/>
          <w:sz w:val="19"/>
          <w:szCs w:val="19"/>
        </w:rPr>
        <w:t xml:space="preserve">Em 2023, </w:t>
      </w:r>
      <w:r w:rsidR="00191E31">
        <w:rPr>
          <w:rFonts w:ascii="Tahoma" w:hAnsi="Tahoma" w:cs="Tahoma"/>
          <w:sz w:val="19"/>
          <w:szCs w:val="19"/>
        </w:rPr>
        <w:t xml:space="preserve">do conjunto de agentes financeiros credenciados, sete tiveram novos limites de crédito emitidos e três tiveram os prazos de suas cartas de crédito prorrogados. </w:t>
      </w:r>
    </w:p>
    <w:p w14:paraId="72E12120" w14:textId="66A97A7C" w:rsidR="005C2B94" w:rsidRDefault="005C2B94" w:rsidP="005C2B94">
      <w:pPr>
        <w:pStyle w:val="Default"/>
        <w:spacing w:before="120" w:after="120" w:line="360" w:lineRule="auto"/>
        <w:rPr>
          <w:rFonts w:ascii="Tahoma" w:hAnsi="Tahoma" w:cs="Tahoma"/>
          <w:sz w:val="19"/>
          <w:szCs w:val="19"/>
        </w:rPr>
      </w:pPr>
      <w:r>
        <w:rPr>
          <w:rFonts w:ascii="Tahoma" w:hAnsi="Tahoma" w:cs="Tahoma"/>
          <w:sz w:val="19"/>
          <w:szCs w:val="19"/>
        </w:rPr>
        <w:lastRenderedPageBreak/>
        <w:t>Em 2023, batemos o recorde de 2022, alcançando mais uma vez o maior número de projetos contratados e o maior valor financiado e liberado desde o início da operação do crédito descentralizado, em 2013.</w:t>
      </w:r>
    </w:p>
    <w:p w14:paraId="4B54832C" w14:textId="77777777" w:rsidR="00357C23" w:rsidRDefault="00357C23">
      <w:pPr>
        <w:ind w:right="621"/>
        <w:jc w:val="right"/>
        <w:rPr>
          <w:rFonts w:ascii="Tahoma" w:hAnsi="Tahoma" w:cs="Tahoma"/>
          <w:sz w:val="19"/>
          <w:szCs w:val="19"/>
        </w:rPr>
      </w:pPr>
    </w:p>
    <w:p w14:paraId="7C0F8F36" w14:textId="11C19A98" w:rsidR="000D6D0A" w:rsidRDefault="00BB0E07">
      <w:pPr>
        <w:ind w:right="621"/>
        <w:jc w:val="right"/>
      </w:pPr>
      <w:r>
        <w:rPr>
          <w:rFonts w:ascii="Tahoma" w:hAnsi="Tahoma" w:cs="Tahoma"/>
          <w:bCs/>
          <w:color w:val="000000"/>
          <w:sz w:val="18"/>
          <w:szCs w:val="18"/>
        </w:rPr>
        <w:t>Posição em 31/12/202</w:t>
      </w:r>
      <w:r w:rsidR="000804ED">
        <w:rPr>
          <w:rFonts w:ascii="Tahoma" w:hAnsi="Tahoma" w:cs="Tahoma"/>
          <w:bCs/>
          <w:color w:val="000000"/>
          <w:sz w:val="18"/>
          <w:szCs w:val="18"/>
        </w:rPr>
        <w:t>3</w:t>
      </w:r>
    </w:p>
    <w:tbl>
      <w:tblPr>
        <w:tblW w:w="8647" w:type="dxa"/>
        <w:tblCellMar>
          <w:left w:w="10" w:type="dxa"/>
          <w:right w:w="10" w:type="dxa"/>
        </w:tblCellMar>
        <w:tblLook w:val="04A0" w:firstRow="1" w:lastRow="0" w:firstColumn="1" w:lastColumn="0" w:noHBand="0" w:noVBand="1"/>
      </w:tblPr>
      <w:tblGrid>
        <w:gridCol w:w="2238"/>
        <w:gridCol w:w="1471"/>
        <w:gridCol w:w="1615"/>
        <w:gridCol w:w="1332"/>
        <w:gridCol w:w="1991"/>
      </w:tblGrid>
      <w:tr w:rsidR="000D6D0A" w:rsidRPr="0078342D" w14:paraId="367AC1EC" w14:textId="77777777" w:rsidTr="0078342D">
        <w:trPr>
          <w:trHeight w:val="315"/>
          <w:tblHeader/>
        </w:trPr>
        <w:tc>
          <w:tcPr>
            <w:tcW w:w="2238" w:type="dxa"/>
            <w:vMerge w:val="restart"/>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7BF5F935" w14:textId="77777777" w:rsidR="000D6D0A" w:rsidRPr="0078342D" w:rsidRDefault="00BB0E07">
            <w:pPr>
              <w:jc w:val="center"/>
              <w:rPr>
                <w:sz w:val="19"/>
                <w:szCs w:val="19"/>
              </w:rPr>
            </w:pPr>
            <w:r w:rsidRPr="0078342D">
              <w:rPr>
                <w:rFonts w:ascii="Tahoma" w:hAnsi="Tahoma" w:cs="Tahoma"/>
                <w:color w:val="FFFFFF"/>
                <w:sz w:val="19"/>
                <w:szCs w:val="19"/>
              </w:rPr>
              <w:t>Crédito direto</w:t>
            </w:r>
          </w:p>
        </w:tc>
        <w:tc>
          <w:tcPr>
            <w:tcW w:w="3086" w:type="dxa"/>
            <w:gridSpan w:val="2"/>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26666A5B" w14:textId="653907BA" w:rsidR="000D6D0A" w:rsidRPr="0078342D" w:rsidRDefault="00BB0E07">
            <w:pPr>
              <w:jc w:val="center"/>
              <w:rPr>
                <w:rFonts w:ascii="Tahoma" w:hAnsi="Tahoma" w:cs="Tahoma"/>
                <w:color w:val="FFFFFF"/>
                <w:sz w:val="19"/>
                <w:szCs w:val="19"/>
              </w:rPr>
            </w:pPr>
            <w:r w:rsidRPr="0078342D">
              <w:rPr>
                <w:rFonts w:ascii="Tahoma" w:hAnsi="Tahoma" w:cs="Tahoma"/>
                <w:color w:val="FFFFFF"/>
                <w:sz w:val="19"/>
                <w:szCs w:val="19"/>
              </w:rPr>
              <w:t>202</w:t>
            </w:r>
            <w:r w:rsidR="00E65F32" w:rsidRPr="0078342D">
              <w:rPr>
                <w:rFonts w:ascii="Tahoma" w:hAnsi="Tahoma" w:cs="Tahoma"/>
                <w:color w:val="FFFFFF"/>
                <w:sz w:val="19"/>
                <w:szCs w:val="19"/>
              </w:rPr>
              <w:t>2</w:t>
            </w:r>
          </w:p>
        </w:tc>
        <w:tc>
          <w:tcPr>
            <w:tcW w:w="3323" w:type="dxa"/>
            <w:gridSpan w:val="2"/>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420AE187" w14:textId="435EBCCB" w:rsidR="000D6D0A" w:rsidRPr="0078342D" w:rsidRDefault="00BB0E07">
            <w:pPr>
              <w:jc w:val="center"/>
              <w:rPr>
                <w:rFonts w:ascii="Tahoma" w:hAnsi="Tahoma" w:cs="Tahoma"/>
                <w:color w:val="FFFFFF"/>
                <w:sz w:val="19"/>
                <w:szCs w:val="19"/>
              </w:rPr>
            </w:pPr>
            <w:r w:rsidRPr="0078342D">
              <w:rPr>
                <w:rFonts w:ascii="Tahoma" w:hAnsi="Tahoma" w:cs="Tahoma"/>
                <w:color w:val="FFFFFF"/>
                <w:sz w:val="19"/>
                <w:szCs w:val="19"/>
              </w:rPr>
              <w:t>202</w:t>
            </w:r>
            <w:r w:rsidR="00E65F32" w:rsidRPr="0078342D">
              <w:rPr>
                <w:rFonts w:ascii="Tahoma" w:hAnsi="Tahoma" w:cs="Tahoma"/>
                <w:color w:val="FFFFFF"/>
                <w:sz w:val="19"/>
                <w:szCs w:val="19"/>
              </w:rPr>
              <w:t>3</w:t>
            </w:r>
          </w:p>
        </w:tc>
      </w:tr>
      <w:tr w:rsidR="000D6D0A" w:rsidRPr="0078342D" w14:paraId="027F466C" w14:textId="77777777" w:rsidTr="0078342D">
        <w:trPr>
          <w:trHeight w:val="525"/>
          <w:tblHeader/>
        </w:trPr>
        <w:tc>
          <w:tcPr>
            <w:tcW w:w="2238" w:type="dxa"/>
            <w:vMerge/>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1E6E5852" w14:textId="77777777" w:rsidR="000D6D0A" w:rsidRPr="0078342D" w:rsidRDefault="000D6D0A">
            <w:pPr>
              <w:rPr>
                <w:rFonts w:ascii="Tahoma" w:hAnsi="Tahoma" w:cs="Tahoma"/>
                <w:color w:val="FFFFFF"/>
                <w:sz w:val="19"/>
                <w:szCs w:val="19"/>
              </w:rPr>
            </w:pPr>
          </w:p>
        </w:tc>
        <w:tc>
          <w:tcPr>
            <w:tcW w:w="1471"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0A3F169D" w14:textId="77777777" w:rsidR="000D6D0A" w:rsidRPr="0078342D" w:rsidRDefault="00BB0E07">
            <w:pPr>
              <w:jc w:val="center"/>
              <w:rPr>
                <w:rFonts w:ascii="Tahoma" w:hAnsi="Tahoma" w:cs="Tahoma"/>
                <w:color w:val="FFFFFF"/>
                <w:sz w:val="19"/>
                <w:szCs w:val="19"/>
              </w:rPr>
            </w:pPr>
            <w:r w:rsidRPr="0078342D">
              <w:rPr>
                <w:rFonts w:ascii="Tahoma" w:hAnsi="Tahoma" w:cs="Tahoma"/>
                <w:color w:val="FFFFFF"/>
                <w:sz w:val="19"/>
                <w:szCs w:val="19"/>
              </w:rPr>
              <w:t>Nº de contratos</w:t>
            </w:r>
          </w:p>
        </w:tc>
        <w:tc>
          <w:tcPr>
            <w:tcW w:w="1615"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315329D4" w14:textId="77777777" w:rsidR="000D6D0A" w:rsidRPr="0078342D" w:rsidRDefault="00BB0E07">
            <w:pPr>
              <w:jc w:val="center"/>
              <w:rPr>
                <w:rFonts w:ascii="Tahoma" w:hAnsi="Tahoma" w:cs="Tahoma"/>
                <w:color w:val="FFFFFF"/>
                <w:sz w:val="19"/>
                <w:szCs w:val="19"/>
              </w:rPr>
            </w:pPr>
            <w:r w:rsidRPr="0078342D">
              <w:rPr>
                <w:rFonts w:ascii="Tahoma" w:hAnsi="Tahoma" w:cs="Tahoma"/>
                <w:color w:val="FFFFFF"/>
                <w:sz w:val="19"/>
                <w:szCs w:val="19"/>
              </w:rPr>
              <w:t>R$</w:t>
            </w:r>
          </w:p>
        </w:tc>
        <w:tc>
          <w:tcPr>
            <w:tcW w:w="1332"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5E78649C" w14:textId="77777777" w:rsidR="000D6D0A" w:rsidRPr="0078342D" w:rsidRDefault="00BB0E07">
            <w:pPr>
              <w:jc w:val="center"/>
              <w:rPr>
                <w:rFonts w:ascii="Tahoma" w:hAnsi="Tahoma" w:cs="Tahoma"/>
                <w:color w:val="FFFFFF"/>
                <w:sz w:val="19"/>
                <w:szCs w:val="19"/>
              </w:rPr>
            </w:pPr>
            <w:r w:rsidRPr="0078342D">
              <w:rPr>
                <w:rFonts w:ascii="Tahoma" w:hAnsi="Tahoma" w:cs="Tahoma"/>
                <w:color w:val="FFFFFF"/>
                <w:sz w:val="19"/>
                <w:szCs w:val="19"/>
              </w:rPr>
              <w:t>Nº de contratos</w:t>
            </w:r>
          </w:p>
        </w:tc>
        <w:tc>
          <w:tcPr>
            <w:tcW w:w="1991" w:type="dxa"/>
            <w:tcBorders>
              <w:bottom w:val="single" w:sz="8" w:space="0" w:color="A6A6A6"/>
            </w:tcBorders>
            <w:shd w:val="clear" w:color="auto" w:fill="0098BA"/>
            <w:tcMar>
              <w:top w:w="0" w:type="dxa"/>
              <w:left w:w="70" w:type="dxa"/>
              <w:bottom w:w="0" w:type="dxa"/>
              <w:right w:w="70" w:type="dxa"/>
            </w:tcMar>
            <w:vAlign w:val="center"/>
          </w:tcPr>
          <w:p w14:paraId="4BB89029" w14:textId="77777777" w:rsidR="000D6D0A" w:rsidRPr="0078342D" w:rsidRDefault="00BB0E07">
            <w:pPr>
              <w:jc w:val="center"/>
              <w:rPr>
                <w:rFonts w:ascii="Tahoma" w:hAnsi="Tahoma" w:cs="Tahoma"/>
                <w:color w:val="FFFFFF"/>
                <w:sz w:val="19"/>
                <w:szCs w:val="19"/>
              </w:rPr>
            </w:pPr>
            <w:r w:rsidRPr="0078342D">
              <w:rPr>
                <w:rFonts w:ascii="Tahoma" w:hAnsi="Tahoma" w:cs="Tahoma"/>
                <w:color w:val="FFFFFF"/>
                <w:sz w:val="19"/>
                <w:szCs w:val="19"/>
              </w:rPr>
              <w:t>R$</w:t>
            </w:r>
          </w:p>
        </w:tc>
      </w:tr>
      <w:tr w:rsidR="00E65F32" w:rsidRPr="0078342D" w14:paraId="286B55B6" w14:textId="77777777">
        <w:trPr>
          <w:trHeight w:val="323"/>
        </w:trPr>
        <w:tc>
          <w:tcPr>
            <w:tcW w:w="2238"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67BD4252" w14:textId="77777777" w:rsidR="00E65F32" w:rsidRPr="0078342D" w:rsidRDefault="00E65F32" w:rsidP="00E65F32">
            <w:pPr>
              <w:rPr>
                <w:rFonts w:ascii="Tahoma" w:hAnsi="Tahoma" w:cs="Tahoma"/>
                <w:sz w:val="19"/>
                <w:szCs w:val="19"/>
              </w:rPr>
            </w:pPr>
            <w:r w:rsidRPr="0078342D">
              <w:rPr>
                <w:rFonts w:ascii="Tahoma" w:hAnsi="Tahoma" w:cs="Tahoma"/>
                <w:sz w:val="19"/>
                <w:szCs w:val="19"/>
              </w:rPr>
              <w:t>Contratação</w:t>
            </w:r>
          </w:p>
        </w:tc>
        <w:tc>
          <w:tcPr>
            <w:tcW w:w="1471"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62A6409F" w14:textId="5798F1DF" w:rsidR="00E65F32" w:rsidRPr="0078342D" w:rsidRDefault="00E65F32" w:rsidP="00E65F32">
            <w:pPr>
              <w:jc w:val="center"/>
              <w:rPr>
                <w:rFonts w:ascii="Tahoma" w:hAnsi="Tahoma" w:cs="Tahoma"/>
                <w:sz w:val="19"/>
                <w:szCs w:val="19"/>
              </w:rPr>
            </w:pPr>
            <w:r w:rsidRPr="0078342D">
              <w:rPr>
                <w:rFonts w:ascii="Tahoma" w:hAnsi="Tahoma" w:cs="Tahoma"/>
                <w:sz w:val="19"/>
                <w:szCs w:val="19"/>
              </w:rPr>
              <w:t>64</w:t>
            </w:r>
          </w:p>
        </w:tc>
        <w:tc>
          <w:tcPr>
            <w:tcW w:w="1615"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1F09F5C5" w14:textId="5A837971" w:rsidR="00E65F32" w:rsidRPr="0078342D" w:rsidRDefault="00E65F32" w:rsidP="00E65F32">
            <w:pPr>
              <w:jc w:val="right"/>
              <w:rPr>
                <w:rFonts w:ascii="Tahoma" w:hAnsi="Tahoma" w:cs="Tahoma"/>
                <w:sz w:val="19"/>
                <w:szCs w:val="19"/>
              </w:rPr>
            </w:pPr>
            <w:r w:rsidRPr="0078342D">
              <w:rPr>
                <w:rFonts w:ascii="Tahoma" w:hAnsi="Tahoma" w:cs="Tahoma"/>
                <w:sz w:val="19"/>
                <w:szCs w:val="19"/>
              </w:rPr>
              <w:t>3.581.516.647,96</w:t>
            </w:r>
          </w:p>
        </w:tc>
        <w:tc>
          <w:tcPr>
            <w:tcW w:w="1332"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5C265085" w14:textId="32FC0E72" w:rsidR="00E65F32" w:rsidRPr="0078342D" w:rsidRDefault="00E65F32" w:rsidP="00E65F32">
            <w:pPr>
              <w:jc w:val="center"/>
              <w:rPr>
                <w:rFonts w:ascii="Tahoma" w:hAnsi="Tahoma" w:cs="Tahoma"/>
                <w:sz w:val="19"/>
                <w:szCs w:val="19"/>
              </w:rPr>
            </w:pPr>
            <w:r w:rsidRPr="0078342D">
              <w:rPr>
                <w:rFonts w:ascii="Tahoma" w:hAnsi="Tahoma" w:cs="Tahoma"/>
                <w:color w:val="000000"/>
                <w:sz w:val="19"/>
                <w:szCs w:val="19"/>
              </w:rPr>
              <w:t>92</w:t>
            </w:r>
          </w:p>
        </w:tc>
        <w:tc>
          <w:tcPr>
            <w:tcW w:w="1991" w:type="dxa"/>
            <w:tcBorders>
              <w:bottom w:val="single" w:sz="8" w:space="0" w:color="A6A6A6"/>
            </w:tcBorders>
            <w:shd w:val="clear" w:color="auto" w:fill="auto"/>
            <w:tcMar>
              <w:top w:w="0" w:type="dxa"/>
              <w:left w:w="70" w:type="dxa"/>
              <w:bottom w:w="0" w:type="dxa"/>
              <w:right w:w="70" w:type="dxa"/>
            </w:tcMar>
            <w:vAlign w:val="center"/>
          </w:tcPr>
          <w:p w14:paraId="44EBE2DF" w14:textId="33018A72" w:rsidR="00E65F32" w:rsidRPr="0078342D" w:rsidRDefault="00E65F32" w:rsidP="00E65F32">
            <w:pPr>
              <w:jc w:val="right"/>
              <w:rPr>
                <w:rFonts w:ascii="Tahoma" w:hAnsi="Tahoma" w:cs="Tahoma"/>
                <w:sz w:val="19"/>
                <w:szCs w:val="19"/>
              </w:rPr>
            </w:pPr>
            <w:r w:rsidRPr="0078342D">
              <w:rPr>
                <w:rFonts w:ascii="Tahoma" w:hAnsi="Tahoma" w:cs="Tahoma"/>
                <w:color w:val="000000"/>
                <w:sz w:val="19"/>
                <w:szCs w:val="19"/>
              </w:rPr>
              <w:t>6.124.840.079,25</w:t>
            </w:r>
          </w:p>
        </w:tc>
      </w:tr>
      <w:tr w:rsidR="00E65F32" w:rsidRPr="0078342D" w14:paraId="32BED8B1" w14:textId="77777777">
        <w:trPr>
          <w:trHeight w:val="398"/>
        </w:trPr>
        <w:tc>
          <w:tcPr>
            <w:tcW w:w="2238"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38C3F2A5" w14:textId="77777777" w:rsidR="00E65F32" w:rsidRPr="0078342D" w:rsidRDefault="00E65F32" w:rsidP="00E65F32">
            <w:pPr>
              <w:rPr>
                <w:rFonts w:ascii="Tahoma" w:hAnsi="Tahoma" w:cs="Tahoma"/>
                <w:sz w:val="19"/>
                <w:szCs w:val="19"/>
              </w:rPr>
            </w:pPr>
            <w:r w:rsidRPr="0078342D">
              <w:rPr>
                <w:rFonts w:ascii="Tahoma" w:hAnsi="Tahoma" w:cs="Tahoma"/>
                <w:sz w:val="19"/>
                <w:szCs w:val="19"/>
              </w:rPr>
              <w:t>Liberação</w:t>
            </w:r>
          </w:p>
        </w:tc>
        <w:tc>
          <w:tcPr>
            <w:tcW w:w="1471"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50408160" w14:textId="4B3C6E9C" w:rsidR="00E65F32" w:rsidRPr="0078342D" w:rsidRDefault="00E65F32" w:rsidP="00E65F32">
            <w:pPr>
              <w:jc w:val="center"/>
              <w:rPr>
                <w:rFonts w:ascii="Tahoma" w:hAnsi="Tahoma" w:cs="Tahoma"/>
                <w:sz w:val="19"/>
                <w:szCs w:val="19"/>
              </w:rPr>
            </w:pPr>
            <w:r w:rsidRPr="0078342D">
              <w:rPr>
                <w:rFonts w:ascii="Tahoma" w:hAnsi="Tahoma" w:cs="Tahoma"/>
                <w:sz w:val="19"/>
                <w:szCs w:val="19"/>
              </w:rPr>
              <w:t>112</w:t>
            </w:r>
          </w:p>
        </w:tc>
        <w:tc>
          <w:tcPr>
            <w:tcW w:w="1615"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55B02D1F" w14:textId="19689069" w:rsidR="00E65F32" w:rsidRPr="0078342D" w:rsidRDefault="00E65F32" w:rsidP="00E65F32">
            <w:pPr>
              <w:jc w:val="right"/>
              <w:rPr>
                <w:rFonts w:ascii="Tahoma" w:hAnsi="Tahoma" w:cs="Tahoma"/>
                <w:sz w:val="19"/>
                <w:szCs w:val="19"/>
              </w:rPr>
            </w:pPr>
            <w:r w:rsidRPr="0078342D">
              <w:rPr>
                <w:rFonts w:ascii="Tahoma" w:hAnsi="Tahoma" w:cs="Tahoma"/>
                <w:sz w:val="19"/>
                <w:szCs w:val="19"/>
              </w:rPr>
              <w:t>2.223.202.305,97</w:t>
            </w:r>
          </w:p>
        </w:tc>
        <w:tc>
          <w:tcPr>
            <w:tcW w:w="1332"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62BFD1A8" w14:textId="360C0046" w:rsidR="00E65F32" w:rsidRPr="0078342D" w:rsidRDefault="00E65F32" w:rsidP="00E65F32">
            <w:pPr>
              <w:jc w:val="center"/>
              <w:rPr>
                <w:rFonts w:ascii="Tahoma" w:hAnsi="Tahoma" w:cs="Tahoma"/>
                <w:sz w:val="19"/>
                <w:szCs w:val="19"/>
              </w:rPr>
            </w:pPr>
            <w:r w:rsidRPr="0078342D">
              <w:rPr>
                <w:rFonts w:ascii="Tahoma" w:hAnsi="Tahoma" w:cs="Tahoma"/>
                <w:color w:val="000000"/>
                <w:sz w:val="19"/>
                <w:szCs w:val="19"/>
              </w:rPr>
              <w:t>169</w:t>
            </w:r>
          </w:p>
        </w:tc>
        <w:tc>
          <w:tcPr>
            <w:tcW w:w="1991" w:type="dxa"/>
            <w:tcBorders>
              <w:bottom w:val="single" w:sz="8" w:space="0" w:color="A6A6A6"/>
            </w:tcBorders>
            <w:shd w:val="clear" w:color="auto" w:fill="auto"/>
            <w:tcMar>
              <w:top w:w="0" w:type="dxa"/>
              <w:left w:w="70" w:type="dxa"/>
              <w:bottom w:w="0" w:type="dxa"/>
              <w:right w:w="70" w:type="dxa"/>
            </w:tcMar>
            <w:vAlign w:val="center"/>
          </w:tcPr>
          <w:p w14:paraId="73DAFA3D" w14:textId="6DDF35FD" w:rsidR="00E65F32" w:rsidRPr="0078342D" w:rsidRDefault="00E65F32" w:rsidP="00E65F32">
            <w:pPr>
              <w:jc w:val="right"/>
              <w:rPr>
                <w:rFonts w:ascii="Tahoma" w:hAnsi="Tahoma" w:cs="Tahoma"/>
                <w:sz w:val="19"/>
                <w:szCs w:val="19"/>
              </w:rPr>
            </w:pPr>
            <w:r w:rsidRPr="0078342D">
              <w:rPr>
                <w:rFonts w:ascii="Tahoma" w:hAnsi="Tahoma" w:cs="Tahoma"/>
                <w:color w:val="000000"/>
                <w:sz w:val="19"/>
                <w:szCs w:val="19"/>
              </w:rPr>
              <w:t>4.250.530.504,10</w:t>
            </w:r>
          </w:p>
        </w:tc>
      </w:tr>
    </w:tbl>
    <w:p w14:paraId="5E8BD2BE" w14:textId="3DE5A8C5" w:rsidR="000D6D0A" w:rsidRDefault="00BB0E07">
      <w:pPr>
        <w:spacing w:after="120"/>
      </w:pPr>
      <w:r>
        <w:rPr>
          <w:rFonts w:ascii="Tahoma" w:hAnsi="Tahoma" w:cs="Tahoma"/>
          <w:b/>
          <w:bCs/>
          <w:color w:val="000000"/>
          <w:sz w:val="18"/>
          <w:szCs w:val="18"/>
        </w:rPr>
        <w:t>Dados obtidos em:</w:t>
      </w:r>
      <w:r>
        <w:rPr>
          <w:rFonts w:ascii="Tahoma" w:hAnsi="Tahoma" w:cs="Tahoma"/>
          <w:color w:val="000000"/>
          <w:sz w:val="18"/>
          <w:szCs w:val="18"/>
        </w:rPr>
        <w:t xml:space="preserve"> </w:t>
      </w:r>
      <w:r w:rsidR="000804ED">
        <w:rPr>
          <w:rFonts w:ascii="Tahoma" w:hAnsi="Tahoma" w:cs="Tahoma"/>
          <w:color w:val="000000"/>
          <w:sz w:val="18"/>
          <w:szCs w:val="18"/>
        </w:rPr>
        <w:t>fev</w:t>
      </w:r>
      <w:r>
        <w:rPr>
          <w:rFonts w:ascii="Tahoma" w:hAnsi="Tahoma" w:cs="Tahoma"/>
          <w:color w:val="000000"/>
          <w:sz w:val="18"/>
          <w:szCs w:val="18"/>
        </w:rPr>
        <w:t>/202</w:t>
      </w:r>
      <w:r w:rsidR="000804ED">
        <w:rPr>
          <w:rFonts w:ascii="Tahoma" w:hAnsi="Tahoma" w:cs="Tahoma"/>
          <w:color w:val="000000"/>
          <w:sz w:val="18"/>
          <w:szCs w:val="18"/>
        </w:rPr>
        <w:t>4</w:t>
      </w:r>
    </w:p>
    <w:p w14:paraId="3520B810" w14:textId="77777777" w:rsidR="000D6D0A" w:rsidRDefault="000D6D0A" w:rsidP="00B108FC">
      <w:pPr>
        <w:spacing w:before="120"/>
        <w:jc w:val="both"/>
        <w:rPr>
          <w:rFonts w:ascii="Tahoma" w:hAnsi="Tahoma" w:cs="Tahoma"/>
          <w:sz w:val="19"/>
          <w:szCs w:val="19"/>
        </w:rPr>
      </w:pPr>
    </w:p>
    <w:p w14:paraId="110A7500" w14:textId="3173A47D" w:rsidR="00911315" w:rsidRDefault="00911315" w:rsidP="00911315">
      <w:pPr>
        <w:ind w:right="621"/>
        <w:jc w:val="right"/>
        <w:rPr>
          <w:rFonts w:ascii="Tahoma" w:hAnsi="Tahoma" w:cs="Tahoma"/>
          <w:sz w:val="19"/>
          <w:szCs w:val="19"/>
        </w:rPr>
      </w:pPr>
      <w:r>
        <w:rPr>
          <w:rFonts w:ascii="Tahoma" w:hAnsi="Tahoma" w:cs="Tahoma"/>
          <w:bCs/>
          <w:color w:val="000000"/>
          <w:sz w:val="18"/>
          <w:szCs w:val="18"/>
        </w:rPr>
        <w:t>Posição em 31/12/2023</w:t>
      </w:r>
    </w:p>
    <w:tbl>
      <w:tblPr>
        <w:tblW w:w="8647" w:type="dxa"/>
        <w:tblCellMar>
          <w:left w:w="10" w:type="dxa"/>
          <w:right w:w="10" w:type="dxa"/>
        </w:tblCellMar>
        <w:tblLook w:val="04A0" w:firstRow="1" w:lastRow="0" w:firstColumn="1" w:lastColumn="0" w:noHBand="0" w:noVBand="1"/>
      </w:tblPr>
      <w:tblGrid>
        <w:gridCol w:w="2229"/>
        <w:gridCol w:w="1464"/>
        <w:gridCol w:w="1640"/>
        <w:gridCol w:w="1327"/>
        <w:gridCol w:w="1987"/>
      </w:tblGrid>
      <w:tr w:rsidR="00C561FC" w14:paraId="02FBD308" w14:textId="77777777" w:rsidTr="0078342D">
        <w:trPr>
          <w:trHeight w:val="315"/>
          <w:tblHeader/>
        </w:trPr>
        <w:tc>
          <w:tcPr>
            <w:tcW w:w="2229" w:type="dxa"/>
            <w:vMerge w:val="restart"/>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726B5836" w14:textId="608E9FC8" w:rsidR="00C561FC" w:rsidRDefault="00C561FC" w:rsidP="00097EE2">
            <w:pPr>
              <w:jc w:val="center"/>
            </w:pPr>
            <w:r>
              <w:rPr>
                <w:rFonts w:ascii="Tahoma" w:hAnsi="Tahoma" w:cs="Tahoma"/>
                <w:color w:val="FFFFFF"/>
                <w:sz w:val="19"/>
                <w:szCs w:val="19"/>
              </w:rPr>
              <w:t>Crédito descentralizado</w:t>
            </w:r>
          </w:p>
        </w:tc>
        <w:tc>
          <w:tcPr>
            <w:tcW w:w="3104" w:type="dxa"/>
            <w:gridSpan w:val="2"/>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1B24167E" w14:textId="77777777" w:rsidR="00C561FC" w:rsidRDefault="00C561FC" w:rsidP="00097EE2">
            <w:pPr>
              <w:jc w:val="center"/>
              <w:rPr>
                <w:rFonts w:ascii="Tahoma" w:hAnsi="Tahoma" w:cs="Tahoma"/>
                <w:color w:val="FFFFFF"/>
                <w:sz w:val="19"/>
                <w:szCs w:val="19"/>
              </w:rPr>
            </w:pPr>
            <w:r>
              <w:rPr>
                <w:rFonts w:ascii="Tahoma" w:hAnsi="Tahoma" w:cs="Tahoma"/>
                <w:color w:val="FFFFFF"/>
                <w:sz w:val="19"/>
                <w:szCs w:val="19"/>
              </w:rPr>
              <w:t>2022</w:t>
            </w:r>
          </w:p>
        </w:tc>
        <w:tc>
          <w:tcPr>
            <w:tcW w:w="3314" w:type="dxa"/>
            <w:gridSpan w:val="2"/>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527F9173" w14:textId="77777777" w:rsidR="00C561FC" w:rsidRDefault="00C561FC" w:rsidP="00097EE2">
            <w:pPr>
              <w:jc w:val="center"/>
              <w:rPr>
                <w:rFonts w:ascii="Tahoma" w:hAnsi="Tahoma" w:cs="Tahoma"/>
                <w:color w:val="FFFFFF"/>
                <w:sz w:val="19"/>
                <w:szCs w:val="19"/>
              </w:rPr>
            </w:pPr>
            <w:r>
              <w:rPr>
                <w:rFonts w:ascii="Tahoma" w:hAnsi="Tahoma" w:cs="Tahoma"/>
                <w:color w:val="FFFFFF"/>
                <w:sz w:val="19"/>
                <w:szCs w:val="19"/>
              </w:rPr>
              <w:t>2023</w:t>
            </w:r>
          </w:p>
        </w:tc>
      </w:tr>
      <w:tr w:rsidR="00C561FC" w14:paraId="47E3F9C0" w14:textId="77777777" w:rsidTr="0078342D">
        <w:trPr>
          <w:trHeight w:val="525"/>
          <w:tblHeader/>
        </w:trPr>
        <w:tc>
          <w:tcPr>
            <w:tcW w:w="2229" w:type="dxa"/>
            <w:vMerge/>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11DB7CC0" w14:textId="77777777" w:rsidR="00C561FC" w:rsidRDefault="00C561FC" w:rsidP="00097EE2">
            <w:pPr>
              <w:rPr>
                <w:rFonts w:ascii="Tahoma" w:hAnsi="Tahoma" w:cs="Tahoma"/>
                <w:color w:val="FFFFFF"/>
                <w:sz w:val="19"/>
                <w:szCs w:val="19"/>
              </w:rPr>
            </w:pPr>
          </w:p>
        </w:tc>
        <w:tc>
          <w:tcPr>
            <w:tcW w:w="1464"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2C4D96FD" w14:textId="77777777" w:rsidR="00C561FC" w:rsidRDefault="00C561FC" w:rsidP="00097EE2">
            <w:pPr>
              <w:jc w:val="center"/>
              <w:rPr>
                <w:rFonts w:ascii="Tahoma" w:hAnsi="Tahoma" w:cs="Tahoma"/>
                <w:color w:val="FFFFFF"/>
                <w:sz w:val="19"/>
                <w:szCs w:val="19"/>
              </w:rPr>
            </w:pPr>
            <w:r>
              <w:rPr>
                <w:rFonts w:ascii="Tahoma" w:hAnsi="Tahoma" w:cs="Tahoma"/>
                <w:color w:val="FFFFFF"/>
                <w:sz w:val="19"/>
                <w:szCs w:val="19"/>
              </w:rPr>
              <w:t>Nº de contratos</w:t>
            </w:r>
          </w:p>
        </w:tc>
        <w:tc>
          <w:tcPr>
            <w:tcW w:w="1640"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37A62C19" w14:textId="77777777" w:rsidR="00C561FC" w:rsidRDefault="00C561FC" w:rsidP="00097EE2">
            <w:pPr>
              <w:jc w:val="center"/>
              <w:rPr>
                <w:rFonts w:ascii="Tahoma" w:hAnsi="Tahoma" w:cs="Tahoma"/>
                <w:color w:val="FFFFFF"/>
                <w:sz w:val="19"/>
                <w:szCs w:val="19"/>
              </w:rPr>
            </w:pPr>
            <w:r>
              <w:rPr>
                <w:rFonts w:ascii="Tahoma" w:hAnsi="Tahoma" w:cs="Tahoma"/>
                <w:color w:val="FFFFFF"/>
                <w:sz w:val="19"/>
                <w:szCs w:val="19"/>
              </w:rPr>
              <w:t>R$</w:t>
            </w:r>
          </w:p>
        </w:tc>
        <w:tc>
          <w:tcPr>
            <w:tcW w:w="1327"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7CF679CB" w14:textId="77777777" w:rsidR="00C561FC" w:rsidRDefault="00C561FC" w:rsidP="00097EE2">
            <w:pPr>
              <w:jc w:val="center"/>
              <w:rPr>
                <w:rFonts w:ascii="Tahoma" w:hAnsi="Tahoma" w:cs="Tahoma"/>
                <w:color w:val="FFFFFF"/>
                <w:sz w:val="19"/>
                <w:szCs w:val="19"/>
              </w:rPr>
            </w:pPr>
            <w:r>
              <w:rPr>
                <w:rFonts w:ascii="Tahoma" w:hAnsi="Tahoma" w:cs="Tahoma"/>
                <w:color w:val="FFFFFF"/>
                <w:sz w:val="19"/>
                <w:szCs w:val="19"/>
              </w:rPr>
              <w:t>Nº de contratos</w:t>
            </w:r>
          </w:p>
        </w:tc>
        <w:tc>
          <w:tcPr>
            <w:tcW w:w="1987" w:type="dxa"/>
            <w:tcBorders>
              <w:bottom w:val="single" w:sz="8" w:space="0" w:color="A6A6A6"/>
            </w:tcBorders>
            <w:shd w:val="clear" w:color="auto" w:fill="0098BA"/>
            <w:tcMar>
              <w:top w:w="0" w:type="dxa"/>
              <w:left w:w="70" w:type="dxa"/>
              <w:bottom w:w="0" w:type="dxa"/>
              <w:right w:w="70" w:type="dxa"/>
            </w:tcMar>
            <w:vAlign w:val="center"/>
          </w:tcPr>
          <w:p w14:paraId="16AB623A" w14:textId="77777777" w:rsidR="00C561FC" w:rsidRDefault="00C561FC" w:rsidP="00097EE2">
            <w:pPr>
              <w:jc w:val="center"/>
              <w:rPr>
                <w:rFonts w:ascii="Tahoma" w:hAnsi="Tahoma" w:cs="Tahoma"/>
                <w:color w:val="FFFFFF"/>
                <w:sz w:val="19"/>
                <w:szCs w:val="19"/>
              </w:rPr>
            </w:pPr>
            <w:r>
              <w:rPr>
                <w:rFonts w:ascii="Tahoma" w:hAnsi="Tahoma" w:cs="Tahoma"/>
                <w:color w:val="FFFFFF"/>
                <w:sz w:val="19"/>
                <w:szCs w:val="19"/>
              </w:rPr>
              <w:t>R$</w:t>
            </w:r>
          </w:p>
        </w:tc>
      </w:tr>
      <w:tr w:rsidR="00911315" w:rsidRPr="0078342D" w14:paraId="79749A07" w14:textId="77777777" w:rsidTr="00911315">
        <w:trPr>
          <w:trHeight w:val="323"/>
        </w:trPr>
        <w:tc>
          <w:tcPr>
            <w:tcW w:w="2229"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0FF11AD0" w14:textId="77777777" w:rsidR="00911315" w:rsidRPr="0078342D" w:rsidRDefault="00911315" w:rsidP="00911315">
            <w:pPr>
              <w:rPr>
                <w:rFonts w:ascii="Tahoma" w:hAnsi="Tahoma" w:cs="Tahoma"/>
                <w:sz w:val="19"/>
                <w:szCs w:val="19"/>
              </w:rPr>
            </w:pPr>
            <w:r w:rsidRPr="0078342D">
              <w:rPr>
                <w:rFonts w:ascii="Tahoma" w:hAnsi="Tahoma" w:cs="Tahoma"/>
                <w:sz w:val="19"/>
                <w:szCs w:val="19"/>
              </w:rPr>
              <w:t>Contratação</w:t>
            </w:r>
          </w:p>
        </w:tc>
        <w:tc>
          <w:tcPr>
            <w:tcW w:w="1464"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2F9E4BCB" w14:textId="40C90844" w:rsidR="00911315" w:rsidRPr="0078342D" w:rsidRDefault="00911315" w:rsidP="00911315">
            <w:pPr>
              <w:jc w:val="center"/>
              <w:rPr>
                <w:rFonts w:ascii="Tahoma" w:hAnsi="Tahoma" w:cs="Tahoma"/>
                <w:color w:val="000000"/>
                <w:sz w:val="19"/>
                <w:szCs w:val="19"/>
              </w:rPr>
            </w:pPr>
            <w:r w:rsidRPr="0078342D">
              <w:rPr>
                <w:rFonts w:ascii="Tahoma" w:hAnsi="Tahoma" w:cs="Tahoma"/>
                <w:color w:val="000000"/>
                <w:sz w:val="19"/>
                <w:szCs w:val="19"/>
              </w:rPr>
              <w:t>163</w:t>
            </w:r>
          </w:p>
        </w:tc>
        <w:tc>
          <w:tcPr>
            <w:tcW w:w="1640"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66CE875B" w14:textId="1C2F18FE" w:rsidR="00911315" w:rsidRPr="0078342D" w:rsidRDefault="00911315" w:rsidP="00911315">
            <w:pPr>
              <w:jc w:val="right"/>
              <w:rPr>
                <w:rFonts w:ascii="Tahoma" w:hAnsi="Tahoma" w:cs="Tahoma"/>
                <w:color w:val="000000"/>
                <w:sz w:val="19"/>
                <w:szCs w:val="19"/>
              </w:rPr>
            </w:pPr>
            <w:r w:rsidRPr="0078342D">
              <w:rPr>
                <w:rFonts w:ascii="Tahoma" w:hAnsi="Tahoma" w:cs="Tahoma"/>
                <w:color w:val="000000"/>
                <w:sz w:val="19"/>
                <w:szCs w:val="19"/>
              </w:rPr>
              <w:t>330.167.120,20</w:t>
            </w:r>
          </w:p>
        </w:tc>
        <w:tc>
          <w:tcPr>
            <w:tcW w:w="1327"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1C2B9B62" w14:textId="04ADE8D3" w:rsidR="00911315" w:rsidRPr="0078342D" w:rsidRDefault="00911315" w:rsidP="00911315">
            <w:pPr>
              <w:jc w:val="center"/>
              <w:rPr>
                <w:rFonts w:ascii="Tahoma" w:hAnsi="Tahoma" w:cs="Tahoma"/>
                <w:color w:val="000000"/>
                <w:sz w:val="19"/>
                <w:szCs w:val="19"/>
              </w:rPr>
            </w:pPr>
            <w:r w:rsidRPr="0078342D">
              <w:rPr>
                <w:rFonts w:ascii="Tahoma" w:hAnsi="Tahoma" w:cs="Tahoma"/>
                <w:color w:val="000000"/>
                <w:sz w:val="19"/>
                <w:szCs w:val="19"/>
              </w:rPr>
              <w:t>602</w:t>
            </w:r>
          </w:p>
        </w:tc>
        <w:tc>
          <w:tcPr>
            <w:tcW w:w="1987" w:type="dxa"/>
            <w:tcBorders>
              <w:bottom w:val="single" w:sz="8" w:space="0" w:color="A6A6A6"/>
            </w:tcBorders>
            <w:shd w:val="clear" w:color="auto" w:fill="auto"/>
            <w:tcMar>
              <w:top w:w="0" w:type="dxa"/>
              <w:left w:w="70" w:type="dxa"/>
              <w:bottom w:w="0" w:type="dxa"/>
              <w:right w:w="70" w:type="dxa"/>
            </w:tcMar>
            <w:vAlign w:val="center"/>
          </w:tcPr>
          <w:p w14:paraId="4FF4B29A" w14:textId="7E1F7A74" w:rsidR="00911315" w:rsidRPr="0078342D" w:rsidRDefault="00911315" w:rsidP="00911315">
            <w:pPr>
              <w:jc w:val="right"/>
              <w:rPr>
                <w:rFonts w:ascii="Tahoma" w:hAnsi="Tahoma" w:cs="Tahoma"/>
                <w:color w:val="000000"/>
                <w:sz w:val="19"/>
                <w:szCs w:val="19"/>
              </w:rPr>
            </w:pPr>
            <w:r w:rsidRPr="0078342D">
              <w:rPr>
                <w:rFonts w:ascii="Tahoma" w:hAnsi="Tahoma" w:cs="Tahoma"/>
                <w:color w:val="000000"/>
                <w:sz w:val="19"/>
                <w:szCs w:val="19"/>
              </w:rPr>
              <w:t>1.461.049.814,62</w:t>
            </w:r>
          </w:p>
        </w:tc>
      </w:tr>
      <w:tr w:rsidR="00911315" w:rsidRPr="0078342D" w14:paraId="3764AF82" w14:textId="77777777" w:rsidTr="00911315">
        <w:trPr>
          <w:trHeight w:val="398"/>
        </w:trPr>
        <w:tc>
          <w:tcPr>
            <w:tcW w:w="2229"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094607D1" w14:textId="77777777" w:rsidR="00911315" w:rsidRPr="0078342D" w:rsidRDefault="00911315" w:rsidP="00911315">
            <w:pPr>
              <w:rPr>
                <w:rFonts w:ascii="Tahoma" w:hAnsi="Tahoma" w:cs="Tahoma"/>
                <w:sz w:val="19"/>
                <w:szCs w:val="19"/>
              </w:rPr>
            </w:pPr>
            <w:r w:rsidRPr="0078342D">
              <w:rPr>
                <w:rFonts w:ascii="Tahoma" w:hAnsi="Tahoma" w:cs="Tahoma"/>
                <w:sz w:val="19"/>
                <w:szCs w:val="19"/>
              </w:rPr>
              <w:t>Liberação</w:t>
            </w:r>
          </w:p>
        </w:tc>
        <w:tc>
          <w:tcPr>
            <w:tcW w:w="1464"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5EA68769" w14:textId="15532DE1" w:rsidR="00911315" w:rsidRPr="0078342D" w:rsidRDefault="00911315" w:rsidP="00911315">
            <w:pPr>
              <w:jc w:val="center"/>
              <w:rPr>
                <w:rFonts w:ascii="Tahoma" w:hAnsi="Tahoma" w:cs="Tahoma"/>
                <w:color w:val="000000"/>
                <w:sz w:val="19"/>
                <w:szCs w:val="19"/>
              </w:rPr>
            </w:pPr>
            <w:r w:rsidRPr="0078342D">
              <w:rPr>
                <w:rFonts w:ascii="Tahoma" w:hAnsi="Tahoma" w:cs="Tahoma"/>
                <w:color w:val="000000"/>
                <w:sz w:val="19"/>
                <w:szCs w:val="19"/>
              </w:rPr>
              <w:t>165</w:t>
            </w:r>
          </w:p>
        </w:tc>
        <w:tc>
          <w:tcPr>
            <w:tcW w:w="1640"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35A5A09C" w14:textId="19B71402" w:rsidR="00911315" w:rsidRPr="0078342D" w:rsidRDefault="00911315" w:rsidP="00911315">
            <w:pPr>
              <w:jc w:val="right"/>
              <w:rPr>
                <w:rFonts w:ascii="Tahoma" w:hAnsi="Tahoma" w:cs="Tahoma"/>
                <w:color w:val="000000"/>
                <w:sz w:val="19"/>
                <w:szCs w:val="19"/>
              </w:rPr>
            </w:pPr>
            <w:r w:rsidRPr="0078342D">
              <w:rPr>
                <w:rFonts w:ascii="Tahoma" w:hAnsi="Tahoma" w:cs="Tahoma"/>
                <w:color w:val="000000"/>
                <w:sz w:val="19"/>
                <w:szCs w:val="19"/>
              </w:rPr>
              <w:t>198.243.171,38</w:t>
            </w:r>
          </w:p>
        </w:tc>
        <w:tc>
          <w:tcPr>
            <w:tcW w:w="1327"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2E0F55DE" w14:textId="12D1C1E6" w:rsidR="00911315" w:rsidRPr="0078342D" w:rsidRDefault="00911315" w:rsidP="00911315">
            <w:pPr>
              <w:jc w:val="center"/>
              <w:rPr>
                <w:rFonts w:ascii="Tahoma" w:hAnsi="Tahoma" w:cs="Tahoma"/>
                <w:color w:val="000000"/>
                <w:sz w:val="19"/>
                <w:szCs w:val="19"/>
              </w:rPr>
            </w:pPr>
            <w:r w:rsidRPr="0078342D">
              <w:rPr>
                <w:rFonts w:ascii="Tahoma" w:hAnsi="Tahoma" w:cs="Tahoma"/>
                <w:color w:val="000000"/>
                <w:sz w:val="19"/>
                <w:szCs w:val="19"/>
              </w:rPr>
              <w:t>623</w:t>
            </w:r>
          </w:p>
        </w:tc>
        <w:tc>
          <w:tcPr>
            <w:tcW w:w="1987" w:type="dxa"/>
            <w:tcBorders>
              <w:bottom w:val="single" w:sz="8" w:space="0" w:color="A6A6A6"/>
            </w:tcBorders>
            <w:shd w:val="clear" w:color="auto" w:fill="auto"/>
            <w:tcMar>
              <w:top w:w="0" w:type="dxa"/>
              <w:left w:w="70" w:type="dxa"/>
              <w:bottom w:w="0" w:type="dxa"/>
              <w:right w:w="70" w:type="dxa"/>
            </w:tcMar>
            <w:vAlign w:val="center"/>
          </w:tcPr>
          <w:p w14:paraId="1D5DED48" w14:textId="4ED978A0" w:rsidR="00911315" w:rsidRPr="0078342D" w:rsidRDefault="00911315" w:rsidP="00911315">
            <w:pPr>
              <w:jc w:val="right"/>
              <w:rPr>
                <w:rFonts w:ascii="Tahoma" w:hAnsi="Tahoma" w:cs="Tahoma"/>
                <w:color w:val="000000"/>
                <w:sz w:val="19"/>
                <w:szCs w:val="19"/>
              </w:rPr>
            </w:pPr>
            <w:r w:rsidRPr="0078342D">
              <w:rPr>
                <w:rFonts w:ascii="Tahoma" w:hAnsi="Tahoma" w:cs="Tahoma"/>
                <w:color w:val="000000"/>
                <w:sz w:val="19"/>
                <w:szCs w:val="19"/>
              </w:rPr>
              <w:t>1.179.740.385,21</w:t>
            </w:r>
          </w:p>
        </w:tc>
      </w:tr>
    </w:tbl>
    <w:p w14:paraId="4805DAF1" w14:textId="77777777" w:rsidR="00911315" w:rsidRDefault="00911315" w:rsidP="00911315">
      <w:pPr>
        <w:spacing w:after="120"/>
        <w:rPr>
          <w:rFonts w:ascii="Tahoma" w:hAnsi="Tahoma" w:cs="Tahoma"/>
          <w:color w:val="000000"/>
          <w:sz w:val="18"/>
          <w:szCs w:val="18"/>
        </w:rPr>
      </w:pPr>
      <w:r>
        <w:rPr>
          <w:rFonts w:ascii="Tahoma" w:hAnsi="Tahoma" w:cs="Tahoma"/>
          <w:b/>
          <w:bCs/>
          <w:color w:val="000000"/>
          <w:sz w:val="18"/>
          <w:szCs w:val="18"/>
        </w:rPr>
        <w:t>Dados obtidos em:</w:t>
      </w:r>
      <w:r>
        <w:rPr>
          <w:rFonts w:ascii="Tahoma" w:hAnsi="Tahoma" w:cs="Tahoma"/>
          <w:color w:val="000000"/>
          <w:sz w:val="18"/>
          <w:szCs w:val="18"/>
        </w:rPr>
        <w:t xml:space="preserve"> fev/2024</w:t>
      </w:r>
    </w:p>
    <w:p w14:paraId="4648AE27" w14:textId="77777777" w:rsidR="00B108FC" w:rsidRPr="00B108FC" w:rsidRDefault="00B108FC" w:rsidP="00B108FC">
      <w:pPr>
        <w:spacing w:before="120"/>
        <w:jc w:val="both"/>
        <w:rPr>
          <w:rFonts w:ascii="Tahoma" w:hAnsi="Tahoma" w:cs="Tahoma"/>
          <w:sz w:val="19"/>
          <w:szCs w:val="19"/>
        </w:rPr>
      </w:pPr>
    </w:p>
    <w:p w14:paraId="734CB4C7" w14:textId="6207084B" w:rsidR="001157A4" w:rsidRDefault="00422401">
      <w:pPr>
        <w:spacing w:after="160"/>
        <w:textAlignment w:val="baseline"/>
        <w:rPr>
          <w:rFonts w:ascii="Tahoma" w:hAnsi="Tahoma" w:cs="Tahoma"/>
          <w:sz w:val="19"/>
          <w:szCs w:val="19"/>
        </w:rPr>
      </w:pPr>
      <w:r>
        <w:rPr>
          <w:noProof/>
        </w:rPr>
        <w:drawing>
          <wp:inline distT="0" distB="0" distL="0" distR="0" wp14:anchorId="5C9C9395" wp14:editId="2550A7FB">
            <wp:extent cx="5795010" cy="4877435"/>
            <wp:effectExtent l="0" t="0" r="0" b="0"/>
            <wp:docPr id="166046475" name="Imagem 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6475" name="Imagem 9" descr="Mapa&#10;&#10;Descrição gerada automaticament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95010" cy="4877435"/>
                    </a:xfrm>
                    <a:prstGeom prst="rect">
                      <a:avLst/>
                    </a:prstGeom>
                    <a:noFill/>
                    <a:ln>
                      <a:noFill/>
                    </a:ln>
                  </pic:spPr>
                </pic:pic>
              </a:graphicData>
            </a:graphic>
          </wp:inline>
        </w:drawing>
      </w:r>
    </w:p>
    <w:p w14:paraId="3E0946F5" w14:textId="4105AB39" w:rsidR="005C2B94" w:rsidRPr="00BB7B36" w:rsidRDefault="005C2B94" w:rsidP="005C2B94">
      <w:pPr>
        <w:spacing w:before="120" w:after="120" w:line="360" w:lineRule="auto"/>
        <w:rPr>
          <w:rFonts w:ascii="Tahoma" w:hAnsi="Tahoma" w:cs="Tahoma"/>
          <w:color w:val="0098BA"/>
          <w:sz w:val="19"/>
          <w:szCs w:val="19"/>
        </w:rPr>
      </w:pPr>
      <w:r w:rsidRPr="00BB7B36">
        <w:rPr>
          <w:rFonts w:ascii="Tahoma" w:hAnsi="Tahoma" w:cs="Tahoma"/>
          <w:color w:val="0098BA"/>
          <w:sz w:val="19"/>
          <w:szCs w:val="19"/>
        </w:rPr>
        <w:lastRenderedPageBreak/>
        <w:t>Exemplos de projetos</w:t>
      </w:r>
      <w:r>
        <w:rPr>
          <w:rFonts w:ascii="Tahoma" w:hAnsi="Tahoma" w:cs="Tahoma"/>
          <w:color w:val="0098BA"/>
          <w:sz w:val="19"/>
          <w:szCs w:val="19"/>
        </w:rPr>
        <w:t xml:space="preserve"> apoiados – Crédito direto</w:t>
      </w:r>
    </w:p>
    <w:p w14:paraId="2FD8E0C7" w14:textId="2A1AB393" w:rsidR="005C2B94" w:rsidRDefault="005C2B94">
      <w:pPr>
        <w:spacing w:after="160"/>
        <w:textAlignment w:val="baseline"/>
        <w:rPr>
          <w:rFonts w:ascii="Tahoma" w:hAnsi="Tahoma" w:cs="Tahoma"/>
          <w:sz w:val="19"/>
          <w:szCs w:val="19"/>
        </w:rPr>
      </w:pPr>
      <w:r>
        <w:rPr>
          <w:noProof/>
        </w:rPr>
        <w:drawing>
          <wp:inline distT="0" distB="0" distL="0" distR="0" wp14:anchorId="1C88DC1E" wp14:editId="35757956">
            <wp:extent cx="5795010" cy="3259455"/>
            <wp:effectExtent l="0" t="0" r="0" b="0"/>
            <wp:docPr id="212485262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52621" name=""/>
                    <pic:cNvPicPr/>
                  </pic:nvPicPr>
                  <pic:blipFill>
                    <a:blip r:embed="rId150">
                      <a:extLst>
                        <a:ext uri="{96DAC541-7B7A-43D3-8B79-37D633B846F1}">
                          <asvg:svgBlip xmlns:asvg="http://schemas.microsoft.com/office/drawing/2016/SVG/main" r:embed="rId151"/>
                        </a:ext>
                      </a:extLst>
                    </a:blip>
                    <a:stretch>
                      <a:fillRect/>
                    </a:stretch>
                  </pic:blipFill>
                  <pic:spPr>
                    <a:xfrm>
                      <a:off x="0" y="0"/>
                      <a:ext cx="5795010" cy="3259455"/>
                    </a:xfrm>
                    <a:prstGeom prst="rect">
                      <a:avLst/>
                    </a:prstGeom>
                  </pic:spPr>
                </pic:pic>
              </a:graphicData>
            </a:graphic>
          </wp:inline>
        </w:drawing>
      </w:r>
    </w:p>
    <w:p w14:paraId="3157CE50" w14:textId="77777777" w:rsidR="005C2B94" w:rsidRDefault="005C2B94">
      <w:pPr>
        <w:spacing w:after="160"/>
        <w:textAlignment w:val="baseline"/>
        <w:rPr>
          <w:rFonts w:ascii="Tahoma" w:hAnsi="Tahoma" w:cs="Tahoma"/>
          <w:sz w:val="19"/>
          <w:szCs w:val="19"/>
        </w:rPr>
      </w:pPr>
    </w:p>
    <w:p w14:paraId="5B250B60" w14:textId="1C0C1CEC" w:rsidR="005C2B94" w:rsidRDefault="005C2B94">
      <w:pPr>
        <w:spacing w:after="160"/>
        <w:textAlignment w:val="baseline"/>
        <w:rPr>
          <w:rFonts w:ascii="Tahoma" w:hAnsi="Tahoma" w:cs="Tahoma"/>
          <w:sz w:val="19"/>
          <w:szCs w:val="19"/>
        </w:rPr>
      </w:pPr>
      <w:r>
        <w:rPr>
          <w:noProof/>
        </w:rPr>
        <w:drawing>
          <wp:inline distT="0" distB="0" distL="0" distR="0" wp14:anchorId="17BE4CF3" wp14:editId="60A01A4C">
            <wp:extent cx="5795010" cy="3259455"/>
            <wp:effectExtent l="0" t="0" r="0" b="0"/>
            <wp:docPr id="86554219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542198" name=""/>
                    <pic:cNvPicPr/>
                  </pic:nvPicPr>
                  <pic:blipFill>
                    <a:blip r:embed="rId152">
                      <a:extLst>
                        <a:ext uri="{96DAC541-7B7A-43D3-8B79-37D633B846F1}">
                          <asvg:svgBlip xmlns:asvg="http://schemas.microsoft.com/office/drawing/2016/SVG/main" r:embed="rId153"/>
                        </a:ext>
                      </a:extLst>
                    </a:blip>
                    <a:stretch>
                      <a:fillRect/>
                    </a:stretch>
                  </pic:blipFill>
                  <pic:spPr>
                    <a:xfrm>
                      <a:off x="0" y="0"/>
                      <a:ext cx="5795010" cy="3259455"/>
                    </a:xfrm>
                    <a:prstGeom prst="rect">
                      <a:avLst/>
                    </a:prstGeom>
                  </pic:spPr>
                </pic:pic>
              </a:graphicData>
            </a:graphic>
          </wp:inline>
        </w:drawing>
      </w:r>
    </w:p>
    <w:p w14:paraId="5DB14A1C" w14:textId="57F6F0C9" w:rsidR="005C2B94" w:rsidRDefault="005C2B94">
      <w:pPr>
        <w:spacing w:after="160"/>
        <w:textAlignment w:val="baseline"/>
        <w:rPr>
          <w:rFonts w:ascii="Tahoma" w:hAnsi="Tahoma" w:cs="Tahoma"/>
          <w:sz w:val="19"/>
          <w:szCs w:val="19"/>
        </w:rPr>
      </w:pPr>
    </w:p>
    <w:p w14:paraId="1A652CA6" w14:textId="59A9E887" w:rsidR="005C2B94" w:rsidRDefault="005C2B94">
      <w:pPr>
        <w:spacing w:after="160"/>
        <w:textAlignment w:val="baseline"/>
        <w:rPr>
          <w:rFonts w:ascii="Tahoma" w:hAnsi="Tahoma" w:cs="Tahoma"/>
          <w:sz w:val="19"/>
          <w:szCs w:val="19"/>
        </w:rPr>
      </w:pPr>
      <w:r>
        <w:rPr>
          <w:noProof/>
        </w:rPr>
        <w:lastRenderedPageBreak/>
        <w:drawing>
          <wp:inline distT="0" distB="0" distL="0" distR="0" wp14:anchorId="664A57EF" wp14:editId="2AF871A0">
            <wp:extent cx="5795010" cy="3259455"/>
            <wp:effectExtent l="0" t="0" r="0" b="0"/>
            <wp:docPr id="52050334"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0334"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5795010" cy="3259455"/>
                    </a:xfrm>
                    <a:prstGeom prst="rect">
                      <a:avLst/>
                    </a:prstGeom>
                  </pic:spPr>
                </pic:pic>
              </a:graphicData>
            </a:graphic>
          </wp:inline>
        </w:drawing>
      </w:r>
    </w:p>
    <w:p w14:paraId="6040E49A" w14:textId="77777777" w:rsidR="005C2B94" w:rsidRDefault="005C2B94">
      <w:pPr>
        <w:spacing w:after="160"/>
        <w:textAlignment w:val="baseline"/>
        <w:rPr>
          <w:rFonts w:ascii="Tahoma" w:hAnsi="Tahoma" w:cs="Tahoma"/>
          <w:sz w:val="19"/>
          <w:szCs w:val="19"/>
        </w:rPr>
      </w:pPr>
    </w:p>
    <w:p w14:paraId="07D2858E" w14:textId="417B3A23" w:rsidR="005C2B94" w:rsidRPr="00BB7B36" w:rsidRDefault="005C2B94" w:rsidP="005C2B94">
      <w:pPr>
        <w:spacing w:before="120" w:after="120" w:line="360" w:lineRule="auto"/>
        <w:rPr>
          <w:rFonts w:ascii="Tahoma" w:hAnsi="Tahoma" w:cs="Tahoma"/>
          <w:color w:val="0098BA"/>
          <w:sz w:val="19"/>
          <w:szCs w:val="19"/>
        </w:rPr>
      </w:pPr>
      <w:r w:rsidRPr="00BB7B36">
        <w:rPr>
          <w:rFonts w:ascii="Tahoma" w:hAnsi="Tahoma" w:cs="Tahoma"/>
          <w:color w:val="0098BA"/>
          <w:sz w:val="19"/>
          <w:szCs w:val="19"/>
        </w:rPr>
        <w:t>Exemplos de projetos</w:t>
      </w:r>
      <w:r>
        <w:rPr>
          <w:rFonts w:ascii="Tahoma" w:hAnsi="Tahoma" w:cs="Tahoma"/>
          <w:color w:val="0098BA"/>
          <w:sz w:val="19"/>
          <w:szCs w:val="19"/>
        </w:rPr>
        <w:t xml:space="preserve"> apoiados – Crédito descentralizado</w:t>
      </w:r>
    </w:p>
    <w:p w14:paraId="0F667DAB" w14:textId="6B390B50" w:rsidR="005C2B94" w:rsidRDefault="005C2B94">
      <w:pPr>
        <w:spacing w:after="160"/>
        <w:textAlignment w:val="baseline"/>
        <w:rPr>
          <w:rFonts w:ascii="Tahoma" w:hAnsi="Tahoma" w:cs="Tahoma"/>
          <w:sz w:val="19"/>
          <w:szCs w:val="19"/>
        </w:rPr>
      </w:pPr>
      <w:r>
        <w:rPr>
          <w:noProof/>
        </w:rPr>
        <w:drawing>
          <wp:inline distT="0" distB="0" distL="0" distR="0" wp14:anchorId="0673F586" wp14:editId="78AE7622">
            <wp:extent cx="5795010" cy="3259455"/>
            <wp:effectExtent l="0" t="0" r="0" b="0"/>
            <wp:docPr id="1773745929"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5929"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5795010" cy="3259455"/>
                    </a:xfrm>
                    <a:prstGeom prst="rect">
                      <a:avLst/>
                    </a:prstGeom>
                  </pic:spPr>
                </pic:pic>
              </a:graphicData>
            </a:graphic>
          </wp:inline>
        </w:drawing>
      </w:r>
    </w:p>
    <w:p w14:paraId="475EF7B6" w14:textId="77777777" w:rsidR="005C2B94" w:rsidRDefault="005C2B94">
      <w:pPr>
        <w:spacing w:after="160"/>
        <w:textAlignment w:val="baseline"/>
        <w:rPr>
          <w:rFonts w:ascii="Tahoma" w:hAnsi="Tahoma" w:cs="Tahoma"/>
          <w:sz w:val="19"/>
          <w:szCs w:val="19"/>
        </w:rPr>
      </w:pPr>
    </w:p>
    <w:p w14:paraId="0410A5E0" w14:textId="77777777" w:rsidR="005C2B94" w:rsidRDefault="005C2B94">
      <w:pPr>
        <w:spacing w:after="160"/>
        <w:textAlignment w:val="baseline"/>
        <w:rPr>
          <w:rFonts w:ascii="Tahoma" w:hAnsi="Tahoma" w:cs="Tahoma"/>
          <w:sz w:val="19"/>
          <w:szCs w:val="19"/>
        </w:rPr>
      </w:pPr>
    </w:p>
    <w:p w14:paraId="29EE2C4D" w14:textId="0ECCDBF0" w:rsidR="000D6D0A" w:rsidRPr="00293919" w:rsidRDefault="00BB0E07" w:rsidP="00293919">
      <w:pPr>
        <w:pStyle w:val="Ttulo3"/>
        <w:spacing w:before="120" w:after="120" w:line="360" w:lineRule="auto"/>
        <w:rPr>
          <w:rFonts w:ascii="Tahoma" w:hAnsi="Tahoma" w:cs="Tahoma"/>
          <w:color w:val="0098BA"/>
          <w:sz w:val="22"/>
          <w:szCs w:val="22"/>
        </w:rPr>
      </w:pPr>
      <w:bookmarkStart w:id="77" w:name="_Toc93683626"/>
      <w:bookmarkStart w:id="78" w:name="_Toc94256463"/>
      <w:bookmarkStart w:id="79" w:name="_Toc94278190"/>
      <w:bookmarkStart w:id="80" w:name="_Toc97244796"/>
      <w:bookmarkStart w:id="81" w:name="_Toc105003784"/>
      <w:bookmarkStart w:id="82" w:name="_Toc105006467"/>
      <w:bookmarkStart w:id="83" w:name="_Toc131692237"/>
      <w:bookmarkStart w:id="84" w:name="_Toc163025253"/>
      <w:bookmarkStart w:id="85" w:name="_Toc162512590"/>
      <w:bookmarkStart w:id="86" w:name="_Toc92410425"/>
      <w:bookmarkStart w:id="87" w:name="_Toc92995162"/>
      <w:bookmarkStart w:id="88" w:name="_Toc93683624"/>
      <w:bookmarkStart w:id="89" w:name="_Toc94256461"/>
      <w:bookmarkStart w:id="90" w:name="_Toc94278188"/>
      <w:bookmarkStart w:id="91" w:name="_Toc97244794"/>
      <w:bookmarkStart w:id="92" w:name="_Toc105003782"/>
      <w:bookmarkStart w:id="93" w:name="_Toc105006465"/>
      <w:r w:rsidRPr="00293919">
        <w:rPr>
          <w:rFonts w:ascii="Tahoma" w:hAnsi="Tahoma" w:cs="Tahoma"/>
          <w:color w:val="0098BA"/>
          <w:sz w:val="22"/>
          <w:szCs w:val="22"/>
        </w:rPr>
        <w:t>Financiamento não reembolsável a empresas</w:t>
      </w:r>
      <w:bookmarkEnd w:id="77"/>
      <w:bookmarkEnd w:id="78"/>
      <w:bookmarkEnd w:id="79"/>
      <w:bookmarkEnd w:id="80"/>
      <w:bookmarkEnd w:id="81"/>
      <w:bookmarkEnd w:id="82"/>
      <w:bookmarkEnd w:id="83"/>
      <w:bookmarkEnd w:id="84"/>
      <w:bookmarkEnd w:id="85"/>
    </w:p>
    <w:p w14:paraId="31265BEB" w14:textId="225C71DF" w:rsidR="000D6D0A" w:rsidRDefault="00BB0E07">
      <w:pPr>
        <w:spacing w:before="120" w:after="120" w:line="360" w:lineRule="auto"/>
        <w:rPr>
          <w:rFonts w:ascii="Tahoma" w:hAnsi="Tahoma" w:cs="Tahoma"/>
          <w:sz w:val="19"/>
          <w:szCs w:val="19"/>
        </w:rPr>
      </w:pPr>
      <w:r>
        <w:rPr>
          <w:rFonts w:ascii="Tahoma" w:hAnsi="Tahoma" w:cs="Tahoma"/>
          <w:sz w:val="19"/>
          <w:szCs w:val="19"/>
        </w:rPr>
        <w:t>Operacionalizado em fluxo contínuo, ou seja, quando as solicitações de apoio podem ser encaminhadas a qualquer momento enquanto o programa estiver aberto</w:t>
      </w:r>
      <w:r w:rsidR="00F46579">
        <w:rPr>
          <w:rFonts w:ascii="Tahoma" w:hAnsi="Tahoma" w:cs="Tahoma"/>
          <w:sz w:val="19"/>
          <w:szCs w:val="19"/>
        </w:rPr>
        <w:t xml:space="preserve"> e </w:t>
      </w:r>
      <w:r w:rsidR="00B43D95">
        <w:rPr>
          <w:rFonts w:ascii="Tahoma" w:hAnsi="Tahoma" w:cs="Tahoma"/>
          <w:sz w:val="19"/>
          <w:szCs w:val="19"/>
        </w:rPr>
        <w:t>houver</w:t>
      </w:r>
      <w:r w:rsidR="00F46579">
        <w:rPr>
          <w:rFonts w:ascii="Tahoma" w:hAnsi="Tahoma" w:cs="Tahoma"/>
          <w:sz w:val="19"/>
          <w:szCs w:val="19"/>
        </w:rPr>
        <w:t xml:space="preserve"> recursos ainda não alocados em outros </w:t>
      </w:r>
      <w:r w:rsidR="00F46579">
        <w:rPr>
          <w:rFonts w:ascii="Tahoma" w:hAnsi="Tahoma" w:cs="Tahoma"/>
          <w:sz w:val="19"/>
          <w:szCs w:val="19"/>
        </w:rPr>
        <w:lastRenderedPageBreak/>
        <w:t>projetos</w:t>
      </w:r>
      <w:r>
        <w:rPr>
          <w:rFonts w:ascii="Tahoma" w:hAnsi="Tahoma" w:cs="Tahoma"/>
          <w:sz w:val="19"/>
          <w:szCs w:val="19"/>
        </w:rPr>
        <w:t xml:space="preserve">, o </w:t>
      </w:r>
      <w:hyperlink r:id="rId158" w:history="1">
        <w:r w:rsidRPr="00B43D95">
          <w:rPr>
            <w:rStyle w:val="Hyperlink"/>
            <w:rFonts w:ascii="Tahoma" w:hAnsi="Tahoma" w:cs="Tahoma"/>
            <w:sz w:val="19"/>
            <w:szCs w:val="19"/>
          </w:rPr>
          <w:t>Finep 2030 Empresarial</w:t>
        </w:r>
      </w:hyperlink>
      <w:r>
        <w:rPr>
          <w:rFonts w:ascii="Tahoma" w:hAnsi="Tahoma" w:cs="Tahoma"/>
          <w:sz w:val="19"/>
          <w:szCs w:val="19"/>
        </w:rPr>
        <w:t xml:space="preserve"> tem como público-alvo empresas da cadeia de fornecedores do setor automotivo, incluindo máquinas agrícolas e rodoviárias autopropulsadas.</w:t>
      </w:r>
    </w:p>
    <w:p w14:paraId="27A106F6" w14:textId="77777777" w:rsidR="000D6D0A" w:rsidRDefault="00BB0E07">
      <w:pPr>
        <w:spacing w:before="120" w:after="120" w:line="360" w:lineRule="auto"/>
        <w:rPr>
          <w:rFonts w:ascii="Tahoma" w:hAnsi="Tahoma" w:cs="Tahoma"/>
          <w:sz w:val="19"/>
          <w:szCs w:val="19"/>
        </w:rPr>
      </w:pPr>
      <w:r>
        <w:rPr>
          <w:rFonts w:ascii="Tahoma" w:hAnsi="Tahoma" w:cs="Tahoma"/>
          <w:sz w:val="19"/>
          <w:szCs w:val="19"/>
        </w:rPr>
        <w:t>Esse financiamento não reembolsável a empresas destina-se a projetos de inovação com alto conteúdo tecnológico, que se enquadrem nos temas da política pública que orienta o Programa Rota 2030: segurança veicular, eficiência energética, qualidade automotiva, desenvolvimento de processos de manufatura avançada, infraestrutura de recarga e sistemas de armazenamento para motores elétricos, desenvolvimento tecnológico de partes e componentes de veículos automotores, propulsão alternativa à combustão, biocombustíveis.</w:t>
      </w:r>
    </w:p>
    <w:p w14:paraId="269C4743" w14:textId="2E9CB623" w:rsidR="00BF468D" w:rsidRDefault="00DB1C4D">
      <w:pPr>
        <w:spacing w:before="120" w:after="120" w:line="360" w:lineRule="auto"/>
        <w:rPr>
          <w:rFonts w:ascii="Tahoma" w:hAnsi="Tahoma" w:cs="Tahoma"/>
          <w:sz w:val="19"/>
          <w:szCs w:val="19"/>
        </w:rPr>
      </w:pPr>
      <w:r>
        <w:rPr>
          <w:rFonts w:ascii="Tahoma" w:hAnsi="Tahoma" w:cs="Tahoma"/>
          <w:sz w:val="19"/>
          <w:szCs w:val="19"/>
        </w:rPr>
        <w:t>Essa ação, que conta com recursos do programa Rota 2030, está co</w:t>
      </w:r>
      <w:r w:rsidRPr="00DB1C4D">
        <w:rPr>
          <w:rFonts w:ascii="Tahoma" w:hAnsi="Tahoma" w:cs="Tahoma"/>
          <w:sz w:val="19"/>
          <w:szCs w:val="19"/>
        </w:rPr>
        <w:t xml:space="preserve">m </w:t>
      </w:r>
      <w:r>
        <w:rPr>
          <w:rFonts w:ascii="Tahoma" w:hAnsi="Tahoma" w:cs="Tahoma"/>
          <w:sz w:val="19"/>
          <w:szCs w:val="19"/>
        </w:rPr>
        <w:t>o</w:t>
      </w:r>
      <w:r w:rsidRPr="00DB1C4D">
        <w:rPr>
          <w:rFonts w:ascii="Tahoma" w:hAnsi="Tahoma" w:cs="Tahoma"/>
          <w:sz w:val="19"/>
          <w:szCs w:val="19"/>
        </w:rPr>
        <w:t xml:space="preserve"> recebimento de propostas no temporariamente suspenso, </w:t>
      </w:r>
      <w:r>
        <w:rPr>
          <w:rFonts w:ascii="Tahoma" w:hAnsi="Tahoma" w:cs="Tahoma"/>
          <w:sz w:val="19"/>
          <w:szCs w:val="19"/>
        </w:rPr>
        <w:t>porque já atingiu o</w:t>
      </w:r>
      <w:r w:rsidRPr="00DB1C4D">
        <w:rPr>
          <w:rFonts w:ascii="Tahoma" w:hAnsi="Tahoma" w:cs="Tahoma"/>
          <w:sz w:val="19"/>
          <w:szCs w:val="19"/>
        </w:rPr>
        <w:t xml:space="preserve"> limite de utilização de recursos autorizado.</w:t>
      </w:r>
      <w:r w:rsidR="00DB32F9">
        <w:rPr>
          <w:rFonts w:ascii="Tahoma" w:hAnsi="Tahoma" w:cs="Tahoma"/>
          <w:sz w:val="19"/>
          <w:szCs w:val="19"/>
        </w:rPr>
        <w:t xml:space="preserve"> Com o lançamento da nova política industrial, o programa deverá ser reformulado.</w:t>
      </w:r>
    </w:p>
    <w:p w14:paraId="4707B11B" w14:textId="77777777" w:rsidR="000D6D0A" w:rsidRDefault="00BB0E07">
      <w:pPr>
        <w:spacing w:before="120"/>
        <w:ind w:right="54"/>
        <w:jc w:val="right"/>
      </w:pPr>
      <w:r>
        <w:rPr>
          <w:rFonts w:ascii="Tahoma" w:hAnsi="Tahoma" w:cs="Tahoma"/>
          <w:bCs/>
          <w:color w:val="000000"/>
          <w:sz w:val="18"/>
          <w:szCs w:val="18"/>
        </w:rPr>
        <w:t>Posição em 31/12/2022</w:t>
      </w:r>
    </w:p>
    <w:tbl>
      <w:tblPr>
        <w:tblW w:w="9266" w:type="dxa"/>
        <w:tblCellMar>
          <w:left w:w="10" w:type="dxa"/>
          <w:right w:w="10" w:type="dxa"/>
        </w:tblCellMar>
        <w:tblLook w:val="04A0" w:firstRow="1" w:lastRow="0" w:firstColumn="1" w:lastColumn="0" w:noHBand="0" w:noVBand="1"/>
      </w:tblPr>
      <w:tblGrid>
        <w:gridCol w:w="2359"/>
        <w:gridCol w:w="1878"/>
        <w:gridCol w:w="1854"/>
        <w:gridCol w:w="1587"/>
        <w:gridCol w:w="1588"/>
      </w:tblGrid>
      <w:tr w:rsidR="00DB1C4D" w:rsidRPr="00DB1C4D" w14:paraId="3E5A46ED" w14:textId="77777777" w:rsidTr="00DB1C4D">
        <w:trPr>
          <w:trHeight w:val="495"/>
          <w:tblHeader/>
        </w:trPr>
        <w:tc>
          <w:tcPr>
            <w:tcW w:w="2359" w:type="dxa"/>
            <w:vMerge w:val="restart"/>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0D223DBE" w14:textId="77777777" w:rsidR="000D6D0A" w:rsidRPr="00DB1C4D" w:rsidRDefault="00BB0E07">
            <w:pPr>
              <w:jc w:val="center"/>
              <w:rPr>
                <w:rFonts w:ascii="Tahoma" w:hAnsi="Tahoma" w:cs="Tahoma"/>
                <w:color w:val="FFFFFF" w:themeColor="background1"/>
                <w:sz w:val="19"/>
                <w:szCs w:val="19"/>
              </w:rPr>
            </w:pPr>
            <w:r w:rsidRPr="00DB1C4D">
              <w:rPr>
                <w:rFonts w:ascii="Tahoma" w:hAnsi="Tahoma" w:cs="Tahoma"/>
                <w:color w:val="FFFFFF" w:themeColor="background1"/>
                <w:sz w:val="19"/>
                <w:szCs w:val="19"/>
              </w:rPr>
              <w:t>Financiamento não reembolsável a empresas</w:t>
            </w:r>
          </w:p>
        </w:tc>
        <w:tc>
          <w:tcPr>
            <w:tcW w:w="3732" w:type="dxa"/>
            <w:gridSpan w:val="2"/>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75A748D5" w14:textId="4C49840A" w:rsidR="000D6D0A" w:rsidRPr="00DB1C4D" w:rsidRDefault="00BB0E07">
            <w:pPr>
              <w:jc w:val="center"/>
              <w:rPr>
                <w:rFonts w:ascii="Tahoma" w:hAnsi="Tahoma" w:cs="Tahoma"/>
                <w:color w:val="FFFFFF" w:themeColor="background1"/>
                <w:sz w:val="19"/>
                <w:szCs w:val="19"/>
              </w:rPr>
            </w:pPr>
            <w:r w:rsidRPr="00DB1C4D">
              <w:rPr>
                <w:rFonts w:ascii="Tahoma" w:hAnsi="Tahoma" w:cs="Tahoma"/>
                <w:color w:val="FFFFFF" w:themeColor="background1"/>
                <w:sz w:val="19"/>
                <w:szCs w:val="19"/>
              </w:rPr>
              <w:t>202</w:t>
            </w:r>
            <w:r w:rsidR="00B43D95" w:rsidRPr="00DB1C4D">
              <w:rPr>
                <w:rFonts w:ascii="Tahoma" w:hAnsi="Tahoma" w:cs="Tahoma"/>
                <w:color w:val="FFFFFF" w:themeColor="background1"/>
                <w:sz w:val="19"/>
                <w:szCs w:val="19"/>
              </w:rPr>
              <w:t>2</w:t>
            </w:r>
          </w:p>
        </w:tc>
        <w:tc>
          <w:tcPr>
            <w:tcW w:w="3175" w:type="dxa"/>
            <w:gridSpan w:val="2"/>
            <w:tcBorders>
              <w:top w:val="single" w:sz="8" w:space="0" w:color="A6A6A6"/>
              <w:bottom w:val="single" w:sz="8" w:space="0" w:color="A6A6A6"/>
              <w:right w:val="single" w:sz="8" w:space="0" w:color="A6A6A6"/>
            </w:tcBorders>
            <w:shd w:val="clear" w:color="auto" w:fill="0098BA"/>
            <w:tcMar>
              <w:top w:w="0" w:type="dxa"/>
              <w:left w:w="10" w:type="dxa"/>
              <w:bottom w:w="0" w:type="dxa"/>
              <w:right w:w="10" w:type="dxa"/>
            </w:tcMar>
            <w:vAlign w:val="center"/>
          </w:tcPr>
          <w:p w14:paraId="2DA21708" w14:textId="36A144AF" w:rsidR="000D6D0A" w:rsidRPr="00DB1C4D" w:rsidRDefault="00BB0E07">
            <w:pPr>
              <w:jc w:val="center"/>
              <w:rPr>
                <w:rFonts w:ascii="Tahoma" w:hAnsi="Tahoma" w:cs="Tahoma"/>
                <w:color w:val="FFFFFF" w:themeColor="background1"/>
                <w:sz w:val="19"/>
                <w:szCs w:val="19"/>
              </w:rPr>
            </w:pPr>
            <w:r w:rsidRPr="00DB1C4D">
              <w:rPr>
                <w:rFonts w:ascii="Tahoma" w:hAnsi="Tahoma" w:cs="Tahoma"/>
                <w:color w:val="FFFFFF" w:themeColor="background1"/>
                <w:sz w:val="19"/>
                <w:szCs w:val="19"/>
              </w:rPr>
              <w:t>202</w:t>
            </w:r>
            <w:r w:rsidR="00B43D95" w:rsidRPr="00DB1C4D">
              <w:rPr>
                <w:rFonts w:ascii="Tahoma" w:hAnsi="Tahoma" w:cs="Tahoma"/>
                <w:color w:val="FFFFFF" w:themeColor="background1"/>
                <w:sz w:val="19"/>
                <w:szCs w:val="19"/>
              </w:rPr>
              <w:t>3</w:t>
            </w:r>
          </w:p>
        </w:tc>
      </w:tr>
      <w:tr w:rsidR="000D6D0A" w14:paraId="1839757E" w14:textId="77777777" w:rsidTr="00DB32F9">
        <w:trPr>
          <w:trHeight w:val="495"/>
          <w:tblHeader/>
        </w:trPr>
        <w:tc>
          <w:tcPr>
            <w:tcW w:w="2359" w:type="dxa"/>
            <w:vMerge/>
            <w:tcBorders>
              <w:top w:val="single" w:sz="8" w:space="0" w:color="A6A6A6"/>
              <w:bottom w:val="single" w:sz="8" w:space="0" w:color="A6A6A6"/>
              <w:right w:val="single" w:sz="8" w:space="0" w:color="A6A6A6"/>
            </w:tcBorders>
            <w:shd w:val="clear" w:color="auto" w:fill="005051"/>
            <w:tcMar>
              <w:top w:w="0" w:type="dxa"/>
              <w:left w:w="70" w:type="dxa"/>
              <w:bottom w:w="0" w:type="dxa"/>
              <w:right w:w="70" w:type="dxa"/>
            </w:tcMar>
            <w:vAlign w:val="center"/>
          </w:tcPr>
          <w:p w14:paraId="285FD4B4" w14:textId="77777777" w:rsidR="000D6D0A" w:rsidRDefault="000D6D0A">
            <w:pPr>
              <w:rPr>
                <w:rFonts w:ascii="Tahoma" w:hAnsi="Tahoma" w:cs="Tahoma"/>
                <w:color w:val="FFFFFF"/>
                <w:sz w:val="19"/>
                <w:szCs w:val="19"/>
              </w:rPr>
            </w:pPr>
          </w:p>
        </w:tc>
        <w:tc>
          <w:tcPr>
            <w:tcW w:w="1878"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7F6FD8BA" w14:textId="77777777" w:rsidR="000D6D0A" w:rsidRPr="00DB32F9" w:rsidRDefault="00BB0E07">
            <w:pPr>
              <w:jc w:val="center"/>
              <w:rPr>
                <w:rFonts w:ascii="Tahoma" w:hAnsi="Tahoma" w:cs="Tahoma"/>
                <w:color w:val="FFFFFF" w:themeColor="background1"/>
                <w:sz w:val="19"/>
                <w:szCs w:val="19"/>
              </w:rPr>
            </w:pPr>
            <w:r w:rsidRPr="00DB32F9">
              <w:rPr>
                <w:rFonts w:ascii="Tahoma" w:hAnsi="Tahoma" w:cs="Tahoma"/>
                <w:color w:val="FFFFFF" w:themeColor="background1"/>
                <w:sz w:val="19"/>
                <w:szCs w:val="19"/>
              </w:rPr>
              <w:t>Nº de projetos</w:t>
            </w:r>
          </w:p>
        </w:tc>
        <w:tc>
          <w:tcPr>
            <w:tcW w:w="1854"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00DA4186" w14:textId="77777777" w:rsidR="000D6D0A" w:rsidRPr="00DB32F9" w:rsidRDefault="00BB0E07">
            <w:pPr>
              <w:jc w:val="center"/>
              <w:rPr>
                <w:rFonts w:ascii="Tahoma" w:hAnsi="Tahoma" w:cs="Tahoma"/>
                <w:color w:val="FFFFFF" w:themeColor="background1"/>
                <w:sz w:val="19"/>
                <w:szCs w:val="19"/>
              </w:rPr>
            </w:pPr>
            <w:r w:rsidRPr="00DB32F9">
              <w:rPr>
                <w:rFonts w:ascii="Tahoma" w:hAnsi="Tahoma" w:cs="Tahoma"/>
                <w:color w:val="FFFFFF" w:themeColor="background1"/>
                <w:sz w:val="19"/>
                <w:szCs w:val="19"/>
              </w:rPr>
              <w:t>R$</w:t>
            </w:r>
          </w:p>
        </w:tc>
        <w:tc>
          <w:tcPr>
            <w:tcW w:w="1587" w:type="dxa"/>
            <w:tcBorders>
              <w:right w:val="single" w:sz="8" w:space="0" w:color="A6A6A6"/>
            </w:tcBorders>
            <w:shd w:val="clear" w:color="auto" w:fill="0098BA"/>
            <w:tcMar>
              <w:top w:w="0" w:type="dxa"/>
              <w:left w:w="10" w:type="dxa"/>
              <w:bottom w:w="0" w:type="dxa"/>
              <w:right w:w="10" w:type="dxa"/>
            </w:tcMar>
            <w:vAlign w:val="center"/>
          </w:tcPr>
          <w:p w14:paraId="50105F29" w14:textId="77777777" w:rsidR="000D6D0A" w:rsidRPr="00DB32F9" w:rsidRDefault="00BB0E07">
            <w:pPr>
              <w:jc w:val="center"/>
              <w:rPr>
                <w:rFonts w:ascii="Tahoma" w:hAnsi="Tahoma" w:cs="Tahoma"/>
                <w:color w:val="FFFFFF" w:themeColor="background1"/>
                <w:sz w:val="19"/>
                <w:szCs w:val="19"/>
              </w:rPr>
            </w:pPr>
            <w:r w:rsidRPr="00DB32F9">
              <w:rPr>
                <w:rFonts w:ascii="Tahoma" w:hAnsi="Tahoma" w:cs="Tahoma"/>
                <w:color w:val="FFFFFF" w:themeColor="background1"/>
                <w:sz w:val="19"/>
                <w:szCs w:val="19"/>
              </w:rPr>
              <w:t>Nº de projetos</w:t>
            </w:r>
          </w:p>
        </w:tc>
        <w:tc>
          <w:tcPr>
            <w:tcW w:w="1588" w:type="dxa"/>
            <w:tcBorders>
              <w:right w:val="single" w:sz="8" w:space="0" w:color="A6A6A6"/>
            </w:tcBorders>
            <w:shd w:val="clear" w:color="auto" w:fill="0098BA"/>
            <w:tcMar>
              <w:top w:w="0" w:type="dxa"/>
              <w:left w:w="10" w:type="dxa"/>
              <w:bottom w:w="0" w:type="dxa"/>
              <w:right w:w="10" w:type="dxa"/>
            </w:tcMar>
            <w:vAlign w:val="center"/>
          </w:tcPr>
          <w:p w14:paraId="1F1F8B8D" w14:textId="77777777" w:rsidR="000D6D0A" w:rsidRPr="00DB32F9" w:rsidRDefault="00BB0E07">
            <w:pPr>
              <w:jc w:val="center"/>
              <w:rPr>
                <w:rFonts w:ascii="Tahoma" w:hAnsi="Tahoma" w:cs="Tahoma"/>
                <w:color w:val="FFFFFF" w:themeColor="background1"/>
                <w:sz w:val="19"/>
                <w:szCs w:val="19"/>
              </w:rPr>
            </w:pPr>
            <w:r w:rsidRPr="00DB32F9">
              <w:rPr>
                <w:rFonts w:ascii="Tahoma" w:hAnsi="Tahoma" w:cs="Tahoma"/>
                <w:color w:val="FFFFFF" w:themeColor="background1"/>
                <w:sz w:val="19"/>
                <w:szCs w:val="19"/>
              </w:rPr>
              <w:t>R$</w:t>
            </w:r>
          </w:p>
        </w:tc>
      </w:tr>
      <w:tr w:rsidR="00B43D95" w14:paraId="12FB2A64" w14:textId="77777777" w:rsidTr="002B454C">
        <w:trPr>
          <w:trHeight w:val="305"/>
        </w:trPr>
        <w:tc>
          <w:tcPr>
            <w:tcW w:w="2359"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6F5D315F" w14:textId="77777777" w:rsidR="00B43D95" w:rsidRDefault="00B43D95" w:rsidP="002B454C">
            <w:pPr>
              <w:ind w:firstLine="134"/>
              <w:rPr>
                <w:rFonts w:ascii="Tahoma" w:hAnsi="Tahoma" w:cs="Tahoma"/>
                <w:color w:val="000000"/>
                <w:sz w:val="19"/>
                <w:szCs w:val="19"/>
              </w:rPr>
            </w:pPr>
            <w:r>
              <w:rPr>
                <w:rFonts w:ascii="Tahoma" w:hAnsi="Tahoma" w:cs="Tahoma"/>
                <w:color w:val="000000"/>
                <w:sz w:val="19"/>
                <w:szCs w:val="19"/>
              </w:rPr>
              <w:t>Contratação</w:t>
            </w:r>
          </w:p>
        </w:tc>
        <w:tc>
          <w:tcPr>
            <w:tcW w:w="1878"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653BF81B" w14:textId="45B04ABB" w:rsidR="00B43D95" w:rsidRDefault="00B43D95" w:rsidP="002B454C">
            <w:pPr>
              <w:jc w:val="center"/>
              <w:rPr>
                <w:rFonts w:ascii="Tahoma" w:hAnsi="Tahoma" w:cs="Tahoma"/>
                <w:color w:val="000000"/>
                <w:sz w:val="19"/>
                <w:szCs w:val="19"/>
              </w:rPr>
            </w:pPr>
            <w:r>
              <w:rPr>
                <w:rFonts w:ascii="Tahoma" w:hAnsi="Tahoma" w:cs="Tahoma"/>
                <w:color w:val="000000"/>
                <w:sz w:val="19"/>
                <w:szCs w:val="19"/>
              </w:rPr>
              <w:t>1</w:t>
            </w:r>
          </w:p>
        </w:tc>
        <w:tc>
          <w:tcPr>
            <w:tcW w:w="1854"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48AA018B" w14:textId="204BC208" w:rsidR="00B43D95" w:rsidRDefault="00B43D95" w:rsidP="002B454C">
            <w:pPr>
              <w:ind w:firstLine="134"/>
              <w:jc w:val="right"/>
              <w:rPr>
                <w:rFonts w:ascii="Tahoma" w:hAnsi="Tahoma" w:cs="Tahoma"/>
                <w:sz w:val="19"/>
                <w:szCs w:val="19"/>
              </w:rPr>
            </w:pPr>
            <w:r>
              <w:rPr>
                <w:rFonts w:ascii="Tahoma" w:hAnsi="Tahoma" w:cs="Tahoma"/>
                <w:color w:val="000000"/>
                <w:sz w:val="19"/>
                <w:szCs w:val="19"/>
              </w:rPr>
              <w:t>1.273.450</w:t>
            </w:r>
          </w:p>
        </w:tc>
        <w:tc>
          <w:tcPr>
            <w:tcW w:w="1587" w:type="dxa"/>
            <w:tcBorders>
              <w:bottom w:val="single" w:sz="8" w:space="0" w:color="A6A6A6"/>
              <w:right w:val="single" w:sz="8" w:space="0" w:color="A6A6A6"/>
            </w:tcBorders>
            <w:shd w:val="clear" w:color="auto" w:fill="auto"/>
            <w:tcMar>
              <w:top w:w="0" w:type="dxa"/>
              <w:left w:w="10" w:type="dxa"/>
              <w:bottom w:w="0" w:type="dxa"/>
              <w:right w:w="10" w:type="dxa"/>
            </w:tcMar>
            <w:vAlign w:val="center"/>
          </w:tcPr>
          <w:p w14:paraId="3D0A1441" w14:textId="0E021518" w:rsidR="00B43D95" w:rsidRDefault="00B43D95" w:rsidP="002B454C">
            <w:pPr>
              <w:jc w:val="center"/>
              <w:rPr>
                <w:rFonts w:ascii="Tahoma" w:hAnsi="Tahoma" w:cs="Tahoma"/>
                <w:color w:val="000000"/>
                <w:sz w:val="19"/>
                <w:szCs w:val="19"/>
              </w:rPr>
            </w:pPr>
            <w:r w:rsidRPr="00B43D95">
              <w:rPr>
                <w:rFonts w:ascii="Tahoma" w:hAnsi="Tahoma" w:cs="Tahoma"/>
                <w:color w:val="000000"/>
                <w:sz w:val="19"/>
                <w:szCs w:val="19"/>
              </w:rPr>
              <w:t>14</w:t>
            </w:r>
          </w:p>
        </w:tc>
        <w:tc>
          <w:tcPr>
            <w:tcW w:w="1588" w:type="dxa"/>
            <w:tcBorders>
              <w:bottom w:val="single" w:sz="8" w:space="0" w:color="A6A6A6"/>
            </w:tcBorders>
            <w:shd w:val="clear" w:color="auto" w:fill="auto"/>
            <w:tcMar>
              <w:top w:w="0" w:type="dxa"/>
              <w:left w:w="10" w:type="dxa"/>
              <w:bottom w:w="0" w:type="dxa"/>
              <w:right w:w="10" w:type="dxa"/>
            </w:tcMar>
            <w:vAlign w:val="center"/>
          </w:tcPr>
          <w:p w14:paraId="46B7C486" w14:textId="190AE351" w:rsidR="00B43D95" w:rsidRDefault="00B43D95" w:rsidP="002B454C">
            <w:pPr>
              <w:jc w:val="right"/>
              <w:rPr>
                <w:rFonts w:ascii="Tahoma" w:hAnsi="Tahoma" w:cs="Tahoma"/>
                <w:color w:val="000000"/>
                <w:sz w:val="19"/>
                <w:szCs w:val="19"/>
              </w:rPr>
            </w:pPr>
            <w:r w:rsidRPr="00B43D95">
              <w:rPr>
                <w:rFonts w:ascii="Tahoma" w:hAnsi="Tahoma" w:cs="Tahoma"/>
                <w:color w:val="000000"/>
                <w:sz w:val="19"/>
                <w:szCs w:val="19"/>
              </w:rPr>
              <w:t xml:space="preserve">35.025.611,89 </w:t>
            </w:r>
          </w:p>
        </w:tc>
      </w:tr>
      <w:tr w:rsidR="00B43D95" w14:paraId="79014786" w14:textId="77777777">
        <w:trPr>
          <w:trHeight w:val="315"/>
        </w:trPr>
        <w:tc>
          <w:tcPr>
            <w:tcW w:w="2359"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4895EC69" w14:textId="77777777" w:rsidR="00B43D95" w:rsidRDefault="00B43D95" w:rsidP="00B43D95">
            <w:pPr>
              <w:ind w:firstLine="134"/>
              <w:rPr>
                <w:rFonts w:ascii="Tahoma" w:hAnsi="Tahoma" w:cs="Tahoma"/>
                <w:color w:val="000000"/>
                <w:sz w:val="19"/>
                <w:szCs w:val="19"/>
              </w:rPr>
            </w:pPr>
            <w:r>
              <w:rPr>
                <w:rFonts w:ascii="Tahoma" w:hAnsi="Tahoma" w:cs="Tahoma"/>
                <w:color w:val="000000"/>
                <w:sz w:val="19"/>
                <w:szCs w:val="19"/>
              </w:rPr>
              <w:t>Liberação</w:t>
            </w:r>
          </w:p>
        </w:tc>
        <w:tc>
          <w:tcPr>
            <w:tcW w:w="1878"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3A9B46D2" w14:textId="0A543AFF" w:rsidR="00B43D95" w:rsidRDefault="00B43D95" w:rsidP="00B43D95">
            <w:pPr>
              <w:jc w:val="center"/>
              <w:rPr>
                <w:rFonts w:ascii="Tahoma" w:hAnsi="Tahoma" w:cs="Tahoma"/>
                <w:color w:val="000000"/>
                <w:sz w:val="19"/>
                <w:szCs w:val="19"/>
              </w:rPr>
            </w:pPr>
            <w:r>
              <w:rPr>
                <w:rFonts w:ascii="Tahoma" w:hAnsi="Tahoma" w:cs="Tahoma"/>
                <w:color w:val="000000"/>
                <w:sz w:val="19"/>
                <w:szCs w:val="19"/>
              </w:rPr>
              <w:t>33</w:t>
            </w:r>
          </w:p>
        </w:tc>
        <w:tc>
          <w:tcPr>
            <w:tcW w:w="1854"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71F8B57C" w14:textId="1D596989" w:rsidR="00B43D95" w:rsidRDefault="00B43D95" w:rsidP="00B43D95">
            <w:pPr>
              <w:ind w:firstLine="134"/>
              <w:jc w:val="right"/>
              <w:rPr>
                <w:rFonts w:ascii="Tahoma" w:hAnsi="Tahoma" w:cs="Tahoma"/>
                <w:sz w:val="19"/>
                <w:szCs w:val="19"/>
              </w:rPr>
            </w:pPr>
            <w:r>
              <w:rPr>
                <w:rFonts w:ascii="Tahoma" w:hAnsi="Tahoma" w:cs="Tahoma"/>
                <w:color w:val="000000"/>
                <w:sz w:val="19"/>
                <w:szCs w:val="19"/>
              </w:rPr>
              <w:t>32.408.183</w:t>
            </w:r>
          </w:p>
        </w:tc>
        <w:tc>
          <w:tcPr>
            <w:tcW w:w="1587" w:type="dxa"/>
            <w:tcBorders>
              <w:top w:val="single" w:sz="8" w:space="0" w:color="A6A6A6"/>
              <w:bottom w:val="single" w:sz="8" w:space="0" w:color="A6A6A6"/>
              <w:right w:val="single" w:sz="8" w:space="0" w:color="A6A6A6"/>
            </w:tcBorders>
            <w:shd w:val="clear" w:color="auto" w:fill="auto"/>
            <w:tcMar>
              <w:top w:w="0" w:type="dxa"/>
              <w:left w:w="10" w:type="dxa"/>
              <w:bottom w:w="0" w:type="dxa"/>
              <w:right w:w="10" w:type="dxa"/>
            </w:tcMar>
            <w:vAlign w:val="center"/>
          </w:tcPr>
          <w:p w14:paraId="6D575606" w14:textId="7E3CF00E" w:rsidR="00B43D95" w:rsidRDefault="00B43D95" w:rsidP="00B43D95">
            <w:pPr>
              <w:jc w:val="center"/>
              <w:rPr>
                <w:rFonts w:ascii="Tahoma" w:hAnsi="Tahoma" w:cs="Tahoma"/>
                <w:color w:val="000000"/>
                <w:sz w:val="19"/>
                <w:szCs w:val="19"/>
              </w:rPr>
            </w:pPr>
            <w:r w:rsidRPr="00B43D95">
              <w:rPr>
                <w:rFonts w:ascii="Tahoma" w:hAnsi="Tahoma" w:cs="Tahoma"/>
                <w:color w:val="000000"/>
                <w:sz w:val="19"/>
                <w:szCs w:val="19"/>
              </w:rPr>
              <w:t>39</w:t>
            </w:r>
          </w:p>
        </w:tc>
        <w:tc>
          <w:tcPr>
            <w:tcW w:w="1588" w:type="dxa"/>
            <w:tcBorders>
              <w:top w:val="single" w:sz="8" w:space="0" w:color="A6A6A6"/>
              <w:bottom w:val="single" w:sz="8" w:space="0" w:color="A6A6A6"/>
            </w:tcBorders>
            <w:shd w:val="clear" w:color="auto" w:fill="auto"/>
            <w:tcMar>
              <w:top w:w="0" w:type="dxa"/>
              <w:left w:w="10" w:type="dxa"/>
              <w:bottom w:w="0" w:type="dxa"/>
              <w:right w:w="10" w:type="dxa"/>
            </w:tcMar>
            <w:vAlign w:val="center"/>
          </w:tcPr>
          <w:p w14:paraId="4A8C074F" w14:textId="540E9097" w:rsidR="00B43D95" w:rsidRDefault="00B43D95" w:rsidP="00B43D95">
            <w:pPr>
              <w:jc w:val="right"/>
              <w:rPr>
                <w:rFonts w:ascii="Tahoma" w:hAnsi="Tahoma" w:cs="Tahoma"/>
                <w:color w:val="000000"/>
                <w:sz w:val="19"/>
                <w:szCs w:val="19"/>
              </w:rPr>
            </w:pPr>
            <w:r w:rsidRPr="00B43D95">
              <w:rPr>
                <w:rFonts w:ascii="Tahoma" w:hAnsi="Tahoma" w:cs="Tahoma"/>
                <w:color w:val="000000"/>
                <w:sz w:val="19"/>
                <w:szCs w:val="19"/>
              </w:rPr>
              <w:t>29.662.472,93</w:t>
            </w:r>
          </w:p>
        </w:tc>
      </w:tr>
    </w:tbl>
    <w:p w14:paraId="0353E1D0" w14:textId="1E2D1ADF" w:rsidR="00DB32F9" w:rsidRPr="00DB32F9" w:rsidRDefault="00BB0E07" w:rsidP="007523A7">
      <w:pPr>
        <w:spacing w:after="120"/>
        <w:rPr>
          <w:rFonts w:ascii="Tahoma" w:hAnsi="Tahoma" w:cs="Tahoma"/>
          <w:sz w:val="19"/>
          <w:szCs w:val="19"/>
        </w:rPr>
      </w:pPr>
      <w:r>
        <w:rPr>
          <w:rFonts w:ascii="Tahoma" w:hAnsi="Tahoma" w:cs="Tahoma"/>
          <w:b/>
          <w:bCs/>
          <w:color w:val="000000"/>
          <w:sz w:val="18"/>
          <w:szCs w:val="18"/>
        </w:rPr>
        <w:t>Dados obtidos em:</w:t>
      </w:r>
      <w:r>
        <w:rPr>
          <w:rFonts w:ascii="Tahoma" w:hAnsi="Tahoma" w:cs="Tahoma"/>
          <w:color w:val="000000"/>
          <w:sz w:val="18"/>
          <w:szCs w:val="18"/>
        </w:rPr>
        <w:t xml:space="preserve"> </w:t>
      </w:r>
      <w:r w:rsidR="00B43D95">
        <w:rPr>
          <w:rFonts w:ascii="Tahoma" w:hAnsi="Tahoma" w:cs="Tahoma"/>
          <w:color w:val="000000"/>
          <w:sz w:val="18"/>
          <w:szCs w:val="18"/>
        </w:rPr>
        <w:t>fev/2024</w:t>
      </w:r>
    </w:p>
    <w:p w14:paraId="33D64C78" w14:textId="3F40624C" w:rsidR="00DB32F9" w:rsidRPr="00DB32F9" w:rsidRDefault="00DB32F9" w:rsidP="00DB32F9">
      <w:pPr>
        <w:spacing w:before="120" w:after="120" w:line="360" w:lineRule="auto"/>
        <w:rPr>
          <w:rFonts w:ascii="Tahoma" w:hAnsi="Tahoma" w:cs="Tahoma"/>
          <w:sz w:val="19"/>
          <w:szCs w:val="19"/>
        </w:rPr>
      </w:pPr>
      <w:bookmarkStart w:id="94" w:name="_Toc131692239"/>
      <w:bookmarkEnd w:id="86"/>
      <w:bookmarkEnd w:id="87"/>
      <w:bookmarkEnd w:id="88"/>
      <w:bookmarkEnd w:id="89"/>
      <w:bookmarkEnd w:id="90"/>
      <w:bookmarkEnd w:id="91"/>
      <w:bookmarkEnd w:id="92"/>
      <w:bookmarkEnd w:id="93"/>
      <w:r w:rsidRPr="00DB32F9">
        <w:rPr>
          <w:rFonts w:ascii="Tahoma" w:hAnsi="Tahoma" w:cs="Tahoma"/>
          <w:sz w:val="19"/>
          <w:szCs w:val="19"/>
        </w:rPr>
        <w:br w:type="page"/>
      </w:r>
    </w:p>
    <w:p w14:paraId="51C37C36" w14:textId="26837F0D" w:rsidR="00DB32F9" w:rsidRDefault="00DB32F9" w:rsidP="00DB32F9">
      <w:pPr>
        <w:pStyle w:val="Ttulo2"/>
        <w:spacing w:before="0" w:after="120" w:line="360" w:lineRule="auto"/>
        <w:ind w:left="862" w:hanging="578"/>
        <w:rPr>
          <w:rFonts w:ascii="Tahoma" w:hAnsi="Tahoma" w:cs="Tahoma"/>
          <w:color w:val="0098BA"/>
          <w:sz w:val="24"/>
          <w:szCs w:val="24"/>
        </w:rPr>
      </w:pPr>
      <w:bookmarkStart w:id="95" w:name="_Toc163025254"/>
      <w:bookmarkStart w:id="96" w:name="_Toc162512591"/>
      <w:bookmarkEnd w:id="94"/>
      <w:r w:rsidRPr="00442376">
        <w:rPr>
          <w:rFonts w:ascii="Tahoma" w:hAnsi="Tahoma" w:cs="Tahoma"/>
          <w:color w:val="0098BA"/>
          <w:sz w:val="24"/>
          <w:szCs w:val="24"/>
        </w:rPr>
        <w:lastRenderedPageBreak/>
        <w:t xml:space="preserve">Desempenho operacional </w:t>
      </w:r>
      <w:r>
        <w:rPr>
          <w:rFonts w:ascii="Tahoma" w:hAnsi="Tahoma" w:cs="Tahoma"/>
          <w:color w:val="0098BA"/>
          <w:sz w:val="24"/>
          <w:szCs w:val="24"/>
        </w:rPr>
        <w:t xml:space="preserve">- </w:t>
      </w:r>
      <w:r w:rsidRPr="000C40B3">
        <w:rPr>
          <w:rFonts w:ascii="Tahoma" w:hAnsi="Tahoma" w:cs="Tahoma"/>
          <w:color w:val="0098BA"/>
          <w:sz w:val="24"/>
          <w:szCs w:val="24"/>
        </w:rPr>
        <w:t xml:space="preserve">Eixo: </w:t>
      </w:r>
      <w:r w:rsidRPr="00DB32F9">
        <w:rPr>
          <w:rFonts w:ascii="Tahoma" w:hAnsi="Tahoma" w:cs="Tahoma"/>
          <w:color w:val="0098BA"/>
          <w:sz w:val="24"/>
          <w:szCs w:val="24"/>
        </w:rPr>
        <w:t>Empreendedorismo inovador</w:t>
      </w:r>
      <w:bookmarkEnd w:id="95"/>
      <w:bookmarkEnd w:id="96"/>
    </w:p>
    <w:p w14:paraId="2FFF69FE" w14:textId="77777777" w:rsidR="007B2458" w:rsidRDefault="007B2458">
      <w:pPr>
        <w:spacing w:before="120" w:after="120" w:line="360" w:lineRule="auto"/>
        <w:rPr>
          <w:rFonts w:ascii="Tahoma" w:hAnsi="Tahoma" w:cs="Tahoma"/>
          <w:sz w:val="19"/>
          <w:szCs w:val="19"/>
        </w:rPr>
      </w:pPr>
      <w:r>
        <w:rPr>
          <w:rFonts w:ascii="Tahoma" w:hAnsi="Tahoma" w:cs="Tahoma"/>
          <w:sz w:val="19"/>
          <w:szCs w:val="19"/>
        </w:rPr>
        <w:t>Este eixo tem como foco o estímulo à criação de novas empresas, produtos e serviços, buscando valor na diversidade e na geração de empregos qualificados.</w:t>
      </w:r>
      <w:bookmarkStart w:id="97" w:name="_Toc70439220"/>
      <w:bookmarkStart w:id="98" w:name="_Toc92410428"/>
      <w:bookmarkStart w:id="99" w:name="_Toc92995165"/>
      <w:bookmarkStart w:id="100" w:name="_Toc93683628"/>
      <w:bookmarkStart w:id="101" w:name="_Toc94256465"/>
      <w:bookmarkStart w:id="102" w:name="_Toc94278192"/>
      <w:bookmarkStart w:id="103" w:name="_Toc65494328"/>
      <w:bookmarkStart w:id="104" w:name="_Toc93683633"/>
      <w:bookmarkStart w:id="105" w:name="_Toc94256472"/>
      <w:bookmarkStart w:id="106" w:name="_Toc94278197"/>
      <w:r>
        <w:t xml:space="preserve"> </w:t>
      </w:r>
      <w:r w:rsidR="00BB0E07">
        <w:rPr>
          <w:rFonts w:ascii="Tahoma" w:hAnsi="Tahoma" w:cs="Tahoma"/>
          <w:sz w:val="19"/>
          <w:szCs w:val="19"/>
        </w:rPr>
        <w:t xml:space="preserve">Nele atuamos por meio da operação descentralizada da Subvenção econômica; da Aquisição de Instrumentos Conversíveis em Participação no Capital Social (através do Finep Startup); do investimento em Fundos de Investimento em Participações (FIPs) </w:t>
      </w:r>
      <w:r>
        <w:rPr>
          <w:rFonts w:ascii="Tahoma" w:hAnsi="Tahoma" w:cs="Tahoma"/>
          <w:sz w:val="19"/>
          <w:szCs w:val="19"/>
        </w:rPr>
        <w:t>e</w:t>
      </w:r>
      <w:r w:rsidR="00BB0E07">
        <w:rPr>
          <w:rFonts w:ascii="Tahoma" w:hAnsi="Tahoma" w:cs="Tahoma"/>
          <w:sz w:val="19"/>
          <w:szCs w:val="19"/>
        </w:rPr>
        <w:t>xclusivos</w:t>
      </w:r>
      <w:r>
        <w:rPr>
          <w:rFonts w:ascii="Tahoma" w:hAnsi="Tahoma" w:cs="Tahoma"/>
          <w:sz w:val="19"/>
          <w:szCs w:val="19"/>
        </w:rPr>
        <w:t>, nos quais a Finep é a única cotista,</w:t>
      </w:r>
      <w:r w:rsidR="00BB0E07">
        <w:rPr>
          <w:rFonts w:ascii="Tahoma" w:hAnsi="Tahoma" w:cs="Tahoma"/>
          <w:sz w:val="19"/>
          <w:szCs w:val="19"/>
        </w:rPr>
        <w:t xml:space="preserve"> e </w:t>
      </w:r>
      <w:r>
        <w:rPr>
          <w:rFonts w:ascii="Tahoma" w:hAnsi="Tahoma" w:cs="Tahoma"/>
          <w:sz w:val="19"/>
          <w:szCs w:val="19"/>
        </w:rPr>
        <w:t>n</w:t>
      </w:r>
      <w:r w:rsidR="00BB0E07">
        <w:rPr>
          <w:rFonts w:ascii="Tahoma" w:hAnsi="Tahoma" w:cs="Tahoma"/>
          <w:sz w:val="19"/>
          <w:szCs w:val="19"/>
        </w:rPr>
        <w:t>ão-</w:t>
      </w:r>
      <w:r>
        <w:rPr>
          <w:rFonts w:ascii="Tahoma" w:hAnsi="Tahoma" w:cs="Tahoma"/>
          <w:sz w:val="19"/>
          <w:szCs w:val="19"/>
        </w:rPr>
        <w:t>e</w:t>
      </w:r>
      <w:r w:rsidR="00BB0E07">
        <w:rPr>
          <w:rFonts w:ascii="Tahoma" w:hAnsi="Tahoma" w:cs="Tahoma"/>
          <w:sz w:val="19"/>
          <w:szCs w:val="19"/>
        </w:rPr>
        <w:t>xclusivos</w:t>
      </w:r>
      <w:r>
        <w:rPr>
          <w:rFonts w:ascii="Tahoma" w:hAnsi="Tahoma" w:cs="Tahoma"/>
          <w:sz w:val="19"/>
          <w:szCs w:val="19"/>
        </w:rPr>
        <w:t xml:space="preserve">, nos quais contribuímos para o fortalecimento de FIPs em conjunto com outros investidores. </w:t>
      </w:r>
    </w:p>
    <w:p w14:paraId="0DB9F096" w14:textId="0831DE09" w:rsidR="007B2458" w:rsidRDefault="007B2458">
      <w:pPr>
        <w:spacing w:before="120" w:after="120" w:line="360" w:lineRule="auto"/>
        <w:rPr>
          <w:rFonts w:ascii="Tahoma" w:hAnsi="Tahoma" w:cs="Tahoma"/>
          <w:sz w:val="19"/>
          <w:szCs w:val="19"/>
        </w:rPr>
      </w:pPr>
      <w:r>
        <w:rPr>
          <w:rFonts w:ascii="Tahoma" w:hAnsi="Tahoma" w:cs="Tahoma"/>
          <w:sz w:val="19"/>
          <w:szCs w:val="19"/>
        </w:rPr>
        <w:t xml:space="preserve">Tem ainda o diferencial de contar com instrumentos </w:t>
      </w:r>
      <w:r w:rsidR="009452AD">
        <w:rPr>
          <w:rFonts w:ascii="Tahoma" w:hAnsi="Tahoma" w:cs="Tahoma"/>
          <w:sz w:val="19"/>
          <w:szCs w:val="19"/>
        </w:rPr>
        <w:t xml:space="preserve">de Capacitação e Premiação, </w:t>
      </w:r>
      <w:r>
        <w:rPr>
          <w:rFonts w:ascii="Tahoma" w:hAnsi="Tahoma" w:cs="Tahoma"/>
          <w:sz w:val="19"/>
          <w:szCs w:val="19"/>
        </w:rPr>
        <w:t xml:space="preserve">em que o principal capital </w:t>
      </w:r>
      <w:r w:rsidR="009452AD">
        <w:rPr>
          <w:rFonts w:ascii="Tahoma" w:hAnsi="Tahoma" w:cs="Tahoma"/>
          <w:sz w:val="19"/>
          <w:szCs w:val="19"/>
        </w:rPr>
        <w:t xml:space="preserve">oferecido </w:t>
      </w:r>
      <w:r>
        <w:rPr>
          <w:rFonts w:ascii="Tahoma" w:hAnsi="Tahoma" w:cs="Tahoma"/>
          <w:sz w:val="19"/>
          <w:szCs w:val="19"/>
        </w:rPr>
        <w:t>não é o financeiro, mas o capital intelectual</w:t>
      </w:r>
      <w:r w:rsidR="009452AD">
        <w:rPr>
          <w:rFonts w:ascii="Tahoma" w:hAnsi="Tahoma" w:cs="Tahoma"/>
          <w:sz w:val="19"/>
          <w:szCs w:val="19"/>
        </w:rPr>
        <w:t>, a partir de</w:t>
      </w:r>
      <w:r>
        <w:rPr>
          <w:rFonts w:ascii="Tahoma" w:hAnsi="Tahoma" w:cs="Tahoma"/>
          <w:sz w:val="19"/>
          <w:szCs w:val="19"/>
        </w:rPr>
        <w:t xml:space="preserve"> nosso conhecimento acumulado </w:t>
      </w:r>
      <w:r w:rsidR="009452AD">
        <w:rPr>
          <w:rFonts w:ascii="Tahoma" w:hAnsi="Tahoma" w:cs="Tahoma"/>
          <w:sz w:val="19"/>
          <w:szCs w:val="19"/>
        </w:rPr>
        <w:t xml:space="preserve">no fomento à inovação </w:t>
      </w:r>
      <w:r>
        <w:rPr>
          <w:rFonts w:ascii="Tahoma" w:hAnsi="Tahoma" w:cs="Tahoma"/>
          <w:sz w:val="19"/>
          <w:szCs w:val="19"/>
        </w:rPr>
        <w:t xml:space="preserve">e </w:t>
      </w:r>
      <w:r w:rsidR="009452AD">
        <w:rPr>
          <w:rFonts w:ascii="Tahoma" w:hAnsi="Tahoma" w:cs="Tahoma"/>
          <w:sz w:val="19"/>
          <w:szCs w:val="19"/>
        </w:rPr>
        <w:t xml:space="preserve">de nossa </w:t>
      </w:r>
      <w:r>
        <w:rPr>
          <w:rFonts w:ascii="Tahoma" w:hAnsi="Tahoma" w:cs="Tahoma"/>
          <w:sz w:val="19"/>
          <w:szCs w:val="19"/>
        </w:rPr>
        <w:t>capacidade de articulação</w:t>
      </w:r>
      <w:r w:rsidR="009452AD">
        <w:rPr>
          <w:rFonts w:ascii="Tahoma" w:hAnsi="Tahoma" w:cs="Tahoma"/>
          <w:sz w:val="19"/>
          <w:szCs w:val="19"/>
        </w:rPr>
        <w:t>. Nesse tipo de instrumento, esses bens intangíveis</w:t>
      </w:r>
      <w:r>
        <w:rPr>
          <w:rFonts w:ascii="Tahoma" w:hAnsi="Tahoma" w:cs="Tahoma"/>
          <w:sz w:val="19"/>
          <w:szCs w:val="19"/>
        </w:rPr>
        <w:t xml:space="preserve"> </w:t>
      </w:r>
      <w:r w:rsidR="009452AD">
        <w:rPr>
          <w:rFonts w:ascii="Tahoma" w:hAnsi="Tahoma" w:cs="Tahoma"/>
          <w:sz w:val="19"/>
          <w:szCs w:val="19"/>
        </w:rPr>
        <w:t xml:space="preserve">da Finep </w:t>
      </w:r>
      <w:r>
        <w:rPr>
          <w:rFonts w:ascii="Tahoma" w:hAnsi="Tahoma" w:cs="Tahoma"/>
          <w:sz w:val="19"/>
          <w:szCs w:val="19"/>
        </w:rPr>
        <w:t xml:space="preserve">são colocados a serviço </w:t>
      </w:r>
      <w:r w:rsidR="009452AD">
        <w:rPr>
          <w:rFonts w:ascii="Tahoma" w:hAnsi="Tahoma" w:cs="Tahoma"/>
          <w:sz w:val="19"/>
          <w:szCs w:val="19"/>
        </w:rPr>
        <w:t>do fortalecimento do empreendedorismo e da diversidade</w:t>
      </w:r>
      <w:r>
        <w:rPr>
          <w:rFonts w:ascii="Tahoma" w:hAnsi="Tahoma" w:cs="Tahoma"/>
          <w:sz w:val="19"/>
          <w:szCs w:val="19"/>
        </w:rPr>
        <w:t>.</w:t>
      </w:r>
    </w:p>
    <w:p w14:paraId="00501115" w14:textId="11FD58E4" w:rsidR="000D6D0A" w:rsidRDefault="00BB0E07">
      <w:pPr>
        <w:spacing w:before="120" w:after="120" w:line="360" w:lineRule="auto"/>
        <w:rPr>
          <w:rFonts w:ascii="Tahoma" w:hAnsi="Tahoma" w:cs="Tahoma"/>
          <w:sz w:val="19"/>
          <w:szCs w:val="19"/>
        </w:rPr>
      </w:pPr>
      <w:r>
        <w:rPr>
          <w:rFonts w:ascii="Tahoma" w:hAnsi="Tahoma" w:cs="Tahoma"/>
          <w:sz w:val="19"/>
          <w:szCs w:val="19"/>
        </w:rPr>
        <w:t>As empresas</w:t>
      </w:r>
      <w:r w:rsidR="009452AD">
        <w:rPr>
          <w:rFonts w:ascii="Tahoma" w:hAnsi="Tahoma" w:cs="Tahoma"/>
          <w:sz w:val="19"/>
          <w:szCs w:val="19"/>
        </w:rPr>
        <w:t xml:space="preserve"> apoiadas pela subvenção,</w:t>
      </w:r>
      <w:r>
        <w:rPr>
          <w:rFonts w:ascii="Tahoma" w:hAnsi="Tahoma" w:cs="Tahoma"/>
          <w:sz w:val="19"/>
          <w:szCs w:val="19"/>
        </w:rPr>
        <w:t xml:space="preserve"> investidas ou capacitadas contam com o apoio estratégico da Finep, e, no caso dos fundos, dos gestores contratados, para fortalecer suas estruturas de governança corporativa, com foco no crescimento e lucratividade, bem como na sustentabilidade futura do negócio.</w:t>
      </w:r>
      <w:r w:rsidR="009452AD">
        <w:rPr>
          <w:rFonts w:ascii="Tahoma" w:hAnsi="Tahoma" w:cs="Tahoma"/>
          <w:sz w:val="19"/>
          <w:szCs w:val="19"/>
        </w:rPr>
        <w:t xml:space="preserve"> </w:t>
      </w:r>
      <w:r w:rsidR="009452AD" w:rsidRPr="009452AD">
        <w:rPr>
          <w:rFonts w:ascii="Tahoma" w:hAnsi="Tahoma" w:cs="Tahoma"/>
          <w:sz w:val="19"/>
          <w:szCs w:val="19"/>
        </w:rPr>
        <w:t>Esse apo</w:t>
      </w:r>
      <w:r w:rsidR="009452AD">
        <w:rPr>
          <w:rFonts w:ascii="Tahoma" w:hAnsi="Tahoma" w:cs="Tahoma"/>
          <w:sz w:val="19"/>
          <w:szCs w:val="19"/>
        </w:rPr>
        <w:t>io busca</w:t>
      </w:r>
      <w:r w:rsidR="009452AD" w:rsidRPr="009452AD">
        <w:rPr>
          <w:rFonts w:ascii="Tahoma" w:hAnsi="Tahoma" w:cs="Tahoma"/>
          <w:sz w:val="19"/>
          <w:szCs w:val="19"/>
        </w:rPr>
        <w:t xml:space="preserve"> est</w:t>
      </w:r>
      <w:r w:rsidR="009452AD">
        <w:rPr>
          <w:rFonts w:ascii="Tahoma" w:hAnsi="Tahoma" w:cs="Tahoma"/>
          <w:sz w:val="19"/>
          <w:szCs w:val="19"/>
        </w:rPr>
        <w:t>i</w:t>
      </w:r>
      <w:r w:rsidR="009452AD" w:rsidRPr="009452AD">
        <w:rPr>
          <w:rFonts w:ascii="Tahoma" w:hAnsi="Tahoma" w:cs="Tahoma"/>
          <w:sz w:val="19"/>
          <w:szCs w:val="19"/>
        </w:rPr>
        <w:t>mula</w:t>
      </w:r>
      <w:r w:rsidR="009452AD">
        <w:rPr>
          <w:rFonts w:ascii="Tahoma" w:hAnsi="Tahoma" w:cs="Tahoma"/>
          <w:sz w:val="19"/>
          <w:szCs w:val="19"/>
        </w:rPr>
        <w:t>r</w:t>
      </w:r>
      <w:r w:rsidR="009452AD" w:rsidRPr="009452AD">
        <w:rPr>
          <w:rFonts w:ascii="Tahoma" w:hAnsi="Tahoma" w:cs="Tahoma"/>
          <w:sz w:val="19"/>
          <w:szCs w:val="19"/>
        </w:rPr>
        <w:t xml:space="preserve"> a consolidação de empreendimentos que conseguem superar os estágios iniciais de crescimento ou adaptar suas estratégias de inovação para se manterem competitiv</w:t>
      </w:r>
      <w:r w:rsidR="009452AD">
        <w:rPr>
          <w:rFonts w:ascii="Tahoma" w:hAnsi="Tahoma" w:cs="Tahoma"/>
          <w:sz w:val="19"/>
          <w:szCs w:val="19"/>
        </w:rPr>
        <w:t>o</w:t>
      </w:r>
      <w:r w:rsidR="009452AD" w:rsidRPr="009452AD">
        <w:rPr>
          <w:rFonts w:ascii="Tahoma" w:hAnsi="Tahoma" w:cs="Tahoma"/>
          <w:sz w:val="19"/>
          <w:szCs w:val="19"/>
        </w:rPr>
        <w:t>s nos segmentos em que atuam, gerando novas oportunidades de negócios, emprego e renda.</w:t>
      </w:r>
    </w:p>
    <w:p w14:paraId="22416617" w14:textId="77777777" w:rsidR="009452AD" w:rsidRDefault="009452AD">
      <w:pPr>
        <w:spacing w:before="120" w:after="120" w:line="360" w:lineRule="auto"/>
        <w:rPr>
          <w:rFonts w:ascii="Tahoma" w:hAnsi="Tahoma" w:cs="Tahoma"/>
          <w:sz w:val="19"/>
          <w:szCs w:val="19"/>
        </w:rPr>
      </w:pPr>
    </w:p>
    <w:p w14:paraId="131EA416" w14:textId="0C174E4F" w:rsidR="009452AD" w:rsidRPr="00BE6D01" w:rsidRDefault="009452AD" w:rsidP="009452AD">
      <w:pPr>
        <w:pStyle w:val="Ttulo3"/>
        <w:spacing w:before="120" w:after="120" w:line="360" w:lineRule="auto"/>
        <w:rPr>
          <w:rFonts w:ascii="Tahoma" w:hAnsi="Tahoma" w:cs="Tahoma"/>
          <w:color w:val="0098BA"/>
          <w:sz w:val="22"/>
          <w:szCs w:val="22"/>
        </w:rPr>
      </w:pPr>
      <w:bookmarkStart w:id="107" w:name="_Toc163025255"/>
      <w:bookmarkStart w:id="108" w:name="_Toc162512592"/>
      <w:r w:rsidRPr="00BE6D01">
        <w:rPr>
          <w:rFonts w:ascii="Tahoma" w:hAnsi="Tahoma" w:cs="Tahoma"/>
          <w:color w:val="0098BA"/>
          <w:sz w:val="22"/>
          <w:szCs w:val="22"/>
        </w:rPr>
        <w:t>Subvenção econômica a empresas</w:t>
      </w:r>
      <w:r>
        <w:rPr>
          <w:rFonts w:ascii="Tahoma" w:hAnsi="Tahoma" w:cs="Tahoma"/>
          <w:color w:val="0098BA"/>
          <w:sz w:val="22"/>
          <w:szCs w:val="22"/>
        </w:rPr>
        <w:t xml:space="preserve"> (operação descentralizada)</w:t>
      </w:r>
      <w:bookmarkEnd w:id="107"/>
      <w:bookmarkEnd w:id="108"/>
    </w:p>
    <w:p w14:paraId="5C6D0EC4" w14:textId="0B0AAB20" w:rsidR="00034781" w:rsidRDefault="00BB0E07">
      <w:pPr>
        <w:spacing w:before="120" w:after="120" w:line="360" w:lineRule="auto"/>
        <w:rPr>
          <w:rFonts w:ascii="Tahoma" w:hAnsi="Tahoma" w:cs="Tahoma"/>
          <w:sz w:val="19"/>
          <w:szCs w:val="19"/>
        </w:rPr>
      </w:pPr>
      <w:bookmarkStart w:id="109" w:name="_Hlk128371974"/>
      <w:bookmarkStart w:id="110" w:name="_Toc97244798"/>
      <w:bookmarkStart w:id="111" w:name="_Toc105003786"/>
      <w:bookmarkStart w:id="112" w:name="_Toc105006469"/>
      <w:r>
        <w:rPr>
          <w:rFonts w:ascii="Tahoma" w:hAnsi="Tahoma" w:cs="Tahoma"/>
          <w:sz w:val="19"/>
          <w:szCs w:val="19"/>
        </w:rPr>
        <w:t>Operamos o instrumento subvenção econômica de forma descentralizada por meio do Finep Tecnova e do Programa Centelha. Para essa atuação, contamos com instituições parceiras em quase todos os estados do Brasil. Estas instituições</w:t>
      </w:r>
      <w:r w:rsidR="009452AD">
        <w:rPr>
          <w:rFonts w:ascii="Tahoma" w:hAnsi="Tahoma" w:cs="Tahoma"/>
          <w:sz w:val="19"/>
          <w:szCs w:val="19"/>
        </w:rPr>
        <w:t xml:space="preserve"> são</w:t>
      </w:r>
      <w:r>
        <w:rPr>
          <w:rFonts w:ascii="Tahoma" w:hAnsi="Tahoma" w:cs="Tahoma"/>
          <w:sz w:val="19"/>
          <w:szCs w:val="19"/>
        </w:rPr>
        <w:t>, na maioria</w:t>
      </w:r>
      <w:r w:rsidR="009452AD">
        <w:rPr>
          <w:rFonts w:ascii="Tahoma" w:hAnsi="Tahoma" w:cs="Tahoma"/>
          <w:sz w:val="19"/>
          <w:szCs w:val="19"/>
        </w:rPr>
        <w:t>,</w:t>
      </w:r>
      <w:r>
        <w:rPr>
          <w:rFonts w:ascii="Tahoma" w:hAnsi="Tahoma" w:cs="Tahoma"/>
          <w:sz w:val="19"/>
          <w:szCs w:val="19"/>
        </w:rPr>
        <w:t xml:space="preserve"> Fundações de Amparo à Pesquisa</w:t>
      </w:r>
      <w:r w:rsidR="009452AD">
        <w:rPr>
          <w:rFonts w:ascii="Tahoma" w:hAnsi="Tahoma" w:cs="Tahoma"/>
          <w:sz w:val="19"/>
          <w:szCs w:val="19"/>
        </w:rPr>
        <w:t xml:space="preserve"> estaduais</w:t>
      </w:r>
      <w:r w:rsidR="006D440F">
        <w:rPr>
          <w:rFonts w:ascii="Tahoma" w:hAnsi="Tahoma" w:cs="Tahoma"/>
          <w:sz w:val="19"/>
          <w:szCs w:val="19"/>
        </w:rPr>
        <w:t xml:space="preserve"> que têm atuação nas duas iniciativas</w:t>
      </w:r>
      <w:r w:rsidR="009452AD">
        <w:rPr>
          <w:rFonts w:ascii="Tahoma" w:hAnsi="Tahoma" w:cs="Tahoma"/>
          <w:sz w:val="19"/>
          <w:szCs w:val="19"/>
        </w:rPr>
        <w:t>.</w:t>
      </w:r>
      <w:r w:rsidR="00034781" w:rsidRPr="00034781">
        <w:rPr>
          <w:rFonts w:ascii="Tahoma" w:hAnsi="Tahoma" w:cs="Tahoma"/>
          <w:sz w:val="19"/>
          <w:szCs w:val="19"/>
        </w:rPr>
        <w:t xml:space="preserve"> </w:t>
      </w:r>
      <w:r w:rsidR="00034781">
        <w:rPr>
          <w:rFonts w:ascii="Tahoma" w:hAnsi="Tahoma" w:cs="Tahoma"/>
          <w:sz w:val="19"/>
          <w:szCs w:val="19"/>
        </w:rPr>
        <w:t>que possam identificar temas de relevância para cada estado e apoiar microempresas e pequenas empresas inovadoras em seus processos de formação e crescimento</w:t>
      </w:r>
    </w:p>
    <w:p w14:paraId="4D3617D2" w14:textId="6C713468" w:rsidR="000D6D0A" w:rsidRDefault="00034781">
      <w:pPr>
        <w:spacing w:before="120" w:after="120" w:line="360" w:lineRule="auto"/>
        <w:rPr>
          <w:rFonts w:ascii="Tahoma" w:hAnsi="Tahoma" w:cs="Tahoma"/>
          <w:sz w:val="19"/>
          <w:szCs w:val="19"/>
        </w:rPr>
      </w:pPr>
      <w:r>
        <w:rPr>
          <w:rFonts w:ascii="Tahoma" w:hAnsi="Tahoma" w:cs="Tahoma"/>
          <w:sz w:val="19"/>
          <w:szCs w:val="19"/>
        </w:rPr>
        <w:t>A descentralização da operação de concessão de recursos da Subvenção econômica multiplica o alcance de nossas atividades e nos aproxima, por meio de nossas parceiras, de todas as regiões do Brasil. Como consequência, ampliamos o alcance e o impacto dos recursos da subvenção e fortalecemos os sistemas de inovação nos níveis estadual e regional.</w:t>
      </w:r>
    </w:p>
    <w:p w14:paraId="1458D55F" w14:textId="77777777" w:rsidR="00CD5F15" w:rsidRDefault="00CD5F15">
      <w:pPr>
        <w:spacing w:before="120" w:after="120" w:line="360" w:lineRule="auto"/>
        <w:rPr>
          <w:rFonts w:ascii="Tahoma" w:hAnsi="Tahoma" w:cs="Tahoma"/>
          <w:sz w:val="19"/>
          <w:szCs w:val="19"/>
        </w:rPr>
      </w:pPr>
    </w:p>
    <w:p w14:paraId="16EC999A" w14:textId="2B30B4B6" w:rsidR="00CD5F15" w:rsidRPr="00034781" w:rsidRDefault="00CD5F15" w:rsidP="00CD5F15">
      <w:pPr>
        <w:autoSpaceDE w:val="0"/>
        <w:spacing w:before="120" w:after="120" w:line="360" w:lineRule="auto"/>
        <w:rPr>
          <w:rFonts w:ascii="Tahoma" w:hAnsi="Tahoma" w:cs="Tahoma"/>
          <w:color w:val="0098BA"/>
          <w:sz w:val="19"/>
          <w:szCs w:val="19"/>
        </w:rPr>
      </w:pPr>
      <w:r w:rsidRPr="00034781">
        <w:rPr>
          <w:rFonts w:ascii="Tahoma" w:hAnsi="Tahoma" w:cs="Tahoma"/>
          <w:color w:val="0098BA"/>
          <w:sz w:val="19"/>
          <w:szCs w:val="19"/>
        </w:rPr>
        <w:t>Contratações de instituições parceiras e liberações de recursos em 202</w:t>
      </w:r>
      <w:r w:rsidR="00034781" w:rsidRPr="00034781">
        <w:rPr>
          <w:rFonts w:ascii="Tahoma" w:hAnsi="Tahoma" w:cs="Tahoma"/>
          <w:color w:val="0098BA"/>
          <w:sz w:val="19"/>
          <w:szCs w:val="19"/>
        </w:rPr>
        <w:t>3</w:t>
      </w:r>
    </w:p>
    <w:p w14:paraId="0DCD6378" w14:textId="484CB237" w:rsidR="00CD5F15" w:rsidRDefault="00166204" w:rsidP="00CD5F15">
      <w:pPr>
        <w:spacing w:before="120" w:after="120" w:line="360" w:lineRule="auto"/>
        <w:rPr>
          <w:rFonts w:ascii="Tahoma" w:hAnsi="Tahoma" w:cs="Tahoma"/>
          <w:sz w:val="19"/>
          <w:szCs w:val="19"/>
        </w:rPr>
      </w:pPr>
      <w:r>
        <w:rPr>
          <w:rFonts w:ascii="Tahoma" w:hAnsi="Tahoma" w:cs="Tahoma"/>
          <w:sz w:val="19"/>
          <w:szCs w:val="19"/>
        </w:rPr>
        <w:t>Com o Tecnova 3, e</w:t>
      </w:r>
      <w:r w:rsidR="00CD5F15">
        <w:rPr>
          <w:rFonts w:ascii="Tahoma" w:hAnsi="Tahoma" w:cs="Tahoma"/>
          <w:sz w:val="19"/>
          <w:szCs w:val="19"/>
        </w:rPr>
        <w:t>m 202</w:t>
      </w:r>
      <w:r>
        <w:rPr>
          <w:rFonts w:ascii="Tahoma" w:hAnsi="Tahoma" w:cs="Tahoma"/>
          <w:sz w:val="19"/>
          <w:szCs w:val="19"/>
        </w:rPr>
        <w:t xml:space="preserve">3 retomamos mais um ciclo de contratação de instituições parceiras para a operação da subvenção descentralizada. Dos 23 contratos firmados, 22 originaram-se da carta-convite do Tecnova 3 e um contrato </w:t>
      </w:r>
      <w:r w:rsidR="000F617F">
        <w:rPr>
          <w:rFonts w:ascii="Tahoma" w:hAnsi="Tahoma" w:cs="Tahoma"/>
          <w:sz w:val="19"/>
          <w:szCs w:val="19"/>
        </w:rPr>
        <w:t>do Centelha 2 no Rio de Janeiro</w:t>
      </w:r>
      <w:r>
        <w:rPr>
          <w:rFonts w:ascii="Tahoma" w:hAnsi="Tahoma" w:cs="Tahoma"/>
          <w:sz w:val="19"/>
          <w:szCs w:val="19"/>
        </w:rPr>
        <w:t xml:space="preserve">. As instituições parceiras </w:t>
      </w:r>
      <w:r w:rsidR="000F617F">
        <w:rPr>
          <w:rFonts w:ascii="Tahoma" w:hAnsi="Tahoma" w:cs="Tahoma"/>
          <w:sz w:val="19"/>
          <w:szCs w:val="19"/>
        </w:rPr>
        <w:t xml:space="preserve">contratadas </w:t>
      </w:r>
      <w:r>
        <w:rPr>
          <w:rFonts w:ascii="Tahoma" w:hAnsi="Tahoma" w:cs="Tahoma"/>
          <w:sz w:val="19"/>
          <w:szCs w:val="19"/>
        </w:rPr>
        <w:t>estão distribuídas pelas cinco regiões do país</w:t>
      </w:r>
      <w:r w:rsidR="000F617F">
        <w:rPr>
          <w:rFonts w:ascii="Tahoma" w:hAnsi="Tahoma" w:cs="Tahoma"/>
          <w:sz w:val="19"/>
          <w:szCs w:val="19"/>
        </w:rPr>
        <w:t>, com a região nordeste</w:t>
      </w:r>
      <w:r w:rsidR="000C654C">
        <w:rPr>
          <w:rFonts w:ascii="Tahoma" w:hAnsi="Tahoma" w:cs="Tahoma"/>
          <w:sz w:val="19"/>
          <w:szCs w:val="19"/>
        </w:rPr>
        <w:t xml:space="preserve"> despontando com o maior número de projetos e o maior valor</w:t>
      </w:r>
      <w:r w:rsidR="00E254A5">
        <w:rPr>
          <w:rFonts w:ascii="Tahoma" w:hAnsi="Tahoma" w:cs="Tahoma"/>
          <w:sz w:val="19"/>
          <w:szCs w:val="19"/>
        </w:rPr>
        <w:t xml:space="preserve"> contratado.</w:t>
      </w:r>
    </w:p>
    <w:p w14:paraId="55A47E71" w14:textId="77777777" w:rsidR="00CD5F15" w:rsidRDefault="00CD5F15" w:rsidP="00CD5F15">
      <w:pPr>
        <w:spacing w:before="120" w:after="120" w:line="360" w:lineRule="auto"/>
        <w:rPr>
          <w:rFonts w:ascii="Tahoma" w:hAnsi="Tahoma" w:cs="Tahoma"/>
          <w:sz w:val="19"/>
          <w:szCs w:val="19"/>
        </w:rPr>
      </w:pPr>
    </w:p>
    <w:p w14:paraId="0DEC1C9A" w14:textId="34273BD8" w:rsidR="004578C7" w:rsidRDefault="004578C7" w:rsidP="004578C7">
      <w:pPr>
        <w:spacing w:before="120" w:after="120" w:line="360" w:lineRule="auto"/>
        <w:rPr>
          <w:rFonts w:ascii="Tahoma" w:eastAsiaTheme="minorHAnsi" w:hAnsi="Tahoma" w:cs="Tahoma"/>
          <w:color w:val="0098BA"/>
          <w:sz w:val="19"/>
          <w:szCs w:val="19"/>
          <w:lang w:eastAsia="en-US"/>
        </w:rPr>
      </w:pPr>
      <w:r>
        <w:rPr>
          <w:rFonts w:ascii="Tahoma" w:eastAsiaTheme="minorHAnsi" w:hAnsi="Tahoma" w:cs="Tahoma"/>
          <w:color w:val="0098BA"/>
          <w:sz w:val="19"/>
          <w:szCs w:val="19"/>
          <w:lang w:eastAsia="en-US"/>
        </w:rPr>
        <w:lastRenderedPageBreak/>
        <w:t>Aç</w:t>
      </w:r>
      <w:r w:rsidR="009B52B7">
        <w:rPr>
          <w:rFonts w:ascii="Tahoma" w:eastAsiaTheme="minorHAnsi" w:hAnsi="Tahoma" w:cs="Tahoma"/>
          <w:color w:val="0098BA"/>
          <w:sz w:val="19"/>
          <w:szCs w:val="19"/>
          <w:lang w:eastAsia="en-US"/>
        </w:rPr>
        <w:t>ão</w:t>
      </w:r>
      <w:r>
        <w:rPr>
          <w:rFonts w:ascii="Tahoma" w:eastAsiaTheme="minorHAnsi" w:hAnsi="Tahoma" w:cs="Tahoma"/>
          <w:color w:val="0098BA"/>
          <w:sz w:val="19"/>
          <w:szCs w:val="19"/>
          <w:lang w:eastAsia="en-US"/>
        </w:rPr>
        <w:t xml:space="preserve"> em destaque</w:t>
      </w:r>
    </w:p>
    <w:p w14:paraId="7249C305" w14:textId="6C089B17" w:rsidR="00D5704E" w:rsidRPr="004578C7" w:rsidRDefault="004A51D3" w:rsidP="004578C7">
      <w:pPr>
        <w:pStyle w:val="PargrafodaLista"/>
        <w:numPr>
          <w:ilvl w:val="0"/>
          <w:numId w:val="35"/>
        </w:numPr>
        <w:spacing w:before="120" w:after="120" w:line="360" w:lineRule="auto"/>
        <w:rPr>
          <w:rFonts w:ascii="Tahoma" w:hAnsi="Tahoma" w:cs="Tahoma"/>
          <w:sz w:val="19"/>
          <w:szCs w:val="19"/>
        </w:rPr>
      </w:pPr>
      <w:r>
        <w:rPr>
          <w:rFonts w:ascii="Tahoma" w:hAnsi="Tahoma" w:cs="Tahoma"/>
          <w:sz w:val="19"/>
          <w:szCs w:val="19"/>
        </w:rPr>
        <w:t xml:space="preserve">Finep </w:t>
      </w:r>
      <w:r w:rsidR="00D5704E" w:rsidRPr="004578C7">
        <w:rPr>
          <w:rFonts w:ascii="Tahoma" w:hAnsi="Tahoma" w:cs="Tahoma"/>
          <w:sz w:val="19"/>
          <w:szCs w:val="19"/>
        </w:rPr>
        <w:t>T</w:t>
      </w:r>
      <w:r w:rsidR="004578C7">
        <w:rPr>
          <w:rFonts w:ascii="Tahoma" w:hAnsi="Tahoma" w:cs="Tahoma"/>
          <w:sz w:val="19"/>
          <w:szCs w:val="19"/>
        </w:rPr>
        <w:t>ecnova</w:t>
      </w:r>
      <w:r w:rsidR="00D5704E" w:rsidRPr="004578C7">
        <w:rPr>
          <w:rFonts w:ascii="Tahoma" w:hAnsi="Tahoma" w:cs="Tahoma"/>
          <w:sz w:val="19"/>
          <w:szCs w:val="19"/>
        </w:rPr>
        <w:t xml:space="preserve"> </w:t>
      </w:r>
      <w:r w:rsidR="00EB1946">
        <w:rPr>
          <w:rFonts w:ascii="Tahoma" w:hAnsi="Tahoma" w:cs="Tahoma"/>
          <w:sz w:val="19"/>
          <w:szCs w:val="19"/>
        </w:rPr>
        <w:t>3</w:t>
      </w:r>
    </w:p>
    <w:p w14:paraId="707E67E2" w14:textId="65171DE5" w:rsidR="004A51D3" w:rsidRDefault="004A51D3" w:rsidP="004A51D3">
      <w:pPr>
        <w:spacing w:before="120" w:after="120" w:line="360" w:lineRule="auto"/>
        <w:rPr>
          <w:rFonts w:ascii="Tahoma" w:hAnsi="Tahoma" w:cs="Tahoma"/>
          <w:sz w:val="19"/>
          <w:szCs w:val="19"/>
        </w:rPr>
      </w:pPr>
      <w:r>
        <w:rPr>
          <w:rFonts w:ascii="Tahoma" w:hAnsi="Tahoma" w:cs="Tahoma"/>
          <w:sz w:val="19"/>
          <w:szCs w:val="19"/>
        </w:rPr>
        <w:t xml:space="preserve">O </w:t>
      </w:r>
      <w:hyperlink r:id="rId159" w:history="1">
        <w:r w:rsidRPr="00CD5F15">
          <w:rPr>
            <w:rStyle w:val="Hyperlink"/>
            <w:rFonts w:ascii="Tahoma" w:hAnsi="Tahoma" w:cs="Tahoma"/>
            <w:sz w:val="19"/>
            <w:szCs w:val="19"/>
          </w:rPr>
          <w:t>Finep Tecnova</w:t>
        </w:r>
      </w:hyperlink>
      <w:r>
        <w:rPr>
          <w:rFonts w:ascii="Tahoma" w:hAnsi="Tahoma" w:cs="Tahoma"/>
          <w:sz w:val="19"/>
          <w:szCs w:val="19"/>
        </w:rPr>
        <w:t xml:space="preserve"> busca criar condições financeiras favoráveis para a inovação, através da concessão de recursos de subvenção econômica para micro</w:t>
      </w:r>
      <w:r w:rsidR="00E83FDC">
        <w:rPr>
          <w:rFonts w:ascii="Tahoma" w:hAnsi="Tahoma" w:cs="Tahoma"/>
          <w:sz w:val="19"/>
          <w:szCs w:val="19"/>
        </w:rPr>
        <w:t xml:space="preserve"> empresas, empresas de pequeno porte e </w:t>
      </w:r>
      <w:r>
        <w:rPr>
          <w:rFonts w:ascii="Tahoma" w:hAnsi="Tahoma" w:cs="Tahoma"/>
          <w:sz w:val="19"/>
          <w:szCs w:val="19"/>
        </w:rPr>
        <w:t>pequenas empresas selecionadas</w:t>
      </w:r>
      <w:r w:rsidR="00E83FDC">
        <w:rPr>
          <w:rFonts w:ascii="Tahoma" w:hAnsi="Tahoma" w:cs="Tahoma"/>
          <w:sz w:val="19"/>
          <w:szCs w:val="19"/>
        </w:rPr>
        <w:t xml:space="preserve"> em chamadas públicas lançadas pelas instituições parceiras do programa.</w:t>
      </w:r>
    </w:p>
    <w:p w14:paraId="3C643F44" w14:textId="486A4297" w:rsidR="004A51D3" w:rsidRDefault="004A51D3" w:rsidP="004A51D3">
      <w:pPr>
        <w:spacing w:before="120" w:after="120" w:line="360" w:lineRule="auto"/>
        <w:rPr>
          <w:rFonts w:ascii="Tahoma" w:hAnsi="Tahoma" w:cs="Tahoma"/>
          <w:sz w:val="19"/>
          <w:szCs w:val="19"/>
        </w:rPr>
      </w:pPr>
      <w:r>
        <w:rPr>
          <w:rFonts w:ascii="Tahoma" w:hAnsi="Tahoma" w:cs="Tahoma"/>
          <w:sz w:val="19"/>
          <w:szCs w:val="19"/>
        </w:rPr>
        <w:t xml:space="preserve">Contando com duas edições, cujos ciclos de contratação de instituições parceiras se iniciaram, respectivamente, em 2013 e 2019, o Finep Tecnova </w:t>
      </w:r>
      <w:r w:rsidR="00E83FDC">
        <w:rPr>
          <w:rFonts w:ascii="Tahoma" w:hAnsi="Tahoma" w:cs="Tahoma"/>
          <w:sz w:val="19"/>
          <w:szCs w:val="19"/>
        </w:rPr>
        <w:t>está</w:t>
      </w:r>
      <w:r>
        <w:rPr>
          <w:rFonts w:ascii="Tahoma" w:hAnsi="Tahoma" w:cs="Tahoma"/>
          <w:sz w:val="19"/>
          <w:szCs w:val="19"/>
        </w:rPr>
        <w:t xml:space="preserve"> em sua terceira edição. A </w:t>
      </w:r>
      <w:hyperlink r:id="rId160" w:history="1">
        <w:r w:rsidRPr="00E83FDC">
          <w:rPr>
            <w:rStyle w:val="Hyperlink"/>
            <w:rFonts w:ascii="Tahoma" w:hAnsi="Tahoma" w:cs="Tahoma"/>
            <w:sz w:val="19"/>
            <w:szCs w:val="19"/>
          </w:rPr>
          <w:t>carta-convite</w:t>
        </w:r>
      </w:hyperlink>
      <w:r>
        <w:rPr>
          <w:rFonts w:ascii="Tahoma" w:hAnsi="Tahoma" w:cs="Tahoma"/>
          <w:sz w:val="19"/>
          <w:szCs w:val="19"/>
        </w:rPr>
        <w:t xml:space="preserve"> destinada à seleção de instituições parceiras operacionais </w:t>
      </w:r>
      <w:r w:rsidR="00FF2681">
        <w:rPr>
          <w:rFonts w:ascii="Tahoma" w:hAnsi="Tahoma" w:cs="Tahoma"/>
          <w:sz w:val="19"/>
          <w:szCs w:val="19"/>
        </w:rPr>
        <w:t>nos estados</w:t>
      </w:r>
      <w:r>
        <w:rPr>
          <w:rFonts w:ascii="Tahoma" w:hAnsi="Tahoma" w:cs="Tahoma"/>
          <w:sz w:val="19"/>
          <w:szCs w:val="19"/>
        </w:rPr>
        <w:t xml:space="preserve"> da federação foi lançada em novembro de 2022. Além d</w:t>
      </w:r>
      <w:r w:rsidR="00FF2681">
        <w:rPr>
          <w:rFonts w:ascii="Tahoma" w:hAnsi="Tahoma" w:cs="Tahoma"/>
          <w:sz w:val="19"/>
          <w:szCs w:val="19"/>
        </w:rPr>
        <w:t xml:space="preserve">e concretizar a manutenção do programa, </w:t>
      </w:r>
      <w:r>
        <w:rPr>
          <w:rFonts w:ascii="Tahoma" w:hAnsi="Tahoma" w:cs="Tahoma"/>
          <w:sz w:val="19"/>
          <w:szCs w:val="19"/>
        </w:rPr>
        <w:t>esta edição traz aperfeiçoamentos como a inclusão do apoio à aceleração e à internacionalização das empresas.</w:t>
      </w:r>
    </w:p>
    <w:p w14:paraId="24D28A92" w14:textId="15D6230C" w:rsidR="00D5704E" w:rsidRPr="00FF2681" w:rsidRDefault="00D5704E" w:rsidP="000D24A7">
      <w:pPr>
        <w:spacing w:before="120" w:after="120" w:line="360" w:lineRule="auto"/>
        <w:rPr>
          <w:rFonts w:ascii="Tahoma" w:hAnsi="Tahoma" w:cs="Tahoma"/>
          <w:sz w:val="19"/>
          <w:szCs w:val="19"/>
        </w:rPr>
      </w:pPr>
      <w:r w:rsidRPr="00FF2681">
        <w:rPr>
          <w:rFonts w:ascii="Tahoma" w:hAnsi="Tahoma" w:cs="Tahoma"/>
          <w:sz w:val="19"/>
          <w:szCs w:val="19"/>
        </w:rPr>
        <w:t xml:space="preserve">O objetivo do </w:t>
      </w:r>
      <w:r w:rsidR="00FF2681">
        <w:rPr>
          <w:rFonts w:ascii="Tahoma" w:hAnsi="Tahoma" w:cs="Tahoma"/>
          <w:sz w:val="19"/>
          <w:szCs w:val="19"/>
        </w:rPr>
        <w:t>p</w:t>
      </w:r>
      <w:r w:rsidRPr="00FF2681">
        <w:rPr>
          <w:rFonts w:ascii="Tahoma" w:hAnsi="Tahoma" w:cs="Tahoma"/>
          <w:sz w:val="19"/>
          <w:szCs w:val="19"/>
        </w:rPr>
        <w:t>rograma é promover, com recursos de subvenção econômica, o crescimento rápido de um conjunto significativo de empresas brasileiras de micro e pequeno porte (</w:t>
      </w:r>
      <w:r w:rsidR="00FF2681" w:rsidRPr="00FF2681">
        <w:rPr>
          <w:rFonts w:ascii="Tahoma" w:hAnsi="Tahoma" w:cs="Tahoma"/>
          <w:sz w:val="19"/>
          <w:szCs w:val="19"/>
        </w:rPr>
        <w:t xml:space="preserve">Receita Operacional Bruta no último ano </w:t>
      </w:r>
      <w:r w:rsidRPr="00FF2681">
        <w:rPr>
          <w:rFonts w:ascii="Tahoma" w:hAnsi="Tahoma" w:cs="Tahoma"/>
          <w:sz w:val="19"/>
          <w:szCs w:val="19"/>
        </w:rPr>
        <w:t xml:space="preserve">de até R$ 16 milhões), através do apoio </w:t>
      </w:r>
      <w:r w:rsidR="00FF2681">
        <w:rPr>
          <w:rFonts w:ascii="Tahoma" w:hAnsi="Tahoma" w:cs="Tahoma"/>
          <w:sz w:val="19"/>
          <w:szCs w:val="19"/>
        </w:rPr>
        <w:t>para o desenvolvimento de produtos, processos e serviços inovadores</w:t>
      </w:r>
      <w:r w:rsidRPr="00FF2681">
        <w:rPr>
          <w:rFonts w:ascii="Tahoma" w:hAnsi="Tahoma" w:cs="Tahoma"/>
          <w:sz w:val="19"/>
          <w:szCs w:val="19"/>
        </w:rPr>
        <w:t xml:space="preserve">. A descentralização das operações </w:t>
      </w:r>
      <w:r w:rsidR="00FF2681" w:rsidRPr="00FF2681">
        <w:rPr>
          <w:rFonts w:ascii="Tahoma" w:hAnsi="Tahoma" w:cs="Tahoma"/>
          <w:sz w:val="19"/>
          <w:szCs w:val="19"/>
        </w:rPr>
        <w:t>proposta na carta-convite</w:t>
      </w:r>
      <w:r w:rsidRPr="00FF2681">
        <w:rPr>
          <w:rFonts w:ascii="Tahoma" w:hAnsi="Tahoma" w:cs="Tahoma"/>
          <w:sz w:val="19"/>
          <w:szCs w:val="19"/>
        </w:rPr>
        <w:t xml:space="preserve"> visa à formação de redes de agentes de fomento estaduais com a participação das Fundações de Amparo à Pesquisa (FAPs), fortalecendo assim todo o Sistema Nacional de Inovação e promovendo uma maior capilaridade da ação da Finep.</w:t>
      </w:r>
      <w:r w:rsidR="000D24A7">
        <w:rPr>
          <w:rFonts w:ascii="Tahoma" w:hAnsi="Tahoma" w:cs="Tahoma"/>
          <w:sz w:val="19"/>
          <w:szCs w:val="19"/>
        </w:rPr>
        <w:t xml:space="preserve"> As instituições parceiras poderão contar com o apoio de até R$ 1 milhão em recursos não reembolsáveis por estado para </w:t>
      </w:r>
      <w:r w:rsidR="000D24A7" w:rsidRPr="000D24A7">
        <w:rPr>
          <w:rFonts w:ascii="Tahoma" w:hAnsi="Tahoma" w:cs="Tahoma"/>
          <w:sz w:val="19"/>
          <w:szCs w:val="19"/>
        </w:rPr>
        <w:t>custear</w:t>
      </w:r>
      <w:r w:rsidR="000D24A7">
        <w:rPr>
          <w:rFonts w:ascii="Tahoma" w:hAnsi="Tahoma" w:cs="Tahoma"/>
          <w:sz w:val="19"/>
          <w:szCs w:val="19"/>
        </w:rPr>
        <w:t xml:space="preserve"> </w:t>
      </w:r>
      <w:r w:rsidR="000D24A7" w:rsidRPr="000D24A7">
        <w:rPr>
          <w:rFonts w:ascii="Tahoma" w:hAnsi="Tahoma" w:cs="Tahoma"/>
          <w:sz w:val="19"/>
          <w:szCs w:val="19"/>
        </w:rPr>
        <w:t xml:space="preserve">as despesas relacionadas à operacionalização do </w:t>
      </w:r>
      <w:r w:rsidR="000D24A7">
        <w:rPr>
          <w:rFonts w:ascii="Tahoma" w:hAnsi="Tahoma" w:cs="Tahoma"/>
          <w:sz w:val="19"/>
          <w:szCs w:val="19"/>
        </w:rPr>
        <w:t>programa.</w:t>
      </w:r>
    </w:p>
    <w:p w14:paraId="3C1ABA09" w14:textId="73669B32" w:rsidR="00D5704E" w:rsidRPr="00FF2681" w:rsidRDefault="00D5704E" w:rsidP="00FF2681">
      <w:pPr>
        <w:spacing w:before="120" w:after="120" w:line="360" w:lineRule="auto"/>
        <w:rPr>
          <w:rFonts w:ascii="Tahoma" w:hAnsi="Tahoma" w:cs="Tahoma"/>
          <w:sz w:val="19"/>
          <w:szCs w:val="19"/>
        </w:rPr>
      </w:pPr>
      <w:r w:rsidRPr="00FF2681">
        <w:rPr>
          <w:rFonts w:ascii="Tahoma" w:hAnsi="Tahoma" w:cs="Tahoma"/>
          <w:sz w:val="19"/>
          <w:szCs w:val="19"/>
        </w:rPr>
        <w:t>Serão concedidos às empresas</w:t>
      </w:r>
      <w:r w:rsidR="00FF2681">
        <w:rPr>
          <w:rFonts w:ascii="Tahoma" w:hAnsi="Tahoma" w:cs="Tahoma"/>
          <w:sz w:val="19"/>
          <w:szCs w:val="19"/>
        </w:rPr>
        <w:t xml:space="preserve"> selecionadas</w:t>
      </w:r>
      <w:r w:rsidRPr="00FF2681">
        <w:rPr>
          <w:rFonts w:ascii="Tahoma" w:hAnsi="Tahoma" w:cs="Tahoma"/>
          <w:sz w:val="19"/>
          <w:szCs w:val="19"/>
        </w:rPr>
        <w:t xml:space="preserve"> </w:t>
      </w:r>
      <w:r w:rsidR="00FF2681">
        <w:rPr>
          <w:rFonts w:ascii="Tahoma" w:hAnsi="Tahoma" w:cs="Tahoma"/>
          <w:sz w:val="19"/>
          <w:szCs w:val="19"/>
        </w:rPr>
        <w:t>de</w:t>
      </w:r>
      <w:r w:rsidRPr="00FF2681">
        <w:rPr>
          <w:rFonts w:ascii="Tahoma" w:hAnsi="Tahoma" w:cs="Tahoma"/>
          <w:sz w:val="19"/>
          <w:szCs w:val="19"/>
        </w:rPr>
        <w:t xml:space="preserve"> R$ 250 mil à R$ 400 mil em recursos </w:t>
      </w:r>
      <w:r w:rsidR="00FF2681">
        <w:rPr>
          <w:rFonts w:ascii="Tahoma" w:hAnsi="Tahoma" w:cs="Tahoma"/>
          <w:sz w:val="19"/>
          <w:szCs w:val="19"/>
        </w:rPr>
        <w:t>d</w:t>
      </w:r>
      <w:r w:rsidR="000D24A7">
        <w:rPr>
          <w:rFonts w:ascii="Tahoma" w:hAnsi="Tahoma" w:cs="Tahoma"/>
          <w:sz w:val="19"/>
          <w:szCs w:val="19"/>
        </w:rPr>
        <w:t>e subvenção econômica (</w:t>
      </w:r>
      <w:r w:rsidRPr="00FF2681">
        <w:rPr>
          <w:rFonts w:ascii="Tahoma" w:hAnsi="Tahoma" w:cs="Tahoma"/>
          <w:sz w:val="19"/>
          <w:szCs w:val="19"/>
        </w:rPr>
        <w:t>FNDCT</w:t>
      </w:r>
      <w:r w:rsidR="000D24A7">
        <w:rPr>
          <w:rFonts w:ascii="Tahoma" w:hAnsi="Tahoma" w:cs="Tahoma"/>
          <w:sz w:val="19"/>
          <w:szCs w:val="19"/>
        </w:rPr>
        <w:t>)</w:t>
      </w:r>
      <w:r w:rsidR="00FF2681">
        <w:rPr>
          <w:rFonts w:ascii="Tahoma" w:hAnsi="Tahoma" w:cs="Tahoma"/>
          <w:sz w:val="19"/>
          <w:szCs w:val="19"/>
        </w:rPr>
        <w:t>, complementados por</w:t>
      </w:r>
      <w:r w:rsidRPr="00FF2681">
        <w:rPr>
          <w:rFonts w:ascii="Tahoma" w:hAnsi="Tahoma" w:cs="Tahoma"/>
          <w:sz w:val="19"/>
          <w:szCs w:val="19"/>
        </w:rPr>
        <w:t xml:space="preserve"> recursos oriundos dos </w:t>
      </w:r>
      <w:r w:rsidR="00FF2681">
        <w:rPr>
          <w:rFonts w:ascii="Tahoma" w:hAnsi="Tahoma" w:cs="Tahoma"/>
          <w:sz w:val="19"/>
          <w:szCs w:val="19"/>
        </w:rPr>
        <w:t>e</w:t>
      </w:r>
      <w:r w:rsidRPr="00FF2681">
        <w:rPr>
          <w:rFonts w:ascii="Tahoma" w:hAnsi="Tahoma" w:cs="Tahoma"/>
          <w:sz w:val="19"/>
          <w:szCs w:val="19"/>
        </w:rPr>
        <w:t>stados, a serem aportados pel</w:t>
      </w:r>
      <w:r w:rsidR="00FF2681">
        <w:rPr>
          <w:rFonts w:ascii="Tahoma" w:hAnsi="Tahoma" w:cs="Tahoma"/>
          <w:sz w:val="19"/>
          <w:szCs w:val="19"/>
        </w:rPr>
        <w:t xml:space="preserve">as instituições </w:t>
      </w:r>
      <w:r w:rsidRPr="00FF2681">
        <w:rPr>
          <w:rFonts w:ascii="Tahoma" w:hAnsi="Tahoma" w:cs="Tahoma"/>
          <w:sz w:val="19"/>
          <w:szCs w:val="19"/>
        </w:rPr>
        <w:t>parceir</w:t>
      </w:r>
      <w:r w:rsidR="00FF2681">
        <w:rPr>
          <w:rFonts w:ascii="Tahoma" w:hAnsi="Tahoma" w:cs="Tahoma"/>
          <w:sz w:val="19"/>
          <w:szCs w:val="19"/>
        </w:rPr>
        <w:t>a</w:t>
      </w:r>
      <w:r w:rsidRPr="00FF2681">
        <w:rPr>
          <w:rFonts w:ascii="Tahoma" w:hAnsi="Tahoma" w:cs="Tahoma"/>
          <w:sz w:val="19"/>
          <w:szCs w:val="19"/>
        </w:rPr>
        <w:t xml:space="preserve">s. Às empresas apoiadas caberá aportar contrapartida financeira equivalente a 5% do valor recebido como Subvenção Econômica. Além disso, </w:t>
      </w:r>
      <w:r w:rsidR="00EB1946">
        <w:rPr>
          <w:rFonts w:ascii="Tahoma" w:hAnsi="Tahoma" w:cs="Tahoma"/>
          <w:sz w:val="19"/>
          <w:szCs w:val="19"/>
        </w:rPr>
        <w:t>n</w:t>
      </w:r>
      <w:r w:rsidRPr="00FF2681">
        <w:rPr>
          <w:rFonts w:ascii="Tahoma" w:hAnsi="Tahoma" w:cs="Tahoma"/>
          <w:sz w:val="19"/>
          <w:szCs w:val="19"/>
        </w:rPr>
        <w:t xml:space="preserve">o Tecnova </w:t>
      </w:r>
      <w:r w:rsidR="00EB1946">
        <w:rPr>
          <w:rFonts w:ascii="Tahoma" w:hAnsi="Tahoma" w:cs="Tahoma"/>
          <w:sz w:val="19"/>
          <w:szCs w:val="19"/>
        </w:rPr>
        <w:t>3</w:t>
      </w:r>
      <w:r w:rsidR="000D24A7">
        <w:rPr>
          <w:rFonts w:ascii="Tahoma" w:hAnsi="Tahoma" w:cs="Tahoma"/>
          <w:sz w:val="19"/>
          <w:szCs w:val="19"/>
        </w:rPr>
        <w:t xml:space="preserve"> os recursos da subvenção poderão ser concedidos para a </w:t>
      </w:r>
      <w:r w:rsidR="000D24A7" w:rsidRPr="00FF2681">
        <w:rPr>
          <w:rFonts w:ascii="Tahoma" w:hAnsi="Tahoma" w:cs="Tahoma"/>
          <w:sz w:val="19"/>
          <w:szCs w:val="19"/>
        </w:rPr>
        <w:t xml:space="preserve">aceleração das empresas </w:t>
      </w:r>
      <w:r w:rsidR="000D24A7">
        <w:rPr>
          <w:rFonts w:ascii="Tahoma" w:hAnsi="Tahoma" w:cs="Tahoma"/>
          <w:sz w:val="19"/>
          <w:szCs w:val="19"/>
        </w:rPr>
        <w:t>(</w:t>
      </w:r>
      <w:r w:rsidRPr="00FF2681">
        <w:rPr>
          <w:rFonts w:ascii="Tahoma" w:hAnsi="Tahoma" w:cs="Tahoma"/>
          <w:sz w:val="19"/>
          <w:szCs w:val="19"/>
        </w:rPr>
        <w:t>até R$ 50 milhões</w:t>
      </w:r>
      <w:r w:rsidR="000D24A7">
        <w:rPr>
          <w:rFonts w:ascii="Tahoma" w:hAnsi="Tahoma" w:cs="Tahoma"/>
          <w:sz w:val="19"/>
          <w:szCs w:val="19"/>
        </w:rPr>
        <w:t>) e</w:t>
      </w:r>
      <w:r w:rsidRPr="00FF2681">
        <w:rPr>
          <w:rFonts w:ascii="Tahoma" w:hAnsi="Tahoma" w:cs="Tahoma"/>
          <w:sz w:val="19"/>
          <w:szCs w:val="19"/>
        </w:rPr>
        <w:t xml:space="preserve"> </w:t>
      </w:r>
      <w:r w:rsidR="000D24A7" w:rsidRPr="00FF2681">
        <w:rPr>
          <w:rFonts w:ascii="Tahoma" w:hAnsi="Tahoma" w:cs="Tahoma"/>
          <w:sz w:val="19"/>
          <w:szCs w:val="19"/>
        </w:rPr>
        <w:t xml:space="preserve">para a internacionalização das empresas </w:t>
      </w:r>
      <w:r w:rsidR="000D24A7">
        <w:rPr>
          <w:rFonts w:ascii="Tahoma" w:hAnsi="Tahoma" w:cs="Tahoma"/>
          <w:sz w:val="19"/>
          <w:szCs w:val="19"/>
        </w:rPr>
        <w:t>(até</w:t>
      </w:r>
      <w:r w:rsidRPr="00FF2681">
        <w:rPr>
          <w:rFonts w:ascii="Tahoma" w:hAnsi="Tahoma" w:cs="Tahoma"/>
          <w:sz w:val="19"/>
          <w:szCs w:val="19"/>
        </w:rPr>
        <w:t xml:space="preserve"> R$ 13 milhões</w:t>
      </w:r>
      <w:r w:rsidR="000D24A7">
        <w:rPr>
          <w:rFonts w:ascii="Tahoma" w:hAnsi="Tahoma" w:cs="Tahoma"/>
          <w:sz w:val="19"/>
          <w:szCs w:val="19"/>
        </w:rPr>
        <w:t>)</w:t>
      </w:r>
      <w:r w:rsidRPr="00FF2681">
        <w:rPr>
          <w:rFonts w:ascii="Tahoma" w:hAnsi="Tahoma" w:cs="Tahoma"/>
          <w:sz w:val="19"/>
          <w:szCs w:val="19"/>
        </w:rPr>
        <w:t>.</w:t>
      </w:r>
    </w:p>
    <w:p w14:paraId="685FD18B" w14:textId="1BE80A24" w:rsidR="00D5704E" w:rsidRPr="009417EC" w:rsidRDefault="00D5704E" w:rsidP="004A51D3">
      <w:pPr>
        <w:spacing w:before="120" w:after="120" w:line="360" w:lineRule="auto"/>
        <w:rPr>
          <w:rFonts w:ascii="Tahoma" w:hAnsi="Tahoma" w:cs="Tahoma"/>
          <w:sz w:val="19"/>
          <w:szCs w:val="19"/>
        </w:rPr>
      </w:pPr>
      <w:r w:rsidRPr="004A51D3">
        <w:rPr>
          <w:rFonts w:ascii="Tahoma" w:hAnsi="Tahoma" w:cs="Tahoma"/>
          <w:sz w:val="19"/>
          <w:szCs w:val="19"/>
        </w:rPr>
        <w:t xml:space="preserve">O resultado da carta-convite foi divulgado em </w:t>
      </w:r>
      <w:r w:rsidR="000D24A7">
        <w:rPr>
          <w:rFonts w:ascii="Tahoma" w:hAnsi="Tahoma" w:cs="Tahoma"/>
          <w:sz w:val="19"/>
          <w:szCs w:val="19"/>
        </w:rPr>
        <w:t xml:space="preserve">junho de </w:t>
      </w:r>
      <w:r w:rsidRPr="004A51D3">
        <w:rPr>
          <w:rFonts w:ascii="Tahoma" w:hAnsi="Tahoma" w:cs="Tahoma"/>
          <w:sz w:val="19"/>
          <w:szCs w:val="19"/>
        </w:rPr>
        <w:t xml:space="preserve">2023 com </w:t>
      </w:r>
      <w:r w:rsidR="000F617F">
        <w:rPr>
          <w:rFonts w:ascii="Tahoma" w:hAnsi="Tahoma" w:cs="Tahoma"/>
          <w:sz w:val="19"/>
          <w:szCs w:val="19"/>
        </w:rPr>
        <w:t xml:space="preserve">as propostas de </w:t>
      </w:r>
      <w:r w:rsidRPr="004A51D3">
        <w:rPr>
          <w:rFonts w:ascii="Tahoma" w:hAnsi="Tahoma" w:cs="Tahoma"/>
          <w:sz w:val="19"/>
          <w:szCs w:val="19"/>
        </w:rPr>
        <w:t xml:space="preserve">25 estados </w:t>
      </w:r>
      <w:r w:rsidR="000F617F">
        <w:rPr>
          <w:rFonts w:ascii="Tahoma" w:hAnsi="Tahoma" w:cs="Tahoma"/>
          <w:sz w:val="19"/>
          <w:szCs w:val="19"/>
        </w:rPr>
        <w:t>aprovadas</w:t>
      </w:r>
      <w:r w:rsidRPr="004A51D3">
        <w:rPr>
          <w:rFonts w:ascii="Tahoma" w:hAnsi="Tahoma" w:cs="Tahoma"/>
          <w:sz w:val="19"/>
          <w:szCs w:val="19"/>
        </w:rPr>
        <w:t xml:space="preserve"> para a operação do programa</w:t>
      </w:r>
      <w:r w:rsidR="000D24A7">
        <w:rPr>
          <w:rFonts w:ascii="Tahoma" w:hAnsi="Tahoma" w:cs="Tahoma"/>
          <w:sz w:val="19"/>
          <w:szCs w:val="19"/>
        </w:rPr>
        <w:t>,</w:t>
      </w:r>
      <w:r w:rsidRPr="004A51D3">
        <w:rPr>
          <w:rFonts w:ascii="Tahoma" w:hAnsi="Tahoma" w:cs="Tahoma"/>
          <w:sz w:val="19"/>
          <w:szCs w:val="19"/>
        </w:rPr>
        <w:t xml:space="preserve"> no </w:t>
      </w:r>
      <w:r w:rsidR="000F617F">
        <w:rPr>
          <w:rFonts w:ascii="Tahoma" w:hAnsi="Tahoma" w:cs="Tahoma"/>
          <w:sz w:val="19"/>
          <w:szCs w:val="19"/>
        </w:rPr>
        <w:t xml:space="preserve">valor </w:t>
      </w:r>
      <w:r w:rsidRPr="004A51D3">
        <w:rPr>
          <w:rFonts w:ascii="Tahoma" w:hAnsi="Tahoma" w:cs="Tahoma"/>
          <w:sz w:val="19"/>
          <w:szCs w:val="19"/>
        </w:rPr>
        <w:t>total de R$ 296.496.</w:t>
      </w:r>
      <w:r w:rsidRPr="009417EC">
        <w:rPr>
          <w:rFonts w:ascii="Tahoma" w:hAnsi="Tahoma" w:cs="Tahoma"/>
          <w:sz w:val="19"/>
          <w:szCs w:val="19"/>
        </w:rPr>
        <w:t xml:space="preserve">429,00, </w:t>
      </w:r>
      <w:r w:rsidR="000D24A7" w:rsidRPr="009417EC">
        <w:rPr>
          <w:rFonts w:ascii="Tahoma" w:hAnsi="Tahoma" w:cs="Tahoma"/>
          <w:sz w:val="19"/>
          <w:szCs w:val="19"/>
        </w:rPr>
        <w:t>somando os</w:t>
      </w:r>
      <w:r w:rsidRPr="009417EC">
        <w:rPr>
          <w:rFonts w:ascii="Tahoma" w:hAnsi="Tahoma" w:cs="Tahoma"/>
          <w:sz w:val="19"/>
          <w:szCs w:val="19"/>
        </w:rPr>
        <w:t xml:space="preserve"> recursos de subvenção e </w:t>
      </w:r>
      <w:r w:rsidR="000D24A7" w:rsidRPr="009417EC">
        <w:rPr>
          <w:rFonts w:ascii="Tahoma" w:hAnsi="Tahoma" w:cs="Tahoma"/>
          <w:sz w:val="19"/>
          <w:szCs w:val="19"/>
        </w:rPr>
        <w:t xml:space="preserve">da </w:t>
      </w:r>
      <w:r w:rsidRPr="009417EC">
        <w:rPr>
          <w:rFonts w:ascii="Tahoma" w:hAnsi="Tahoma" w:cs="Tahoma"/>
          <w:sz w:val="19"/>
          <w:szCs w:val="19"/>
        </w:rPr>
        <w:t>ação transversal.</w:t>
      </w:r>
      <w:r w:rsidR="000F617F" w:rsidRPr="009417EC">
        <w:rPr>
          <w:rFonts w:ascii="Tahoma" w:hAnsi="Tahoma" w:cs="Tahoma"/>
          <w:sz w:val="19"/>
          <w:szCs w:val="19"/>
        </w:rPr>
        <w:t xml:space="preserve"> Até o final de dezembro de 2023, haviam sido contratadas </w:t>
      </w:r>
      <w:r w:rsidR="000C654C" w:rsidRPr="009417EC">
        <w:rPr>
          <w:rFonts w:ascii="Tahoma" w:hAnsi="Tahoma" w:cs="Tahoma"/>
          <w:sz w:val="19"/>
          <w:szCs w:val="19"/>
        </w:rPr>
        <w:t>22 instituições parceiras (recursos da subvenção e não reembolsáveis)</w:t>
      </w:r>
      <w:r w:rsidR="009417EC" w:rsidRPr="009417EC">
        <w:rPr>
          <w:rFonts w:ascii="Tahoma" w:hAnsi="Tahoma" w:cs="Tahoma"/>
          <w:sz w:val="19"/>
          <w:szCs w:val="19"/>
        </w:rPr>
        <w:t>, esses contratos somaram R$ 257.242.493,00</w:t>
      </w:r>
      <w:r w:rsidR="000C654C" w:rsidRPr="009417EC">
        <w:rPr>
          <w:rFonts w:ascii="Tahoma" w:hAnsi="Tahoma" w:cs="Tahoma"/>
          <w:sz w:val="19"/>
          <w:szCs w:val="19"/>
        </w:rPr>
        <w:t>.</w:t>
      </w:r>
    </w:p>
    <w:p w14:paraId="5F4EF498" w14:textId="77777777" w:rsidR="009B52B7" w:rsidRDefault="009B52B7" w:rsidP="009B52B7">
      <w:pPr>
        <w:rPr>
          <w:rFonts w:ascii="Tahoma" w:hAnsi="Tahoma" w:cs="Tahoma"/>
          <w:sz w:val="19"/>
          <w:szCs w:val="19"/>
        </w:rPr>
      </w:pPr>
    </w:p>
    <w:p w14:paraId="0268A999" w14:textId="0E12ABB3" w:rsidR="000C654C" w:rsidRPr="000C654C" w:rsidRDefault="000C654C" w:rsidP="009B52B7">
      <w:pPr>
        <w:rPr>
          <w:rFonts w:ascii="Tahoma" w:hAnsi="Tahoma" w:cs="Tahoma"/>
          <w:color w:val="0098BA"/>
          <w:sz w:val="19"/>
          <w:szCs w:val="19"/>
        </w:rPr>
      </w:pPr>
      <w:r w:rsidRPr="000C654C">
        <w:rPr>
          <w:rFonts w:ascii="Tahoma" w:hAnsi="Tahoma" w:cs="Tahoma"/>
          <w:color w:val="0098BA"/>
          <w:sz w:val="19"/>
          <w:szCs w:val="19"/>
        </w:rPr>
        <w:t>Tecnova 3 –</w:t>
      </w:r>
      <w:r>
        <w:rPr>
          <w:rFonts w:ascii="Tahoma" w:hAnsi="Tahoma" w:cs="Tahoma"/>
          <w:color w:val="0098BA"/>
          <w:sz w:val="19"/>
          <w:szCs w:val="19"/>
        </w:rPr>
        <w:t>I</w:t>
      </w:r>
      <w:r w:rsidRPr="000C654C">
        <w:rPr>
          <w:rFonts w:ascii="Tahoma" w:hAnsi="Tahoma" w:cs="Tahoma"/>
          <w:color w:val="0098BA"/>
          <w:sz w:val="19"/>
          <w:szCs w:val="19"/>
        </w:rPr>
        <w:t xml:space="preserve">nstituições </w:t>
      </w:r>
      <w:r>
        <w:rPr>
          <w:rFonts w:ascii="Tahoma" w:hAnsi="Tahoma" w:cs="Tahoma"/>
          <w:color w:val="0098BA"/>
          <w:sz w:val="19"/>
          <w:szCs w:val="19"/>
        </w:rPr>
        <w:t xml:space="preserve">parceiras </w:t>
      </w:r>
      <w:r w:rsidRPr="000C654C">
        <w:rPr>
          <w:rFonts w:ascii="Tahoma" w:hAnsi="Tahoma" w:cs="Tahoma"/>
          <w:color w:val="0098BA"/>
          <w:sz w:val="19"/>
          <w:szCs w:val="19"/>
        </w:rPr>
        <w:t>contratadas por região</w:t>
      </w:r>
      <w:r>
        <w:rPr>
          <w:rFonts w:ascii="Tahoma" w:hAnsi="Tahoma" w:cs="Tahoma"/>
          <w:color w:val="0098BA"/>
          <w:sz w:val="19"/>
          <w:szCs w:val="19"/>
        </w:rPr>
        <w:t xml:space="preserve"> em 2023</w:t>
      </w:r>
    </w:p>
    <w:p w14:paraId="6D00E23A" w14:textId="77777777" w:rsidR="000C654C" w:rsidRDefault="000C654C" w:rsidP="000C654C">
      <w:pPr>
        <w:spacing w:before="120"/>
        <w:ind w:right="54"/>
        <w:jc w:val="right"/>
      </w:pPr>
      <w:r>
        <w:rPr>
          <w:rFonts w:ascii="Tahoma" w:hAnsi="Tahoma" w:cs="Tahoma"/>
          <w:bCs/>
          <w:color w:val="000000"/>
          <w:sz w:val="18"/>
          <w:szCs w:val="18"/>
        </w:rPr>
        <w:t>Posição em 31/12/2023</w:t>
      </w:r>
    </w:p>
    <w:tbl>
      <w:tblPr>
        <w:tblW w:w="9141" w:type="dxa"/>
        <w:tblInd w:w="-15" w:type="dxa"/>
        <w:tblCellMar>
          <w:left w:w="70" w:type="dxa"/>
          <w:right w:w="70" w:type="dxa"/>
        </w:tblCellMar>
        <w:tblLook w:val="04A0" w:firstRow="1" w:lastRow="0" w:firstColumn="1" w:lastColumn="0" w:noHBand="0" w:noVBand="1"/>
      </w:tblPr>
      <w:tblGrid>
        <w:gridCol w:w="7245"/>
        <w:gridCol w:w="141"/>
        <w:gridCol w:w="1755"/>
      </w:tblGrid>
      <w:tr w:rsidR="009A01B7" w:rsidRPr="00E254A5" w14:paraId="14AB6DA9" w14:textId="77777777" w:rsidTr="000C654C">
        <w:trPr>
          <w:trHeight w:val="397"/>
          <w:tblHeader/>
        </w:trPr>
        <w:tc>
          <w:tcPr>
            <w:tcW w:w="7245" w:type="dxa"/>
            <w:tcBorders>
              <w:top w:val="nil"/>
              <w:left w:val="nil"/>
              <w:bottom w:val="single" w:sz="4" w:space="0" w:color="8EA9DB"/>
              <w:right w:val="single" w:sz="4" w:space="0" w:color="808080" w:themeColor="background1" w:themeShade="80"/>
            </w:tcBorders>
            <w:shd w:val="clear" w:color="auto" w:fill="0098BA"/>
            <w:noWrap/>
            <w:vAlign w:val="center"/>
            <w:hideMark/>
          </w:tcPr>
          <w:p w14:paraId="3F17560E" w14:textId="4AC00973" w:rsidR="009A01B7" w:rsidRPr="00E254A5" w:rsidRDefault="009A01B7" w:rsidP="009A01B7">
            <w:pPr>
              <w:rPr>
                <w:rFonts w:ascii="Tahoma" w:hAnsi="Tahoma" w:cs="Tahoma"/>
                <w:color w:val="FFFFFF" w:themeColor="background1"/>
                <w:sz w:val="17"/>
                <w:szCs w:val="17"/>
              </w:rPr>
            </w:pPr>
            <w:bookmarkStart w:id="113" w:name="_Hlk162503934"/>
            <w:r w:rsidRPr="00E254A5">
              <w:rPr>
                <w:rFonts w:ascii="Tahoma" w:hAnsi="Tahoma" w:cs="Tahoma"/>
                <w:color w:val="FFFFFF" w:themeColor="background1"/>
                <w:sz w:val="17"/>
                <w:szCs w:val="17"/>
              </w:rPr>
              <w:t>Instituições parceiras por região</w:t>
            </w:r>
          </w:p>
        </w:tc>
        <w:tc>
          <w:tcPr>
            <w:tcW w:w="1896" w:type="dxa"/>
            <w:gridSpan w:val="2"/>
            <w:tcBorders>
              <w:top w:val="nil"/>
              <w:left w:val="single" w:sz="4" w:space="0" w:color="808080" w:themeColor="background1" w:themeShade="80"/>
              <w:bottom w:val="single" w:sz="4" w:space="0" w:color="8EA9DB"/>
              <w:right w:val="nil"/>
            </w:tcBorders>
            <w:shd w:val="clear" w:color="auto" w:fill="0098BA"/>
            <w:noWrap/>
            <w:vAlign w:val="center"/>
            <w:hideMark/>
          </w:tcPr>
          <w:p w14:paraId="7D4D2C5A" w14:textId="65217EFD" w:rsidR="009A01B7" w:rsidRPr="00E254A5" w:rsidRDefault="009A01B7" w:rsidP="009A01B7">
            <w:pPr>
              <w:jc w:val="right"/>
              <w:rPr>
                <w:rFonts w:ascii="Tahoma" w:hAnsi="Tahoma" w:cs="Tahoma"/>
                <w:color w:val="FFFFFF" w:themeColor="background1"/>
                <w:sz w:val="17"/>
                <w:szCs w:val="17"/>
              </w:rPr>
            </w:pPr>
            <w:r w:rsidRPr="00E254A5">
              <w:rPr>
                <w:rFonts w:ascii="Tahoma" w:hAnsi="Tahoma" w:cs="Tahoma"/>
                <w:color w:val="FFFFFF" w:themeColor="background1"/>
                <w:sz w:val="17"/>
                <w:szCs w:val="17"/>
              </w:rPr>
              <w:t>Valor contratado (R$)</w:t>
            </w:r>
          </w:p>
        </w:tc>
      </w:tr>
      <w:tr w:rsidR="009A01B7" w:rsidRPr="00E254A5" w14:paraId="211BB392" w14:textId="77777777" w:rsidTr="000C654C">
        <w:trPr>
          <w:trHeight w:val="255"/>
        </w:trPr>
        <w:tc>
          <w:tcPr>
            <w:tcW w:w="7245" w:type="dxa"/>
            <w:tcBorders>
              <w:top w:val="single" w:sz="4" w:space="0" w:color="8EA9DB"/>
              <w:left w:val="nil"/>
              <w:right w:val="single" w:sz="4" w:space="0" w:color="8EA9DB"/>
            </w:tcBorders>
            <w:shd w:val="clear" w:color="auto" w:fill="auto"/>
            <w:noWrap/>
            <w:vAlign w:val="center"/>
            <w:hideMark/>
          </w:tcPr>
          <w:p w14:paraId="0F9AB4B4" w14:textId="77777777" w:rsidR="009A01B7" w:rsidRPr="00E254A5" w:rsidRDefault="009A01B7" w:rsidP="009A01B7">
            <w:pPr>
              <w:rPr>
                <w:rFonts w:ascii="Tahoma" w:hAnsi="Tahoma" w:cs="Tahoma"/>
                <w:b/>
                <w:bCs/>
                <w:color w:val="000000"/>
                <w:sz w:val="17"/>
                <w:szCs w:val="17"/>
              </w:rPr>
            </w:pPr>
            <w:r w:rsidRPr="00E254A5">
              <w:rPr>
                <w:rFonts w:ascii="Tahoma" w:hAnsi="Tahoma" w:cs="Tahoma"/>
                <w:b/>
                <w:bCs/>
                <w:color w:val="000000"/>
                <w:sz w:val="17"/>
                <w:szCs w:val="17"/>
              </w:rPr>
              <w:t>N</w:t>
            </w:r>
          </w:p>
        </w:tc>
        <w:tc>
          <w:tcPr>
            <w:tcW w:w="1896" w:type="dxa"/>
            <w:gridSpan w:val="2"/>
            <w:tcBorders>
              <w:top w:val="single" w:sz="4" w:space="0" w:color="8EA9DB"/>
              <w:left w:val="single" w:sz="4" w:space="0" w:color="8EA9DB"/>
              <w:right w:val="nil"/>
            </w:tcBorders>
            <w:shd w:val="clear" w:color="auto" w:fill="auto"/>
            <w:noWrap/>
            <w:vAlign w:val="center"/>
            <w:hideMark/>
          </w:tcPr>
          <w:p w14:paraId="3D131BBB" w14:textId="6B2C7E34" w:rsidR="009A01B7" w:rsidRPr="00E254A5" w:rsidRDefault="009A01B7" w:rsidP="009A01B7">
            <w:pPr>
              <w:jc w:val="right"/>
              <w:rPr>
                <w:rFonts w:ascii="Tahoma" w:hAnsi="Tahoma" w:cs="Tahoma"/>
                <w:b/>
                <w:bCs/>
                <w:color w:val="000000"/>
                <w:sz w:val="17"/>
                <w:szCs w:val="17"/>
              </w:rPr>
            </w:pPr>
            <w:r w:rsidRPr="00E254A5">
              <w:rPr>
                <w:rFonts w:ascii="Tahoma" w:hAnsi="Tahoma" w:cs="Tahoma"/>
                <w:b/>
                <w:bCs/>
                <w:color w:val="000000"/>
                <w:sz w:val="17"/>
                <w:szCs w:val="17"/>
              </w:rPr>
              <w:t>39.519.993,00</w:t>
            </w:r>
          </w:p>
        </w:tc>
      </w:tr>
      <w:tr w:rsidR="009A01B7" w:rsidRPr="00E254A5" w14:paraId="44886272"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3EC4AB53" w14:textId="2E76C064" w:rsidR="009A01B7" w:rsidRPr="00E254A5" w:rsidRDefault="00AB3A70" w:rsidP="000C654C">
            <w:pPr>
              <w:ind w:left="567" w:hanging="567"/>
              <w:rPr>
                <w:rFonts w:ascii="Tahoma" w:hAnsi="Tahoma" w:cs="Tahoma"/>
                <w:color w:val="000000"/>
                <w:sz w:val="17"/>
                <w:szCs w:val="17"/>
              </w:rPr>
            </w:pPr>
            <w:r w:rsidRPr="00E254A5">
              <w:rPr>
                <w:rFonts w:ascii="Tahoma" w:hAnsi="Tahoma" w:cs="Tahoma"/>
                <w:color w:val="000000"/>
                <w:sz w:val="17"/>
                <w:szCs w:val="17"/>
              </w:rPr>
              <w:t>FUNDAÇÃO AMAZÔNIA DE AMPARO A ESTUDOS E PESQUISAS DO PARÁ</w:t>
            </w:r>
          </w:p>
        </w:tc>
        <w:tc>
          <w:tcPr>
            <w:tcW w:w="1896" w:type="dxa"/>
            <w:gridSpan w:val="2"/>
            <w:tcBorders>
              <w:top w:val="nil"/>
              <w:left w:val="single" w:sz="4" w:space="0" w:color="8EA9DB"/>
              <w:bottom w:val="nil"/>
              <w:right w:val="nil"/>
            </w:tcBorders>
            <w:shd w:val="clear" w:color="auto" w:fill="auto"/>
            <w:noWrap/>
            <w:vAlign w:val="center"/>
            <w:hideMark/>
          </w:tcPr>
          <w:p w14:paraId="19ED6D57" w14:textId="0DC84498"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11.176.000,00</w:t>
            </w:r>
          </w:p>
        </w:tc>
      </w:tr>
      <w:tr w:rsidR="009A01B7" w:rsidRPr="00E254A5" w14:paraId="3F960378"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3F357FF6" w14:textId="0FE9030C" w:rsidR="009A01B7" w:rsidRPr="00E254A5" w:rsidRDefault="00AB3A70" w:rsidP="000C654C">
            <w:pPr>
              <w:ind w:left="567" w:hanging="567"/>
              <w:rPr>
                <w:rFonts w:ascii="Tahoma" w:hAnsi="Tahoma" w:cs="Tahoma"/>
                <w:color w:val="000000"/>
                <w:sz w:val="17"/>
                <w:szCs w:val="17"/>
              </w:rPr>
            </w:pPr>
            <w:r w:rsidRPr="00E254A5">
              <w:rPr>
                <w:rFonts w:ascii="Tahoma" w:hAnsi="Tahoma" w:cs="Tahoma"/>
                <w:color w:val="000000"/>
                <w:sz w:val="17"/>
                <w:szCs w:val="17"/>
              </w:rPr>
              <w:t>FUNDAÇ</w:t>
            </w:r>
            <w:r>
              <w:rPr>
                <w:rFonts w:ascii="Tahoma" w:hAnsi="Tahoma" w:cs="Tahoma"/>
                <w:color w:val="000000"/>
                <w:sz w:val="17"/>
                <w:szCs w:val="17"/>
              </w:rPr>
              <w:t>Ã</w:t>
            </w:r>
            <w:r w:rsidRPr="00E254A5">
              <w:rPr>
                <w:rFonts w:ascii="Tahoma" w:hAnsi="Tahoma" w:cs="Tahoma"/>
                <w:color w:val="000000"/>
                <w:sz w:val="17"/>
                <w:szCs w:val="17"/>
              </w:rPr>
              <w:t>O DE AMPARO A PESQUISA DO AMAPÁ - FUNDAÇÃO TUMUCUMAQUE</w:t>
            </w:r>
          </w:p>
        </w:tc>
        <w:tc>
          <w:tcPr>
            <w:tcW w:w="1896" w:type="dxa"/>
            <w:gridSpan w:val="2"/>
            <w:tcBorders>
              <w:top w:val="nil"/>
              <w:left w:val="single" w:sz="4" w:space="0" w:color="8EA9DB"/>
              <w:bottom w:val="nil"/>
              <w:right w:val="nil"/>
            </w:tcBorders>
            <w:shd w:val="clear" w:color="auto" w:fill="auto"/>
            <w:noWrap/>
            <w:vAlign w:val="center"/>
            <w:hideMark/>
          </w:tcPr>
          <w:p w14:paraId="027AE453" w14:textId="12C09F4D"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3.280.000,00</w:t>
            </w:r>
          </w:p>
        </w:tc>
      </w:tr>
      <w:tr w:rsidR="009A01B7" w:rsidRPr="00E254A5" w14:paraId="6FCFD23A"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790FD8BA" w14:textId="5B77BEC1" w:rsidR="009A01B7" w:rsidRPr="00E254A5" w:rsidRDefault="00AB3A70" w:rsidP="000C654C">
            <w:pPr>
              <w:ind w:left="567" w:hanging="567"/>
              <w:rPr>
                <w:rFonts w:ascii="Tahoma" w:hAnsi="Tahoma" w:cs="Tahoma"/>
                <w:color w:val="000000"/>
                <w:sz w:val="17"/>
                <w:szCs w:val="17"/>
              </w:rPr>
            </w:pPr>
            <w:r w:rsidRPr="00E254A5">
              <w:rPr>
                <w:rFonts w:ascii="Tahoma" w:hAnsi="Tahoma" w:cs="Tahoma"/>
                <w:color w:val="000000"/>
                <w:sz w:val="17"/>
                <w:szCs w:val="17"/>
              </w:rPr>
              <w:t>FUNDAÇÃO DE AMPARO À PESQUISA DO ESTADO DO AMAZONAS</w:t>
            </w:r>
          </w:p>
        </w:tc>
        <w:tc>
          <w:tcPr>
            <w:tcW w:w="1896" w:type="dxa"/>
            <w:gridSpan w:val="2"/>
            <w:tcBorders>
              <w:top w:val="nil"/>
              <w:left w:val="single" w:sz="4" w:space="0" w:color="8EA9DB"/>
              <w:bottom w:val="nil"/>
              <w:right w:val="nil"/>
            </w:tcBorders>
            <w:shd w:val="clear" w:color="auto" w:fill="auto"/>
            <w:noWrap/>
            <w:vAlign w:val="center"/>
            <w:hideMark/>
          </w:tcPr>
          <w:p w14:paraId="6FFA4902" w14:textId="3A2AF682"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12.700.000,00</w:t>
            </w:r>
          </w:p>
        </w:tc>
      </w:tr>
      <w:tr w:rsidR="009A01B7" w:rsidRPr="00E254A5" w14:paraId="0BE2CFD3"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12C0E8B2" w14:textId="281113DD" w:rsidR="009A01B7" w:rsidRPr="00E254A5" w:rsidRDefault="00AB3A70" w:rsidP="000C654C">
            <w:pPr>
              <w:ind w:left="567" w:hanging="567"/>
              <w:rPr>
                <w:rFonts w:ascii="Tahoma" w:hAnsi="Tahoma" w:cs="Tahoma"/>
                <w:color w:val="000000"/>
                <w:sz w:val="17"/>
                <w:szCs w:val="17"/>
              </w:rPr>
            </w:pPr>
            <w:r w:rsidRPr="00E254A5">
              <w:rPr>
                <w:rFonts w:ascii="Tahoma" w:hAnsi="Tahoma" w:cs="Tahoma"/>
                <w:color w:val="000000"/>
                <w:sz w:val="17"/>
                <w:szCs w:val="17"/>
              </w:rPr>
              <w:t>FUNDAÇÃO RONDÔNIA DE AMPARO AO DESENVOLVIMENTO DAS AÇÕES CIENTÍFICAS E TEC. E À PESQUISA DO ESTADO DE RONDÔNIA</w:t>
            </w:r>
          </w:p>
        </w:tc>
        <w:tc>
          <w:tcPr>
            <w:tcW w:w="1896" w:type="dxa"/>
            <w:gridSpan w:val="2"/>
            <w:tcBorders>
              <w:top w:val="nil"/>
              <w:left w:val="single" w:sz="4" w:space="0" w:color="8EA9DB"/>
              <w:bottom w:val="nil"/>
              <w:right w:val="nil"/>
            </w:tcBorders>
            <w:shd w:val="clear" w:color="auto" w:fill="auto"/>
            <w:noWrap/>
            <w:vAlign w:val="center"/>
            <w:hideMark/>
          </w:tcPr>
          <w:p w14:paraId="0DAB9E41" w14:textId="5ED0CFED"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10.648.993,00</w:t>
            </w:r>
          </w:p>
        </w:tc>
      </w:tr>
      <w:tr w:rsidR="009A01B7" w:rsidRPr="00E254A5" w14:paraId="65B00361" w14:textId="77777777" w:rsidTr="000C654C">
        <w:trPr>
          <w:trHeight w:val="255"/>
        </w:trPr>
        <w:tc>
          <w:tcPr>
            <w:tcW w:w="7245" w:type="dxa"/>
            <w:tcBorders>
              <w:top w:val="nil"/>
              <w:left w:val="nil"/>
              <w:bottom w:val="single" w:sz="4" w:space="0" w:color="808080" w:themeColor="background1" w:themeShade="80"/>
              <w:right w:val="single" w:sz="4" w:space="0" w:color="8EA9DB"/>
            </w:tcBorders>
            <w:shd w:val="clear" w:color="auto" w:fill="auto"/>
            <w:noWrap/>
            <w:vAlign w:val="center"/>
            <w:hideMark/>
          </w:tcPr>
          <w:p w14:paraId="174B8B93" w14:textId="09F56C75" w:rsidR="009A01B7" w:rsidRPr="00E254A5" w:rsidRDefault="00AB3A70" w:rsidP="000C654C">
            <w:pPr>
              <w:ind w:left="567" w:hanging="567"/>
              <w:rPr>
                <w:rFonts w:ascii="Tahoma" w:hAnsi="Tahoma" w:cs="Tahoma"/>
                <w:color w:val="000000"/>
                <w:sz w:val="17"/>
                <w:szCs w:val="17"/>
              </w:rPr>
            </w:pPr>
            <w:r w:rsidRPr="00E254A5">
              <w:rPr>
                <w:rFonts w:ascii="Tahoma" w:hAnsi="Tahoma" w:cs="Tahoma"/>
                <w:color w:val="000000"/>
                <w:sz w:val="17"/>
                <w:szCs w:val="17"/>
              </w:rPr>
              <w:t>SERVIÇO DE APOIO AS MICRO E PEQUENAS EMPRESAS DO ESTADO DE RORAIMA</w:t>
            </w:r>
          </w:p>
        </w:tc>
        <w:tc>
          <w:tcPr>
            <w:tcW w:w="1896" w:type="dxa"/>
            <w:gridSpan w:val="2"/>
            <w:tcBorders>
              <w:top w:val="nil"/>
              <w:left w:val="single" w:sz="4" w:space="0" w:color="8EA9DB"/>
              <w:bottom w:val="single" w:sz="4" w:space="0" w:color="808080" w:themeColor="background1" w:themeShade="80"/>
              <w:right w:val="nil"/>
            </w:tcBorders>
            <w:shd w:val="clear" w:color="auto" w:fill="auto"/>
            <w:noWrap/>
            <w:vAlign w:val="center"/>
            <w:hideMark/>
          </w:tcPr>
          <w:p w14:paraId="4836498A" w14:textId="74AE595A"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1.715.000,00</w:t>
            </w:r>
          </w:p>
        </w:tc>
      </w:tr>
      <w:tr w:rsidR="009A01B7" w:rsidRPr="00E254A5" w14:paraId="13D2EA83" w14:textId="77777777" w:rsidTr="000C654C">
        <w:trPr>
          <w:trHeight w:val="255"/>
        </w:trPr>
        <w:tc>
          <w:tcPr>
            <w:tcW w:w="7245" w:type="dxa"/>
            <w:tcBorders>
              <w:top w:val="single" w:sz="4" w:space="0" w:color="808080" w:themeColor="background1" w:themeShade="80"/>
              <w:left w:val="nil"/>
              <w:right w:val="single" w:sz="4" w:space="0" w:color="8EA9DB"/>
            </w:tcBorders>
            <w:shd w:val="clear" w:color="auto" w:fill="auto"/>
            <w:noWrap/>
            <w:vAlign w:val="center"/>
            <w:hideMark/>
          </w:tcPr>
          <w:p w14:paraId="2C7E8EAF" w14:textId="77777777" w:rsidR="009A01B7" w:rsidRPr="00E254A5" w:rsidRDefault="009A01B7" w:rsidP="009A01B7">
            <w:pPr>
              <w:rPr>
                <w:rFonts w:ascii="Tahoma" w:hAnsi="Tahoma" w:cs="Tahoma"/>
                <w:b/>
                <w:bCs/>
                <w:color w:val="000000"/>
                <w:sz w:val="17"/>
                <w:szCs w:val="17"/>
              </w:rPr>
            </w:pPr>
            <w:r w:rsidRPr="00E254A5">
              <w:rPr>
                <w:rFonts w:ascii="Tahoma" w:hAnsi="Tahoma" w:cs="Tahoma"/>
                <w:b/>
                <w:bCs/>
                <w:color w:val="000000"/>
                <w:sz w:val="17"/>
                <w:szCs w:val="17"/>
              </w:rPr>
              <w:t>NE</w:t>
            </w:r>
          </w:p>
        </w:tc>
        <w:tc>
          <w:tcPr>
            <w:tcW w:w="1896" w:type="dxa"/>
            <w:gridSpan w:val="2"/>
            <w:tcBorders>
              <w:top w:val="single" w:sz="4" w:space="0" w:color="808080" w:themeColor="background1" w:themeShade="80"/>
              <w:left w:val="single" w:sz="4" w:space="0" w:color="8EA9DB"/>
              <w:right w:val="nil"/>
            </w:tcBorders>
            <w:shd w:val="clear" w:color="auto" w:fill="auto"/>
            <w:noWrap/>
            <w:vAlign w:val="center"/>
            <w:hideMark/>
          </w:tcPr>
          <w:p w14:paraId="0E349F60" w14:textId="057EF9F2" w:rsidR="009A01B7" w:rsidRPr="00E254A5" w:rsidRDefault="009A01B7" w:rsidP="009A01B7">
            <w:pPr>
              <w:jc w:val="right"/>
              <w:rPr>
                <w:rFonts w:ascii="Tahoma" w:hAnsi="Tahoma" w:cs="Tahoma"/>
                <w:b/>
                <w:bCs/>
                <w:color w:val="000000"/>
                <w:sz w:val="17"/>
                <w:szCs w:val="17"/>
              </w:rPr>
            </w:pPr>
            <w:r w:rsidRPr="00E254A5">
              <w:rPr>
                <w:rFonts w:ascii="Tahoma" w:hAnsi="Tahoma" w:cs="Tahoma"/>
                <w:b/>
                <w:bCs/>
                <w:color w:val="000000"/>
                <w:sz w:val="17"/>
                <w:szCs w:val="17"/>
              </w:rPr>
              <w:t>97.347.000,00</w:t>
            </w:r>
          </w:p>
        </w:tc>
      </w:tr>
      <w:tr w:rsidR="009A01B7" w:rsidRPr="00E254A5" w14:paraId="438B88CB"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1D7B65C1"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CEARENSE DE APOIO AO DESENVOLVIMENTO CIENTÍFICO E TECNOLÓGICO</w:t>
            </w:r>
          </w:p>
        </w:tc>
        <w:tc>
          <w:tcPr>
            <w:tcW w:w="1896" w:type="dxa"/>
            <w:gridSpan w:val="2"/>
            <w:tcBorders>
              <w:top w:val="nil"/>
              <w:left w:val="single" w:sz="4" w:space="0" w:color="8EA9DB"/>
              <w:bottom w:val="nil"/>
              <w:right w:val="nil"/>
            </w:tcBorders>
            <w:shd w:val="clear" w:color="auto" w:fill="auto"/>
            <w:noWrap/>
            <w:vAlign w:val="center"/>
            <w:hideMark/>
          </w:tcPr>
          <w:p w14:paraId="21FB5F80" w14:textId="2C2C21CF"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13.720.000,00</w:t>
            </w:r>
          </w:p>
        </w:tc>
      </w:tr>
      <w:tr w:rsidR="009A01B7" w:rsidRPr="00E254A5" w14:paraId="29554568"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5B0B9EAC"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lastRenderedPageBreak/>
              <w:t>FUNDAÇÃO DE AMPARO À CIÊNCIA E TECNOLOGIA DO ESTADO DE PERNAMBUCO</w:t>
            </w:r>
          </w:p>
        </w:tc>
        <w:tc>
          <w:tcPr>
            <w:tcW w:w="1896" w:type="dxa"/>
            <w:gridSpan w:val="2"/>
            <w:tcBorders>
              <w:top w:val="nil"/>
              <w:left w:val="single" w:sz="4" w:space="0" w:color="8EA9DB"/>
              <w:bottom w:val="nil"/>
              <w:right w:val="nil"/>
            </w:tcBorders>
            <w:shd w:val="clear" w:color="auto" w:fill="auto"/>
            <w:noWrap/>
            <w:vAlign w:val="center"/>
            <w:hideMark/>
          </w:tcPr>
          <w:p w14:paraId="67D31EE6" w14:textId="4FBDBD42"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9.435.000,00</w:t>
            </w:r>
          </w:p>
        </w:tc>
      </w:tr>
      <w:tr w:rsidR="009A01B7" w:rsidRPr="00E254A5" w14:paraId="051BCE7E"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4754772E"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DE AMPARO À PESQUISA DO ESTADO DA BAHIA</w:t>
            </w:r>
          </w:p>
        </w:tc>
        <w:tc>
          <w:tcPr>
            <w:tcW w:w="1896" w:type="dxa"/>
            <w:gridSpan w:val="2"/>
            <w:tcBorders>
              <w:top w:val="nil"/>
              <w:left w:val="single" w:sz="4" w:space="0" w:color="8EA9DB"/>
              <w:bottom w:val="nil"/>
              <w:right w:val="nil"/>
            </w:tcBorders>
            <w:shd w:val="clear" w:color="auto" w:fill="auto"/>
            <w:noWrap/>
            <w:vAlign w:val="center"/>
            <w:hideMark/>
          </w:tcPr>
          <w:p w14:paraId="0E6CF5BB" w14:textId="145F4D19"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11.720.000,00</w:t>
            </w:r>
          </w:p>
        </w:tc>
      </w:tr>
      <w:tr w:rsidR="009A01B7" w:rsidRPr="00E254A5" w14:paraId="1DC8DDFF"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16CD7D29"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DE AMPARO À PESQUISA DO ESTADO DE ALAGOAS</w:t>
            </w:r>
          </w:p>
        </w:tc>
        <w:tc>
          <w:tcPr>
            <w:tcW w:w="1896" w:type="dxa"/>
            <w:gridSpan w:val="2"/>
            <w:tcBorders>
              <w:top w:val="nil"/>
              <w:left w:val="single" w:sz="4" w:space="0" w:color="8EA9DB"/>
              <w:bottom w:val="nil"/>
              <w:right w:val="nil"/>
            </w:tcBorders>
            <w:shd w:val="clear" w:color="auto" w:fill="auto"/>
            <w:noWrap/>
            <w:vAlign w:val="center"/>
            <w:hideMark/>
          </w:tcPr>
          <w:p w14:paraId="64474903" w14:textId="7DDB8B9E"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10.228.000,00</w:t>
            </w:r>
          </w:p>
        </w:tc>
      </w:tr>
      <w:tr w:rsidR="009A01B7" w:rsidRPr="00E254A5" w14:paraId="1143B5E6"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3DF93450"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DE AMPARO À PESQUISA DO ESTADO DE SÃO PAULO</w:t>
            </w:r>
          </w:p>
        </w:tc>
        <w:tc>
          <w:tcPr>
            <w:tcW w:w="1896" w:type="dxa"/>
            <w:gridSpan w:val="2"/>
            <w:tcBorders>
              <w:top w:val="nil"/>
              <w:left w:val="single" w:sz="4" w:space="0" w:color="8EA9DB"/>
              <w:bottom w:val="nil"/>
              <w:right w:val="nil"/>
            </w:tcBorders>
            <w:shd w:val="clear" w:color="auto" w:fill="auto"/>
            <w:noWrap/>
            <w:vAlign w:val="center"/>
            <w:hideMark/>
          </w:tcPr>
          <w:p w14:paraId="1C58AF24" w14:textId="52689BFE"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18.720.000,00</w:t>
            </w:r>
          </w:p>
        </w:tc>
      </w:tr>
      <w:tr w:rsidR="009A01B7" w:rsidRPr="00E254A5" w14:paraId="5FB3C16E"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6DA5E669" w14:textId="77777777" w:rsidR="009A01B7" w:rsidRPr="00E254A5" w:rsidRDefault="009A01B7" w:rsidP="000C654C">
            <w:pPr>
              <w:ind w:left="567" w:hanging="567"/>
              <w:rPr>
                <w:rFonts w:ascii="Tahoma" w:hAnsi="Tahoma" w:cs="Tahoma"/>
                <w:color w:val="000000"/>
                <w:sz w:val="17"/>
                <w:szCs w:val="17"/>
              </w:rPr>
            </w:pPr>
            <w:r w:rsidRPr="00E254A5">
              <w:rPr>
                <w:rFonts w:ascii="Tahoma" w:hAnsi="Tahoma" w:cs="Tahoma"/>
                <w:color w:val="000000"/>
                <w:sz w:val="17"/>
                <w:szCs w:val="17"/>
              </w:rPr>
              <w:t>FUNDAÇÃO DE AMPARO À PESQUISA DO ESTADO DO PIAUÍ PROFESSOR AFONSO SENA GONÇALVES</w:t>
            </w:r>
          </w:p>
        </w:tc>
        <w:tc>
          <w:tcPr>
            <w:tcW w:w="1896" w:type="dxa"/>
            <w:gridSpan w:val="2"/>
            <w:tcBorders>
              <w:top w:val="nil"/>
              <w:left w:val="single" w:sz="4" w:space="0" w:color="8EA9DB"/>
              <w:bottom w:val="nil"/>
              <w:right w:val="nil"/>
            </w:tcBorders>
            <w:shd w:val="clear" w:color="auto" w:fill="auto"/>
            <w:noWrap/>
            <w:vAlign w:val="center"/>
            <w:hideMark/>
          </w:tcPr>
          <w:p w14:paraId="10852A48" w14:textId="55C5EADB" w:rsidR="009A01B7" w:rsidRPr="00E254A5" w:rsidRDefault="009A01B7" w:rsidP="000C654C">
            <w:pPr>
              <w:ind w:left="567" w:hanging="567"/>
              <w:jc w:val="right"/>
              <w:rPr>
                <w:rFonts w:ascii="Tahoma" w:hAnsi="Tahoma" w:cs="Tahoma"/>
                <w:color w:val="000000"/>
                <w:sz w:val="17"/>
                <w:szCs w:val="17"/>
              </w:rPr>
            </w:pPr>
            <w:r w:rsidRPr="00E254A5">
              <w:rPr>
                <w:rFonts w:ascii="Tahoma" w:hAnsi="Tahoma" w:cs="Tahoma"/>
                <w:color w:val="000000"/>
                <w:sz w:val="17"/>
                <w:szCs w:val="17"/>
              </w:rPr>
              <w:t>11.176.000,00</w:t>
            </w:r>
          </w:p>
        </w:tc>
      </w:tr>
      <w:tr w:rsidR="009A01B7" w:rsidRPr="00E254A5" w14:paraId="7C140EA1"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0E10786C" w14:textId="77777777" w:rsidR="009A01B7" w:rsidRPr="00E254A5" w:rsidRDefault="009A01B7" w:rsidP="000C654C">
            <w:pPr>
              <w:ind w:left="567" w:hanging="567"/>
              <w:rPr>
                <w:rFonts w:ascii="Tahoma" w:hAnsi="Tahoma" w:cs="Tahoma"/>
                <w:color w:val="000000"/>
                <w:sz w:val="17"/>
                <w:szCs w:val="17"/>
              </w:rPr>
            </w:pPr>
            <w:r w:rsidRPr="00E254A5">
              <w:rPr>
                <w:rFonts w:ascii="Tahoma" w:hAnsi="Tahoma" w:cs="Tahoma"/>
                <w:color w:val="000000"/>
                <w:sz w:val="17"/>
                <w:szCs w:val="17"/>
              </w:rPr>
              <w:t>FUNDAÇÃO DE AMPARO A PESQUISA E AO DESENVOLVIMENTO CIENTÍFICO E TECNOLÓGICO DO MARANHÃO</w:t>
            </w:r>
          </w:p>
        </w:tc>
        <w:tc>
          <w:tcPr>
            <w:tcW w:w="1896" w:type="dxa"/>
            <w:gridSpan w:val="2"/>
            <w:tcBorders>
              <w:top w:val="nil"/>
              <w:left w:val="single" w:sz="4" w:space="0" w:color="8EA9DB"/>
              <w:bottom w:val="nil"/>
              <w:right w:val="nil"/>
            </w:tcBorders>
            <w:shd w:val="clear" w:color="auto" w:fill="auto"/>
            <w:noWrap/>
            <w:vAlign w:val="center"/>
            <w:hideMark/>
          </w:tcPr>
          <w:p w14:paraId="28E88A72" w14:textId="1DC25C22" w:rsidR="009A01B7" w:rsidRPr="00E254A5" w:rsidRDefault="009A01B7" w:rsidP="000C654C">
            <w:pPr>
              <w:ind w:left="567" w:hanging="567"/>
              <w:jc w:val="right"/>
              <w:rPr>
                <w:rFonts w:ascii="Tahoma" w:hAnsi="Tahoma" w:cs="Tahoma"/>
                <w:color w:val="000000"/>
                <w:sz w:val="17"/>
                <w:szCs w:val="17"/>
              </w:rPr>
            </w:pPr>
            <w:r w:rsidRPr="00E254A5">
              <w:rPr>
                <w:rFonts w:ascii="Tahoma" w:hAnsi="Tahoma" w:cs="Tahoma"/>
                <w:color w:val="000000"/>
                <w:sz w:val="17"/>
                <w:szCs w:val="17"/>
              </w:rPr>
              <w:t>9.000.000,00</w:t>
            </w:r>
          </w:p>
        </w:tc>
      </w:tr>
      <w:tr w:rsidR="009A01B7" w:rsidRPr="00E254A5" w14:paraId="413342A5"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288220D0" w14:textId="77777777" w:rsidR="009A01B7" w:rsidRPr="00E254A5" w:rsidRDefault="009A01B7" w:rsidP="000C654C">
            <w:pPr>
              <w:ind w:left="567" w:hanging="567"/>
              <w:rPr>
                <w:rFonts w:ascii="Tahoma" w:hAnsi="Tahoma" w:cs="Tahoma"/>
                <w:color w:val="000000"/>
                <w:sz w:val="17"/>
                <w:szCs w:val="17"/>
              </w:rPr>
            </w:pPr>
            <w:r w:rsidRPr="00E254A5">
              <w:rPr>
                <w:rFonts w:ascii="Tahoma" w:hAnsi="Tahoma" w:cs="Tahoma"/>
                <w:color w:val="000000"/>
                <w:sz w:val="17"/>
                <w:szCs w:val="17"/>
              </w:rPr>
              <w:t>FUNDAÇÃO DE APOIO À PESQUISA E À INOVAÇÃO TECNOLÓGICA DO ESTADO DE SERGIPE</w:t>
            </w:r>
          </w:p>
        </w:tc>
        <w:tc>
          <w:tcPr>
            <w:tcW w:w="1896" w:type="dxa"/>
            <w:gridSpan w:val="2"/>
            <w:tcBorders>
              <w:top w:val="nil"/>
              <w:left w:val="single" w:sz="4" w:space="0" w:color="8EA9DB"/>
              <w:bottom w:val="nil"/>
              <w:right w:val="nil"/>
            </w:tcBorders>
            <w:shd w:val="clear" w:color="auto" w:fill="auto"/>
            <w:noWrap/>
            <w:vAlign w:val="center"/>
            <w:hideMark/>
          </w:tcPr>
          <w:p w14:paraId="23319BD0" w14:textId="6444F841" w:rsidR="009A01B7" w:rsidRPr="00E254A5" w:rsidRDefault="009A01B7" w:rsidP="000C654C">
            <w:pPr>
              <w:ind w:left="567" w:hanging="567"/>
              <w:jc w:val="right"/>
              <w:rPr>
                <w:rFonts w:ascii="Tahoma" w:hAnsi="Tahoma" w:cs="Tahoma"/>
                <w:color w:val="000000"/>
                <w:sz w:val="17"/>
                <w:szCs w:val="17"/>
              </w:rPr>
            </w:pPr>
            <w:r w:rsidRPr="00E254A5">
              <w:rPr>
                <w:rFonts w:ascii="Tahoma" w:hAnsi="Tahoma" w:cs="Tahoma"/>
                <w:color w:val="000000"/>
                <w:sz w:val="17"/>
                <w:szCs w:val="17"/>
              </w:rPr>
              <w:t>10.168.000,00</w:t>
            </w:r>
          </w:p>
        </w:tc>
      </w:tr>
      <w:tr w:rsidR="009A01B7" w:rsidRPr="00E254A5" w14:paraId="0D5D198F"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669083BD"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SERVIÇO DE APOIO ÀS MICRO E PEQUENAS EMPRESAS DO RN</w:t>
            </w:r>
          </w:p>
        </w:tc>
        <w:tc>
          <w:tcPr>
            <w:tcW w:w="1896" w:type="dxa"/>
            <w:gridSpan w:val="2"/>
            <w:tcBorders>
              <w:top w:val="nil"/>
              <w:left w:val="single" w:sz="4" w:space="0" w:color="8EA9DB"/>
              <w:bottom w:val="nil"/>
              <w:right w:val="nil"/>
            </w:tcBorders>
            <w:shd w:val="clear" w:color="auto" w:fill="auto"/>
            <w:noWrap/>
            <w:vAlign w:val="center"/>
            <w:hideMark/>
          </w:tcPr>
          <w:p w14:paraId="511AD4A8" w14:textId="2480C674" w:rsidR="009A01B7" w:rsidRPr="00E254A5" w:rsidRDefault="009A01B7" w:rsidP="000C654C">
            <w:pPr>
              <w:jc w:val="right"/>
              <w:rPr>
                <w:rFonts w:ascii="Tahoma" w:hAnsi="Tahoma" w:cs="Tahoma"/>
                <w:color w:val="000000"/>
                <w:sz w:val="17"/>
                <w:szCs w:val="17"/>
              </w:rPr>
            </w:pPr>
            <w:r w:rsidRPr="00E254A5">
              <w:rPr>
                <w:rFonts w:ascii="Tahoma" w:hAnsi="Tahoma" w:cs="Tahoma"/>
                <w:color w:val="000000"/>
                <w:sz w:val="17"/>
                <w:szCs w:val="17"/>
              </w:rPr>
              <w:t>3.180.000,00</w:t>
            </w:r>
          </w:p>
        </w:tc>
      </w:tr>
      <w:tr w:rsidR="009A01B7" w:rsidRPr="00E254A5" w14:paraId="39B711B3" w14:textId="77777777" w:rsidTr="000C654C">
        <w:trPr>
          <w:trHeight w:val="255"/>
        </w:trPr>
        <w:tc>
          <w:tcPr>
            <w:tcW w:w="7245" w:type="dxa"/>
            <w:tcBorders>
              <w:top w:val="single" w:sz="4" w:space="0" w:color="808080" w:themeColor="background1" w:themeShade="80"/>
              <w:left w:val="nil"/>
              <w:right w:val="single" w:sz="4" w:space="0" w:color="8EA9DB"/>
            </w:tcBorders>
            <w:shd w:val="clear" w:color="auto" w:fill="auto"/>
            <w:noWrap/>
            <w:vAlign w:val="center"/>
            <w:hideMark/>
          </w:tcPr>
          <w:p w14:paraId="47AA4556" w14:textId="77777777" w:rsidR="009A01B7" w:rsidRPr="00E254A5" w:rsidRDefault="009A01B7" w:rsidP="009A01B7">
            <w:pPr>
              <w:rPr>
                <w:rFonts w:ascii="Tahoma" w:hAnsi="Tahoma" w:cs="Tahoma"/>
                <w:b/>
                <w:bCs/>
                <w:color w:val="000000"/>
                <w:sz w:val="17"/>
                <w:szCs w:val="17"/>
              </w:rPr>
            </w:pPr>
            <w:r w:rsidRPr="00E254A5">
              <w:rPr>
                <w:rFonts w:ascii="Tahoma" w:hAnsi="Tahoma" w:cs="Tahoma"/>
                <w:b/>
                <w:bCs/>
                <w:color w:val="000000"/>
                <w:sz w:val="17"/>
                <w:szCs w:val="17"/>
              </w:rPr>
              <w:t>CO</w:t>
            </w:r>
          </w:p>
        </w:tc>
        <w:tc>
          <w:tcPr>
            <w:tcW w:w="1896" w:type="dxa"/>
            <w:gridSpan w:val="2"/>
            <w:tcBorders>
              <w:top w:val="single" w:sz="4" w:space="0" w:color="808080" w:themeColor="background1" w:themeShade="80"/>
              <w:left w:val="single" w:sz="4" w:space="0" w:color="8EA9DB"/>
              <w:right w:val="nil"/>
            </w:tcBorders>
            <w:shd w:val="clear" w:color="auto" w:fill="auto"/>
            <w:noWrap/>
            <w:vAlign w:val="center"/>
            <w:hideMark/>
          </w:tcPr>
          <w:p w14:paraId="6A32CB88" w14:textId="2C35F249" w:rsidR="009A01B7" w:rsidRPr="00E254A5" w:rsidRDefault="009A01B7" w:rsidP="009A01B7">
            <w:pPr>
              <w:jc w:val="right"/>
              <w:rPr>
                <w:rFonts w:ascii="Tahoma" w:hAnsi="Tahoma" w:cs="Tahoma"/>
                <w:b/>
                <w:bCs/>
                <w:color w:val="000000"/>
                <w:sz w:val="17"/>
                <w:szCs w:val="17"/>
              </w:rPr>
            </w:pPr>
            <w:r w:rsidRPr="00E254A5">
              <w:rPr>
                <w:rFonts w:ascii="Tahoma" w:hAnsi="Tahoma" w:cs="Tahoma"/>
                <w:b/>
                <w:bCs/>
                <w:color w:val="000000"/>
                <w:sz w:val="17"/>
                <w:szCs w:val="17"/>
              </w:rPr>
              <w:t>44.435.500,00</w:t>
            </w:r>
          </w:p>
        </w:tc>
      </w:tr>
      <w:tr w:rsidR="009A01B7" w:rsidRPr="00E254A5" w14:paraId="287C664C"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3F2ECC14"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DE AMPARO À PESQUISA DO ESTADO DE GOIÁS</w:t>
            </w:r>
          </w:p>
        </w:tc>
        <w:tc>
          <w:tcPr>
            <w:tcW w:w="1896" w:type="dxa"/>
            <w:gridSpan w:val="2"/>
            <w:tcBorders>
              <w:top w:val="nil"/>
              <w:left w:val="single" w:sz="4" w:space="0" w:color="8EA9DB"/>
              <w:bottom w:val="nil"/>
              <w:right w:val="nil"/>
            </w:tcBorders>
            <w:shd w:val="clear" w:color="auto" w:fill="auto"/>
            <w:noWrap/>
            <w:vAlign w:val="center"/>
            <w:hideMark/>
          </w:tcPr>
          <w:p w14:paraId="0158031F" w14:textId="1F42F27F"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13.095.500,00</w:t>
            </w:r>
          </w:p>
        </w:tc>
      </w:tr>
      <w:tr w:rsidR="009A01B7" w:rsidRPr="00E254A5" w14:paraId="2ED7D4EE"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476D47A1"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DE AMPARO À PESQUISA DO ESTADO DE MATO GROSSO</w:t>
            </w:r>
          </w:p>
        </w:tc>
        <w:tc>
          <w:tcPr>
            <w:tcW w:w="1896" w:type="dxa"/>
            <w:gridSpan w:val="2"/>
            <w:tcBorders>
              <w:top w:val="nil"/>
              <w:left w:val="single" w:sz="4" w:space="0" w:color="8EA9DB"/>
              <w:bottom w:val="nil"/>
              <w:right w:val="nil"/>
            </w:tcBorders>
            <w:shd w:val="clear" w:color="auto" w:fill="auto"/>
            <w:noWrap/>
            <w:vAlign w:val="center"/>
            <w:hideMark/>
          </w:tcPr>
          <w:p w14:paraId="4661BE8C" w14:textId="1645DAAD"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6.360.000,00</w:t>
            </w:r>
          </w:p>
        </w:tc>
      </w:tr>
      <w:tr w:rsidR="009A01B7" w:rsidRPr="00E254A5" w14:paraId="0AD5397D"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291080A9"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DE APOIO À PESQUISA DO DISTRITO FEDERAL</w:t>
            </w:r>
          </w:p>
        </w:tc>
        <w:tc>
          <w:tcPr>
            <w:tcW w:w="1896" w:type="dxa"/>
            <w:gridSpan w:val="2"/>
            <w:tcBorders>
              <w:top w:val="nil"/>
              <w:left w:val="single" w:sz="4" w:space="0" w:color="8EA9DB"/>
              <w:bottom w:val="nil"/>
              <w:right w:val="nil"/>
            </w:tcBorders>
            <w:shd w:val="clear" w:color="auto" w:fill="auto"/>
            <w:noWrap/>
            <w:vAlign w:val="center"/>
            <w:hideMark/>
          </w:tcPr>
          <w:p w14:paraId="792490D5" w14:textId="66681239"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13.040.000,00</w:t>
            </w:r>
          </w:p>
        </w:tc>
      </w:tr>
      <w:tr w:rsidR="009A01B7" w:rsidRPr="00E254A5" w14:paraId="4CA071B9" w14:textId="77777777" w:rsidTr="000C654C">
        <w:trPr>
          <w:trHeight w:val="255"/>
        </w:trPr>
        <w:tc>
          <w:tcPr>
            <w:tcW w:w="7245" w:type="dxa"/>
            <w:tcBorders>
              <w:top w:val="nil"/>
              <w:left w:val="nil"/>
              <w:bottom w:val="single" w:sz="4" w:space="0" w:color="808080" w:themeColor="background1" w:themeShade="80"/>
              <w:right w:val="single" w:sz="4" w:space="0" w:color="8EA9DB"/>
            </w:tcBorders>
            <w:shd w:val="clear" w:color="auto" w:fill="auto"/>
            <w:noWrap/>
            <w:vAlign w:val="center"/>
            <w:hideMark/>
          </w:tcPr>
          <w:p w14:paraId="310B187F" w14:textId="77777777" w:rsidR="009A01B7" w:rsidRPr="00E254A5" w:rsidRDefault="009A01B7" w:rsidP="000C654C">
            <w:pPr>
              <w:ind w:left="567" w:hanging="567"/>
              <w:rPr>
                <w:rFonts w:ascii="Tahoma" w:hAnsi="Tahoma" w:cs="Tahoma"/>
                <w:color w:val="000000"/>
                <w:sz w:val="17"/>
                <w:szCs w:val="17"/>
              </w:rPr>
            </w:pPr>
            <w:r w:rsidRPr="00E254A5">
              <w:rPr>
                <w:rFonts w:ascii="Tahoma" w:hAnsi="Tahoma" w:cs="Tahoma"/>
                <w:color w:val="000000"/>
                <w:sz w:val="17"/>
                <w:szCs w:val="17"/>
              </w:rPr>
              <w:t>FUNDAÇÃO DE APOIO AO DESENVOLVIMENTO DO ENSINO, CIÊNCIA E TECNOLOGIA DE MS</w:t>
            </w:r>
          </w:p>
        </w:tc>
        <w:tc>
          <w:tcPr>
            <w:tcW w:w="1896" w:type="dxa"/>
            <w:gridSpan w:val="2"/>
            <w:tcBorders>
              <w:top w:val="nil"/>
              <w:left w:val="single" w:sz="4" w:space="0" w:color="8EA9DB"/>
              <w:bottom w:val="single" w:sz="4" w:space="0" w:color="808080" w:themeColor="background1" w:themeShade="80"/>
              <w:right w:val="nil"/>
            </w:tcBorders>
            <w:shd w:val="clear" w:color="auto" w:fill="auto"/>
            <w:noWrap/>
            <w:vAlign w:val="center"/>
            <w:hideMark/>
          </w:tcPr>
          <w:p w14:paraId="11B7A0CC" w14:textId="7FD9D594"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11.940.000,00</w:t>
            </w:r>
          </w:p>
        </w:tc>
      </w:tr>
      <w:tr w:rsidR="009A01B7" w:rsidRPr="00E254A5" w14:paraId="7D992860" w14:textId="77777777" w:rsidTr="000C654C">
        <w:trPr>
          <w:trHeight w:val="255"/>
        </w:trPr>
        <w:tc>
          <w:tcPr>
            <w:tcW w:w="7245" w:type="dxa"/>
            <w:tcBorders>
              <w:top w:val="single" w:sz="4" w:space="0" w:color="808080" w:themeColor="background1" w:themeShade="80"/>
              <w:left w:val="nil"/>
              <w:right w:val="single" w:sz="4" w:space="0" w:color="8EA9DB"/>
            </w:tcBorders>
            <w:shd w:val="clear" w:color="auto" w:fill="auto"/>
            <w:noWrap/>
            <w:vAlign w:val="center"/>
            <w:hideMark/>
          </w:tcPr>
          <w:p w14:paraId="4237A837" w14:textId="77777777" w:rsidR="009A01B7" w:rsidRPr="00E254A5" w:rsidRDefault="009A01B7" w:rsidP="009A01B7">
            <w:pPr>
              <w:rPr>
                <w:rFonts w:ascii="Tahoma" w:hAnsi="Tahoma" w:cs="Tahoma"/>
                <w:b/>
                <w:bCs/>
                <w:color w:val="000000"/>
                <w:sz w:val="17"/>
                <w:szCs w:val="17"/>
              </w:rPr>
            </w:pPr>
            <w:r w:rsidRPr="00E254A5">
              <w:rPr>
                <w:rFonts w:ascii="Tahoma" w:hAnsi="Tahoma" w:cs="Tahoma"/>
                <w:b/>
                <w:bCs/>
                <w:color w:val="000000"/>
                <w:sz w:val="17"/>
                <w:szCs w:val="17"/>
              </w:rPr>
              <w:t>SE</w:t>
            </w:r>
          </w:p>
        </w:tc>
        <w:tc>
          <w:tcPr>
            <w:tcW w:w="1896" w:type="dxa"/>
            <w:gridSpan w:val="2"/>
            <w:tcBorders>
              <w:top w:val="single" w:sz="4" w:space="0" w:color="808080" w:themeColor="background1" w:themeShade="80"/>
              <w:left w:val="single" w:sz="4" w:space="0" w:color="8EA9DB"/>
              <w:right w:val="nil"/>
            </w:tcBorders>
            <w:shd w:val="clear" w:color="auto" w:fill="auto"/>
            <w:noWrap/>
            <w:vAlign w:val="center"/>
            <w:hideMark/>
          </w:tcPr>
          <w:p w14:paraId="6C3D0FEF" w14:textId="6254062D" w:rsidR="009A01B7" w:rsidRPr="00E254A5" w:rsidRDefault="009A01B7" w:rsidP="009A01B7">
            <w:pPr>
              <w:jc w:val="right"/>
              <w:rPr>
                <w:rFonts w:ascii="Tahoma" w:hAnsi="Tahoma" w:cs="Tahoma"/>
                <w:b/>
                <w:bCs/>
                <w:color w:val="000000"/>
                <w:sz w:val="17"/>
                <w:szCs w:val="17"/>
              </w:rPr>
            </w:pPr>
            <w:r w:rsidRPr="00E254A5">
              <w:rPr>
                <w:rFonts w:ascii="Tahoma" w:hAnsi="Tahoma" w:cs="Tahoma"/>
                <w:b/>
                <w:bCs/>
                <w:color w:val="000000"/>
                <w:sz w:val="17"/>
                <w:szCs w:val="17"/>
              </w:rPr>
              <w:t>13.380.000,00</w:t>
            </w:r>
          </w:p>
        </w:tc>
      </w:tr>
      <w:tr w:rsidR="009A01B7" w:rsidRPr="00E254A5" w14:paraId="08A620A6" w14:textId="77777777" w:rsidTr="000C654C">
        <w:trPr>
          <w:trHeight w:val="255"/>
        </w:trPr>
        <w:tc>
          <w:tcPr>
            <w:tcW w:w="7245" w:type="dxa"/>
            <w:tcBorders>
              <w:top w:val="nil"/>
              <w:left w:val="nil"/>
              <w:bottom w:val="single" w:sz="4" w:space="0" w:color="808080" w:themeColor="background1" w:themeShade="80"/>
              <w:right w:val="single" w:sz="4" w:space="0" w:color="8EA9DB"/>
            </w:tcBorders>
            <w:shd w:val="clear" w:color="auto" w:fill="auto"/>
            <w:noWrap/>
            <w:vAlign w:val="center"/>
            <w:hideMark/>
          </w:tcPr>
          <w:p w14:paraId="77AEE215"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DE AMPARO À PESQUISA E INOVAÇÃO DO ESPÍRITO SANTO</w:t>
            </w:r>
          </w:p>
        </w:tc>
        <w:tc>
          <w:tcPr>
            <w:tcW w:w="1896" w:type="dxa"/>
            <w:gridSpan w:val="2"/>
            <w:tcBorders>
              <w:top w:val="nil"/>
              <w:left w:val="single" w:sz="4" w:space="0" w:color="8EA9DB"/>
              <w:bottom w:val="single" w:sz="4" w:space="0" w:color="808080" w:themeColor="background1" w:themeShade="80"/>
              <w:right w:val="nil"/>
            </w:tcBorders>
            <w:shd w:val="clear" w:color="auto" w:fill="auto"/>
            <w:noWrap/>
            <w:vAlign w:val="center"/>
            <w:hideMark/>
          </w:tcPr>
          <w:p w14:paraId="0B243F89" w14:textId="6462EFEE"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13.380.000,00</w:t>
            </w:r>
          </w:p>
        </w:tc>
      </w:tr>
      <w:tr w:rsidR="009A01B7" w:rsidRPr="00E254A5" w14:paraId="14841152" w14:textId="77777777" w:rsidTr="000C654C">
        <w:trPr>
          <w:trHeight w:val="255"/>
        </w:trPr>
        <w:tc>
          <w:tcPr>
            <w:tcW w:w="7245" w:type="dxa"/>
            <w:tcBorders>
              <w:top w:val="single" w:sz="4" w:space="0" w:color="808080" w:themeColor="background1" w:themeShade="80"/>
              <w:left w:val="nil"/>
              <w:right w:val="single" w:sz="4" w:space="0" w:color="8EA9DB"/>
            </w:tcBorders>
            <w:shd w:val="clear" w:color="auto" w:fill="auto"/>
            <w:noWrap/>
            <w:vAlign w:val="center"/>
            <w:hideMark/>
          </w:tcPr>
          <w:p w14:paraId="683F246B" w14:textId="77777777" w:rsidR="009A01B7" w:rsidRPr="00E254A5" w:rsidRDefault="009A01B7" w:rsidP="009A01B7">
            <w:pPr>
              <w:rPr>
                <w:rFonts w:ascii="Tahoma" w:hAnsi="Tahoma" w:cs="Tahoma"/>
                <w:b/>
                <w:bCs/>
                <w:color w:val="000000"/>
                <w:sz w:val="17"/>
                <w:szCs w:val="17"/>
              </w:rPr>
            </w:pPr>
            <w:r w:rsidRPr="00E254A5">
              <w:rPr>
                <w:rFonts w:ascii="Tahoma" w:hAnsi="Tahoma" w:cs="Tahoma"/>
                <w:b/>
                <w:bCs/>
                <w:color w:val="000000"/>
                <w:sz w:val="17"/>
                <w:szCs w:val="17"/>
              </w:rPr>
              <w:t>S</w:t>
            </w:r>
          </w:p>
        </w:tc>
        <w:tc>
          <w:tcPr>
            <w:tcW w:w="1896" w:type="dxa"/>
            <w:gridSpan w:val="2"/>
            <w:tcBorders>
              <w:top w:val="single" w:sz="4" w:space="0" w:color="808080" w:themeColor="background1" w:themeShade="80"/>
              <w:left w:val="single" w:sz="4" w:space="0" w:color="8EA9DB"/>
              <w:right w:val="nil"/>
            </w:tcBorders>
            <w:shd w:val="clear" w:color="auto" w:fill="auto"/>
            <w:noWrap/>
            <w:vAlign w:val="center"/>
            <w:hideMark/>
          </w:tcPr>
          <w:p w14:paraId="59650BD7" w14:textId="7F5686FD" w:rsidR="009A01B7" w:rsidRPr="00E254A5" w:rsidRDefault="009A01B7" w:rsidP="009A01B7">
            <w:pPr>
              <w:jc w:val="right"/>
              <w:rPr>
                <w:rFonts w:ascii="Tahoma" w:hAnsi="Tahoma" w:cs="Tahoma"/>
                <w:b/>
                <w:bCs/>
                <w:color w:val="000000"/>
                <w:sz w:val="17"/>
                <w:szCs w:val="17"/>
              </w:rPr>
            </w:pPr>
            <w:r w:rsidRPr="00E254A5">
              <w:rPr>
                <w:rFonts w:ascii="Tahoma" w:hAnsi="Tahoma" w:cs="Tahoma"/>
                <w:b/>
                <w:bCs/>
                <w:color w:val="000000"/>
                <w:sz w:val="17"/>
                <w:szCs w:val="17"/>
              </w:rPr>
              <w:t>62.560.000,00</w:t>
            </w:r>
          </w:p>
        </w:tc>
      </w:tr>
      <w:tr w:rsidR="009A01B7" w:rsidRPr="00E254A5" w14:paraId="49F23157"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299944F1" w14:textId="77777777" w:rsidR="009A01B7" w:rsidRPr="00E254A5" w:rsidRDefault="009A01B7" w:rsidP="000C654C">
            <w:pPr>
              <w:ind w:left="567" w:hanging="567"/>
              <w:rPr>
                <w:rFonts w:ascii="Tahoma" w:hAnsi="Tahoma" w:cs="Tahoma"/>
                <w:color w:val="000000"/>
                <w:sz w:val="17"/>
                <w:szCs w:val="17"/>
              </w:rPr>
            </w:pPr>
            <w:r w:rsidRPr="00E254A5">
              <w:rPr>
                <w:rFonts w:ascii="Tahoma" w:hAnsi="Tahoma" w:cs="Tahoma"/>
                <w:color w:val="000000"/>
                <w:sz w:val="17"/>
                <w:szCs w:val="17"/>
              </w:rPr>
              <w:t>FUNDAÇÃO ARAUCÁRIA DE APOIO AO DESENVOLVIMENTO CIENTÍFICO E TECNOLÓGICO DO PARANÁ</w:t>
            </w:r>
          </w:p>
        </w:tc>
        <w:tc>
          <w:tcPr>
            <w:tcW w:w="1896" w:type="dxa"/>
            <w:gridSpan w:val="2"/>
            <w:tcBorders>
              <w:top w:val="nil"/>
              <w:left w:val="single" w:sz="4" w:space="0" w:color="8EA9DB"/>
              <w:bottom w:val="nil"/>
              <w:right w:val="nil"/>
            </w:tcBorders>
            <w:shd w:val="clear" w:color="auto" w:fill="auto"/>
            <w:noWrap/>
            <w:vAlign w:val="center"/>
            <w:hideMark/>
          </w:tcPr>
          <w:p w14:paraId="77F69655" w14:textId="37284A42" w:rsidR="009A01B7" w:rsidRPr="00E254A5" w:rsidRDefault="009A01B7" w:rsidP="000C654C">
            <w:pPr>
              <w:ind w:left="567" w:hanging="567"/>
              <w:jc w:val="right"/>
              <w:rPr>
                <w:rFonts w:ascii="Tahoma" w:hAnsi="Tahoma" w:cs="Tahoma"/>
                <w:color w:val="000000"/>
                <w:sz w:val="17"/>
                <w:szCs w:val="17"/>
              </w:rPr>
            </w:pPr>
            <w:r w:rsidRPr="00E254A5">
              <w:rPr>
                <w:rFonts w:ascii="Tahoma" w:hAnsi="Tahoma" w:cs="Tahoma"/>
                <w:color w:val="000000"/>
                <w:sz w:val="17"/>
                <w:szCs w:val="17"/>
              </w:rPr>
              <w:t>21.080.000,00</w:t>
            </w:r>
          </w:p>
        </w:tc>
      </w:tr>
      <w:tr w:rsidR="009A01B7" w:rsidRPr="00E254A5" w14:paraId="75E57A8A"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6B5BB730"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DE AMPARO A PESQUISA DO ESTADO DO RIO GRANDE DO SUL</w:t>
            </w:r>
          </w:p>
        </w:tc>
        <w:tc>
          <w:tcPr>
            <w:tcW w:w="1896" w:type="dxa"/>
            <w:gridSpan w:val="2"/>
            <w:tcBorders>
              <w:top w:val="nil"/>
              <w:left w:val="single" w:sz="4" w:space="0" w:color="8EA9DB"/>
              <w:bottom w:val="nil"/>
              <w:right w:val="nil"/>
            </w:tcBorders>
            <w:shd w:val="clear" w:color="auto" w:fill="auto"/>
            <w:noWrap/>
            <w:vAlign w:val="center"/>
            <w:hideMark/>
          </w:tcPr>
          <w:p w14:paraId="388F8B73" w14:textId="2087C66A"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20.400.000,00</w:t>
            </w:r>
          </w:p>
        </w:tc>
      </w:tr>
      <w:tr w:rsidR="009A01B7" w:rsidRPr="00E254A5" w14:paraId="6A474BF0" w14:textId="77777777" w:rsidTr="000C654C">
        <w:trPr>
          <w:trHeight w:val="255"/>
        </w:trPr>
        <w:tc>
          <w:tcPr>
            <w:tcW w:w="7245" w:type="dxa"/>
            <w:tcBorders>
              <w:top w:val="nil"/>
              <w:left w:val="nil"/>
              <w:bottom w:val="nil"/>
              <w:right w:val="single" w:sz="4" w:space="0" w:color="8EA9DB"/>
            </w:tcBorders>
            <w:shd w:val="clear" w:color="auto" w:fill="auto"/>
            <w:noWrap/>
            <w:vAlign w:val="center"/>
            <w:hideMark/>
          </w:tcPr>
          <w:p w14:paraId="7F9AF012" w14:textId="77777777" w:rsidR="009A01B7" w:rsidRPr="00E254A5" w:rsidRDefault="009A01B7" w:rsidP="009A01B7">
            <w:pPr>
              <w:rPr>
                <w:rFonts w:ascii="Tahoma" w:hAnsi="Tahoma" w:cs="Tahoma"/>
                <w:color w:val="000000"/>
                <w:sz w:val="17"/>
                <w:szCs w:val="17"/>
              </w:rPr>
            </w:pPr>
            <w:r w:rsidRPr="00E254A5">
              <w:rPr>
                <w:rFonts w:ascii="Tahoma" w:hAnsi="Tahoma" w:cs="Tahoma"/>
                <w:color w:val="000000"/>
                <w:sz w:val="17"/>
                <w:szCs w:val="17"/>
              </w:rPr>
              <w:t>FUNDAÇÃO DE AMPARO À PESQUISA E INOVAÇÃO DO ESTADO DE SANTA CATARINA</w:t>
            </w:r>
          </w:p>
        </w:tc>
        <w:tc>
          <w:tcPr>
            <w:tcW w:w="1896" w:type="dxa"/>
            <w:gridSpan w:val="2"/>
            <w:tcBorders>
              <w:top w:val="nil"/>
              <w:left w:val="single" w:sz="4" w:space="0" w:color="8EA9DB"/>
              <w:bottom w:val="nil"/>
              <w:right w:val="nil"/>
            </w:tcBorders>
            <w:shd w:val="clear" w:color="auto" w:fill="auto"/>
            <w:noWrap/>
            <w:vAlign w:val="center"/>
            <w:hideMark/>
          </w:tcPr>
          <w:p w14:paraId="75F8F120" w14:textId="5986BB8F" w:rsidR="009A01B7" w:rsidRPr="00E254A5" w:rsidRDefault="009A01B7" w:rsidP="009A01B7">
            <w:pPr>
              <w:jc w:val="right"/>
              <w:rPr>
                <w:rFonts w:ascii="Tahoma" w:hAnsi="Tahoma" w:cs="Tahoma"/>
                <w:color w:val="000000"/>
                <w:sz w:val="17"/>
                <w:szCs w:val="17"/>
              </w:rPr>
            </w:pPr>
            <w:r w:rsidRPr="00E254A5">
              <w:rPr>
                <w:rFonts w:ascii="Tahoma" w:hAnsi="Tahoma" w:cs="Tahoma"/>
                <w:color w:val="000000"/>
                <w:sz w:val="17"/>
                <w:szCs w:val="17"/>
              </w:rPr>
              <w:t>21.080.000,00</w:t>
            </w:r>
          </w:p>
        </w:tc>
      </w:tr>
      <w:tr w:rsidR="000C654C" w:rsidRPr="00E254A5" w14:paraId="04B41EC2" w14:textId="77777777" w:rsidTr="000C654C">
        <w:trPr>
          <w:trHeight w:val="397"/>
        </w:trPr>
        <w:tc>
          <w:tcPr>
            <w:tcW w:w="7386" w:type="dxa"/>
            <w:gridSpan w:val="2"/>
            <w:tcBorders>
              <w:top w:val="single" w:sz="4" w:space="0" w:color="8EA9DB"/>
              <w:left w:val="single" w:sz="4" w:space="0" w:color="808080" w:themeColor="background1" w:themeShade="80"/>
              <w:bottom w:val="nil"/>
              <w:right w:val="nil"/>
            </w:tcBorders>
            <w:shd w:val="clear" w:color="auto" w:fill="0098BA"/>
            <w:noWrap/>
            <w:vAlign w:val="center"/>
            <w:hideMark/>
          </w:tcPr>
          <w:p w14:paraId="4C392502" w14:textId="0A07F1EF" w:rsidR="009A01B7" w:rsidRPr="00E254A5" w:rsidRDefault="009A01B7" w:rsidP="009A01B7">
            <w:pPr>
              <w:rPr>
                <w:rFonts w:ascii="Tahoma" w:hAnsi="Tahoma" w:cs="Tahoma"/>
                <w:color w:val="FFFFFF" w:themeColor="background1"/>
                <w:sz w:val="17"/>
                <w:szCs w:val="17"/>
              </w:rPr>
            </w:pPr>
            <w:r w:rsidRPr="00E254A5">
              <w:rPr>
                <w:rFonts w:ascii="Tahoma" w:hAnsi="Tahoma" w:cs="Tahoma"/>
                <w:color w:val="FFFFFF" w:themeColor="background1"/>
                <w:sz w:val="17"/>
                <w:szCs w:val="17"/>
              </w:rPr>
              <w:t>Total</w:t>
            </w:r>
          </w:p>
        </w:tc>
        <w:tc>
          <w:tcPr>
            <w:tcW w:w="1755" w:type="dxa"/>
            <w:tcBorders>
              <w:top w:val="single" w:sz="4" w:space="0" w:color="8EA9DB"/>
              <w:left w:val="nil"/>
              <w:bottom w:val="nil"/>
              <w:right w:val="nil"/>
            </w:tcBorders>
            <w:shd w:val="clear" w:color="auto" w:fill="0098BA"/>
            <w:noWrap/>
            <w:vAlign w:val="center"/>
            <w:hideMark/>
          </w:tcPr>
          <w:p w14:paraId="474D8A01" w14:textId="473EA02B" w:rsidR="009A01B7" w:rsidRPr="00E254A5" w:rsidRDefault="009A01B7" w:rsidP="009A01B7">
            <w:pPr>
              <w:jc w:val="right"/>
              <w:rPr>
                <w:rFonts w:ascii="Tahoma" w:hAnsi="Tahoma" w:cs="Tahoma"/>
                <w:color w:val="FFFFFF" w:themeColor="background1"/>
                <w:sz w:val="17"/>
                <w:szCs w:val="17"/>
              </w:rPr>
            </w:pPr>
            <w:r w:rsidRPr="00E254A5">
              <w:rPr>
                <w:rFonts w:ascii="Tahoma" w:hAnsi="Tahoma" w:cs="Tahoma"/>
                <w:color w:val="FFFFFF" w:themeColor="background1"/>
                <w:sz w:val="17"/>
                <w:szCs w:val="17"/>
              </w:rPr>
              <w:t>257.242.493,00</w:t>
            </w:r>
          </w:p>
        </w:tc>
      </w:tr>
      <w:bookmarkEnd w:id="113"/>
    </w:tbl>
    <w:p w14:paraId="4E1A07A5" w14:textId="77777777" w:rsidR="009A01B7" w:rsidRDefault="009A01B7">
      <w:pPr>
        <w:spacing w:before="120" w:after="120" w:line="360" w:lineRule="auto"/>
        <w:rPr>
          <w:rFonts w:ascii="Tahoma" w:hAnsi="Tahoma" w:cs="Tahoma"/>
          <w:sz w:val="19"/>
          <w:szCs w:val="19"/>
        </w:rPr>
      </w:pPr>
    </w:p>
    <w:p w14:paraId="5615FCBD" w14:textId="77777777" w:rsidR="00BE2BB0" w:rsidRPr="00BE2BB0" w:rsidRDefault="00BE2BB0" w:rsidP="00BE2BB0">
      <w:pPr>
        <w:spacing w:before="120" w:after="120" w:line="360" w:lineRule="auto"/>
        <w:rPr>
          <w:rFonts w:ascii="Tahoma" w:hAnsi="Tahoma" w:cs="Tahoma"/>
          <w:color w:val="0098BA"/>
          <w:sz w:val="19"/>
          <w:szCs w:val="19"/>
        </w:rPr>
      </w:pPr>
      <w:r w:rsidRPr="00BE2BB0">
        <w:rPr>
          <w:rFonts w:ascii="Tahoma" w:hAnsi="Tahoma" w:cs="Tahoma"/>
          <w:color w:val="0098BA"/>
          <w:sz w:val="19"/>
          <w:szCs w:val="19"/>
        </w:rPr>
        <w:t>Centelha</w:t>
      </w:r>
    </w:p>
    <w:p w14:paraId="248DC7C9" w14:textId="239BFFD5" w:rsidR="00BE2BB0" w:rsidRPr="00BE2BB0" w:rsidRDefault="00BE2BB0" w:rsidP="00BE2BB0">
      <w:pPr>
        <w:spacing w:before="120" w:after="120" w:line="360" w:lineRule="auto"/>
        <w:rPr>
          <w:rFonts w:ascii="Tahoma" w:hAnsi="Tahoma" w:cs="Tahoma"/>
          <w:color w:val="000000"/>
          <w:sz w:val="19"/>
          <w:szCs w:val="19"/>
        </w:rPr>
      </w:pPr>
      <w:r w:rsidRPr="00BE2BB0">
        <w:rPr>
          <w:rFonts w:ascii="Tahoma" w:hAnsi="Tahoma" w:cs="Tahoma"/>
          <w:color w:val="000000"/>
          <w:sz w:val="19"/>
          <w:szCs w:val="19"/>
        </w:rPr>
        <w:t>Com o objetivo de estimular a criação de empreendimentos inovadores, o Programa Centelha alia recursos financeiros da subvenção a capacitações em um processo que parte das questões e ideias trazidas pelos participantes e vai até o desenvolvimento dos projetos. O Programa Centelha visa também contribuir para a articulação dos sistemas locais, estaduais e regionais de inovação e para a disseminação da cultura do empreendedorismo.</w:t>
      </w:r>
    </w:p>
    <w:p w14:paraId="31ED4B12" w14:textId="1F131D1E" w:rsidR="00BE2BB0" w:rsidRPr="00BE2BB0" w:rsidRDefault="00BE2BB0" w:rsidP="00BE2BB0">
      <w:pPr>
        <w:spacing w:before="120" w:after="120" w:line="360" w:lineRule="auto"/>
        <w:rPr>
          <w:rFonts w:ascii="Tahoma" w:hAnsi="Tahoma" w:cs="Tahoma"/>
          <w:color w:val="000000"/>
          <w:sz w:val="19"/>
          <w:szCs w:val="19"/>
        </w:rPr>
      </w:pPr>
      <w:r w:rsidRPr="00BE2BB0">
        <w:rPr>
          <w:rFonts w:ascii="Tahoma" w:hAnsi="Tahoma" w:cs="Tahoma"/>
          <w:color w:val="000000"/>
          <w:sz w:val="19"/>
          <w:szCs w:val="19"/>
        </w:rPr>
        <w:t>As instituições parceiras nos estados são selecionadas por meio de cartas-convite. Esse processo já aconteceu duas vezes: a primeira edição foi realizada entre 2018 e 2019 e a segunda edição selecionou as instituições parceiras em dezembro de 2020. Ao longo de 2021 e 2022, estas instituições, em sua maioria Fundações de Amparo à Pesquisa nos estados, lançaram seus processos de seleção pública para selecionar ideias e empreendedores.</w:t>
      </w:r>
      <w:r w:rsidR="001A2210">
        <w:rPr>
          <w:rFonts w:ascii="Tahoma" w:hAnsi="Tahoma" w:cs="Tahoma"/>
          <w:color w:val="000000"/>
          <w:sz w:val="19"/>
          <w:szCs w:val="19"/>
        </w:rPr>
        <w:t xml:space="preserve"> O porte de todas as empresas apoiadas pelo Centelha é </w:t>
      </w:r>
      <w:r w:rsidR="001A2210" w:rsidRPr="001A2210">
        <w:rPr>
          <w:rFonts w:ascii="Tahoma" w:hAnsi="Tahoma" w:cs="Tahoma"/>
          <w:color w:val="000000"/>
          <w:sz w:val="19"/>
          <w:szCs w:val="19"/>
        </w:rPr>
        <w:t>Microempresa e Empresa de Pequeno Porte (EPP)</w:t>
      </w:r>
      <w:r w:rsidR="001A2210">
        <w:rPr>
          <w:rFonts w:ascii="Tahoma" w:hAnsi="Tahoma" w:cs="Tahoma"/>
          <w:color w:val="000000"/>
          <w:sz w:val="19"/>
          <w:szCs w:val="19"/>
        </w:rPr>
        <w:t>.</w:t>
      </w:r>
    </w:p>
    <w:p w14:paraId="374DED6E" w14:textId="77F860FD" w:rsidR="00BE2BB0" w:rsidRPr="00BE2BB0" w:rsidRDefault="001A2210" w:rsidP="00BE2BB0">
      <w:pPr>
        <w:spacing w:before="120" w:after="120" w:line="360" w:lineRule="auto"/>
        <w:rPr>
          <w:rFonts w:ascii="Tahoma" w:hAnsi="Tahoma" w:cs="Tahoma"/>
          <w:color w:val="000000"/>
          <w:sz w:val="19"/>
          <w:szCs w:val="19"/>
        </w:rPr>
      </w:pPr>
      <w:r w:rsidRPr="00AA1367">
        <w:rPr>
          <w:rFonts w:ascii="Tahoma" w:hAnsi="Tahoma" w:cs="Tahoma"/>
          <w:noProof/>
          <w:sz w:val="19"/>
          <w:szCs w:val="19"/>
        </w:rPr>
        <mc:AlternateContent>
          <mc:Choice Requires="wps">
            <w:drawing>
              <wp:anchor distT="0" distB="0" distL="114300" distR="114300" simplePos="0" relativeHeight="251827200" behindDoc="0" locked="0" layoutInCell="1" allowOverlap="1" wp14:anchorId="26F75433" wp14:editId="42771B3B">
                <wp:simplePos x="0" y="0"/>
                <wp:positionH relativeFrom="column">
                  <wp:posOffset>1555750</wp:posOffset>
                </wp:positionH>
                <wp:positionV relativeFrom="paragraph">
                  <wp:posOffset>79877</wp:posOffset>
                </wp:positionV>
                <wp:extent cx="4219575" cy="647700"/>
                <wp:effectExtent l="0" t="0" r="9525" b="0"/>
                <wp:wrapNone/>
                <wp:docPr id="39004692" name="Text Box 237"/>
                <wp:cNvGraphicFramePr/>
                <a:graphic xmlns:a="http://schemas.openxmlformats.org/drawingml/2006/main">
                  <a:graphicData uri="http://schemas.microsoft.com/office/word/2010/wordprocessingShape">
                    <wps:wsp>
                      <wps:cNvSpPr txBox="1"/>
                      <wps:spPr>
                        <a:xfrm>
                          <a:off x="0" y="0"/>
                          <a:ext cx="4219575" cy="647700"/>
                        </a:xfrm>
                        <a:prstGeom prst="rect">
                          <a:avLst/>
                        </a:prstGeom>
                        <a:solidFill>
                          <a:srgbClr val="0098BA">
                            <a:alpha val="25098"/>
                          </a:srgbClr>
                        </a:solidFill>
                        <a:ln w="6345">
                          <a:noFill/>
                          <a:prstDash val="dash"/>
                        </a:ln>
                      </wps:spPr>
                      <wps:txbx>
                        <w:txbxContent>
                          <w:p w14:paraId="75CAA2EE" w14:textId="0824B733" w:rsidR="00BE2BB0" w:rsidRPr="00F86869" w:rsidRDefault="00BE2BB0" w:rsidP="00BE2BB0">
                            <w:pPr>
                              <w:jc w:val="right"/>
                              <w:rPr>
                                <w:rFonts w:ascii="Tahoma" w:hAnsi="Tahoma" w:cs="Tahoma"/>
                                <w:sz w:val="16"/>
                                <w:szCs w:val="16"/>
                              </w:rPr>
                            </w:pPr>
                            <w:r w:rsidRPr="00BE2BB0">
                              <w:rPr>
                                <w:rFonts w:ascii="Tahoma" w:hAnsi="Tahoma" w:cs="Tahoma"/>
                                <w:sz w:val="16"/>
                                <w:szCs w:val="16"/>
                              </w:rPr>
                              <w:t xml:space="preserve">Informações sobre o Programa Centelha podem ser acessadas </w:t>
                            </w:r>
                            <w:r w:rsidR="009B52B7" w:rsidRPr="00BE2BB0">
                              <w:rPr>
                                <w:rFonts w:ascii="Tahoma" w:hAnsi="Tahoma" w:cs="Tahoma"/>
                                <w:sz w:val="16"/>
                                <w:szCs w:val="16"/>
                              </w:rPr>
                              <w:t xml:space="preserve">no site da Finep em </w:t>
                            </w:r>
                            <w:hyperlink r:id="rId161" w:history="1">
                              <w:r w:rsidR="009B52B7" w:rsidRPr="00E7794C">
                                <w:rPr>
                                  <w:rStyle w:val="Hyperlink"/>
                                  <w:rFonts w:ascii="Tahoma" w:hAnsi="Tahoma" w:cs="Tahoma"/>
                                  <w:sz w:val="16"/>
                                  <w:szCs w:val="16"/>
                                </w:rPr>
                                <w:t>http://www.finep.gov.br/apoio-e-financiamento-externa/programas-e-linhas/centelha</w:t>
                              </w:r>
                            </w:hyperlink>
                            <w:r w:rsidR="009B52B7">
                              <w:rPr>
                                <w:rFonts w:ascii="Tahoma" w:hAnsi="Tahoma" w:cs="Tahoma"/>
                                <w:sz w:val="16"/>
                                <w:szCs w:val="16"/>
                              </w:rPr>
                              <w:t xml:space="preserve"> e </w:t>
                            </w:r>
                            <w:r w:rsidRPr="00BE2BB0">
                              <w:rPr>
                                <w:rFonts w:ascii="Tahoma" w:hAnsi="Tahoma" w:cs="Tahoma"/>
                                <w:sz w:val="16"/>
                                <w:szCs w:val="16"/>
                              </w:rPr>
                              <w:t xml:space="preserve">em </w:t>
                            </w:r>
                            <w:hyperlink r:id="rId162" w:history="1">
                              <w:r w:rsidRPr="00E7794C">
                                <w:rPr>
                                  <w:rStyle w:val="Hyperlink"/>
                                  <w:rFonts w:ascii="Tahoma" w:hAnsi="Tahoma" w:cs="Tahoma"/>
                                  <w:sz w:val="16"/>
                                  <w:szCs w:val="16"/>
                                </w:rPr>
                                <w:t>https://programacentelha.com.br/</w:t>
                              </w:r>
                            </w:hyperlink>
                            <w:r w:rsidR="009B52B7">
                              <w:rPr>
                                <w:rFonts w:ascii="Tahoma" w:hAnsi="Tahoma" w:cs="Tahoma"/>
                                <w:sz w:val="16"/>
                                <w:szCs w:val="16"/>
                              </w:rPr>
                              <w:t>. Nesse site também é possível baixar o e-book ‘Programa Centelha: resultados da primeira edição’</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26F75433" id="_x0000_s1041" type="#_x0000_t202" style="position:absolute;margin-left:122.5pt;margin-top:6.3pt;width:332.25pt;height:51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" fillcolor="#0098ba" stroked="f" strokeweight=".17625mm">
                <v:fill opacity="16448f"/>
                <v:stroke dashstyle="dash"/>
                <v:textbox>
                  <w:txbxContent>
                    <w:p w14:paraId="75CAA2EE" w14:textId="0824B733" w:rsidR="00BE2BB0" w:rsidRPr="00F86869" w:rsidRDefault="00BE2BB0" w:rsidP="00BE2BB0">
                      <w:pPr>
                        <w:jc w:val="right"/>
                        <w:rPr>
                          <w:rFonts w:ascii="Tahoma" w:hAnsi="Tahoma" w:cs="Tahoma"/>
                          <w:sz w:val="16"/>
                          <w:szCs w:val="16"/>
                        </w:rPr>
                      </w:pPr>
                      <w:r w:rsidRPr="00BE2BB0">
                        <w:rPr>
                          <w:rFonts w:ascii="Tahoma" w:hAnsi="Tahoma" w:cs="Tahoma"/>
                          <w:sz w:val="16"/>
                          <w:szCs w:val="16"/>
                        </w:rPr>
                        <w:t xml:space="preserve">Informações sobre o Programa Centelha podem ser acessadas </w:t>
                      </w:r>
                      <w:r w:rsidR="009B52B7" w:rsidRPr="00BE2BB0">
                        <w:rPr>
                          <w:rFonts w:ascii="Tahoma" w:hAnsi="Tahoma" w:cs="Tahoma"/>
                          <w:sz w:val="16"/>
                          <w:szCs w:val="16"/>
                        </w:rPr>
                        <w:t xml:space="preserve">no site da Finep em </w:t>
                      </w:r>
                      <w:hyperlink r:id="rId163" w:history="1">
                        <w:r w:rsidR="009B52B7" w:rsidRPr="00E7794C">
                          <w:rPr>
                            <w:rStyle w:val="Hyperlink"/>
                            <w:rFonts w:ascii="Tahoma" w:hAnsi="Tahoma" w:cs="Tahoma"/>
                            <w:sz w:val="16"/>
                            <w:szCs w:val="16"/>
                          </w:rPr>
                          <w:t>http://www.finep.gov.br/apoio-e-financiamento-externa/programas-e-linhas/centelha</w:t>
                        </w:r>
                      </w:hyperlink>
                      <w:r w:rsidR="009B52B7">
                        <w:rPr>
                          <w:rFonts w:ascii="Tahoma" w:hAnsi="Tahoma" w:cs="Tahoma"/>
                          <w:sz w:val="16"/>
                          <w:szCs w:val="16"/>
                        </w:rPr>
                        <w:t xml:space="preserve"> e </w:t>
                      </w:r>
                      <w:r w:rsidRPr="00BE2BB0">
                        <w:rPr>
                          <w:rFonts w:ascii="Tahoma" w:hAnsi="Tahoma" w:cs="Tahoma"/>
                          <w:sz w:val="16"/>
                          <w:szCs w:val="16"/>
                        </w:rPr>
                        <w:t xml:space="preserve">em </w:t>
                      </w:r>
                      <w:hyperlink r:id="rId164" w:history="1">
                        <w:r w:rsidRPr="00E7794C">
                          <w:rPr>
                            <w:rStyle w:val="Hyperlink"/>
                            <w:rFonts w:ascii="Tahoma" w:hAnsi="Tahoma" w:cs="Tahoma"/>
                            <w:sz w:val="16"/>
                            <w:szCs w:val="16"/>
                          </w:rPr>
                          <w:t>https://programacentelha.com.br/</w:t>
                        </w:r>
                      </w:hyperlink>
                      <w:r w:rsidR="009B52B7">
                        <w:rPr>
                          <w:rFonts w:ascii="Tahoma" w:hAnsi="Tahoma" w:cs="Tahoma"/>
                          <w:sz w:val="16"/>
                          <w:szCs w:val="16"/>
                        </w:rPr>
                        <w:t>. Nesse site também é possível baixar o e-book ‘Programa Centelha: resultados da primeira edição’</w:t>
                      </w:r>
                    </w:p>
                  </w:txbxContent>
                </v:textbox>
              </v:shape>
            </w:pict>
          </mc:Fallback>
        </mc:AlternateContent>
      </w:r>
    </w:p>
    <w:p w14:paraId="5C9F6311" w14:textId="1583248F" w:rsidR="00BE2BB0" w:rsidRPr="009B52B7" w:rsidRDefault="00BE2BB0" w:rsidP="009B52B7">
      <w:pPr>
        <w:spacing w:before="120" w:after="120" w:line="360" w:lineRule="auto"/>
        <w:rPr>
          <w:rFonts w:ascii="Tahoma" w:hAnsi="Tahoma" w:cs="Tahoma"/>
          <w:color w:val="000000"/>
          <w:sz w:val="19"/>
          <w:szCs w:val="19"/>
        </w:rPr>
      </w:pPr>
    </w:p>
    <w:p w14:paraId="50A3EF81" w14:textId="20FF8D21" w:rsidR="000D6D0A" w:rsidRDefault="000D6D0A" w:rsidP="009B52B7">
      <w:pPr>
        <w:spacing w:before="120" w:after="120" w:line="360" w:lineRule="auto"/>
        <w:rPr>
          <w:rFonts w:ascii="Tahoma" w:hAnsi="Tahoma" w:cs="Tahoma"/>
          <w:color w:val="000000"/>
          <w:sz w:val="19"/>
          <w:szCs w:val="19"/>
        </w:rPr>
      </w:pPr>
    </w:p>
    <w:p w14:paraId="55267DC2" w14:textId="2DFA04C0" w:rsidR="000D6D0A" w:rsidRDefault="004D20DD">
      <w:pPr>
        <w:spacing w:after="160"/>
        <w:textAlignment w:val="baseline"/>
        <w:rPr>
          <w:rFonts w:ascii="Tahoma" w:hAnsi="Tahoma" w:cs="Tahoma"/>
          <w:sz w:val="19"/>
          <w:szCs w:val="19"/>
        </w:rPr>
      </w:pPr>
      <w:r>
        <w:rPr>
          <w:noProof/>
        </w:rPr>
        <w:lastRenderedPageBreak/>
        <w:drawing>
          <wp:inline distT="0" distB="0" distL="0" distR="0" wp14:anchorId="79D1661B" wp14:editId="451A46C5">
            <wp:extent cx="5795010" cy="4879340"/>
            <wp:effectExtent l="0" t="0" r="0" b="0"/>
            <wp:docPr id="1595518754" name="Imagem 6"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18754" name="Imagem 6" descr="Mapa&#10;&#10;Descrição gerada automaticament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95010" cy="4879340"/>
                    </a:xfrm>
                    <a:prstGeom prst="rect">
                      <a:avLst/>
                    </a:prstGeom>
                    <a:noFill/>
                    <a:ln>
                      <a:noFill/>
                    </a:ln>
                  </pic:spPr>
                </pic:pic>
              </a:graphicData>
            </a:graphic>
          </wp:inline>
        </w:drawing>
      </w:r>
    </w:p>
    <w:p w14:paraId="188BCD97" w14:textId="0548E5A9" w:rsidR="00DC0ADE" w:rsidRDefault="00DC0ADE">
      <w:pPr>
        <w:autoSpaceDN w:val="0"/>
        <w:spacing w:after="160"/>
        <w:textAlignment w:val="baseline"/>
        <w:rPr>
          <w:rFonts w:ascii="Tahoma" w:hAnsi="Tahoma" w:cs="Tahoma"/>
          <w:sz w:val="19"/>
          <w:szCs w:val="19"/>
        </w:rPr>
      </w:pPr>
    </w:p>
    <w:p w14:paraId="54894576" w14:textId="1C355157" w:rsidR="00E254A5" w:rsidRPr="00A1124A" w:rsidRDefault="00E254A5" w:rsidP="00BE2BB0">
      <w:pPr>
        <w:rPr>
          <w:rFonts w:ascii="Tahoma" w:hAnsi="Tahoma" w:cs="Tahoma"/>
          <w:color w:val="0098BA"/>
          <w:sz w:val="19"/>
          <w:szCs w:val="19"/>
        </w:rPr>
      </w:pPr>
      <w:r w:rsidRPr="00A1124A">
        <w:rPr>
          <w:rFonts w:ascii="Tahoma" w:hAnsi="Tahoma" w:cs="Tahoma"/>
          <w:color w:val="0098BA"/>
          <w:sz w:val="19"/>
          <w:szCs w:val="19"/>
        </w:rPr>
        <w:t>Resultados quantitativos</w:t>
      </w:r>
      <w:r w:rsidR="001228A6">
        <w:rPr>
          <w:rFonts w:ascii="Tahoma" w:hAnsi="Tahoma" w:cs="Tahoma"/>
          <w:color w:val="0098BA"/>
          <w:sz w:val="19"/>
          <w:szCs w:val="19"/>
        </w:rPr>
        <w:t xml:space="preserve"> – Tecnova e Centelha</w:t>
      </w:r>
    </w:p>
    <w:p w14:paraId="28ADC0CC" w14:textId="77777777" w:rsidR="00E254A5" w:rsidRDefault="00E254A5" w:rsidP="00E254A5">
      <w:pPr>
        <w:spacing w:before="120"/>
        <w:ind w:right="1188"/>
        <w:jc w:val="right"/>
      </w:pPr>
      <w:r>
        <w:rPr>
          <w:rFonts w:ascii="Tahoma" w:hAnsi="Tahoma" w:cs="Tahoma"/>
          <w:bCs/>
          <w:color w:val="000000"/>
          <w:sz w:val="18"/>
          <w:szCs w:val="18"/>
        </w:rPr>
        <w:t>Posição em 31/12/2023</w:t>
      </w:r>
    </w:p>
    <w:tbl>
      <w:tblPr>
        <w:tblW w:w="7938" w:type="dxa"/>
        <w:tblLayout w:type="fixed"/>
        <w:tblCellMar>
          <w:left w:w="10" w:type="dxa"/>
          <w:right w:w="10" w:type="dxa"/>
        </w:tblCellMar>
        <w:tblLook w:val="04A0" w:firstRow="1" w:lastRow="0" w:firstColumn="1" w:lastColumn="0" w:noHBand="0" w:noVBand="1"/>
      </w:tblPr>
      <w:tblGrid>
        <w:gridCol w:w="2268"/>
        <w:gridCol w:w="1134"/>
        <w:gridCol w:w="1560"/>
        <w:gridCol w:w="992"/>
        <w:gridCol w:w="1984"/>
      </w:tblGrid>
      <w:tr w:rsidR="001228A6" w:rsidRPr="001228A6" w14:paraId="297BC601" w14:textId="77777777" w:rsidTr="001228A6">
        <w:trPr>
          <w:trHeight w:val="315"/>
          <w:tblHeader/>
        </w:trPr>
        <w:tc>
          <w:tcPr>
            <w:tcW w:w="2268" w:type="dxa"/>
            <w:vMerge w:val="restart"/>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1AA1A4FE" w14:textId="450C846B" w:rsidR="001228A6" w:rsidRPr="001228A6" w:rsidRDefault="001228A6" w:rsidP="00097EE2">
            <w:pPr>
              <w:rPr>
                <w:rFonts w:ascii="Tahoma" w:hAnsi="Tahoma" w:cs="Tahoma"/>
                <w:color w:val="FFFFFF" w:themeColor="background1"/>
                <w:sz w:val="19"/>
                <w:szCs w:val="19"/>
              </w:rPr>
            </w:pPr>
            <w:r w:rsidRPr="001228A6">
              <w:rPr>
                <w:rFonts w:ascii="Tahoma" w:hAnsi="Tahoma" w:cs="Tahoma"/>
                <w:color w:val="FFFFFF" w:themeColor="background1"/>
                <w:sz w:val="19"/>
                <w:szCs w:val="19"/>
              </w:rPr>
              <w:t xml:space="preserve">Subvenção descentralizada - </w:t>
            </w:r>
          </w:p>
          <w:p w14:paraId="2CCA2295" w14:textId="33D8AE40" w:rsidR="00E254A5" w:rsidRPr="00904CBF" w:rsidRDefault="00E254A5" w:rsidP="00097EE2">
            <w:pPr>
              <w:rPr>
                <w:rFonts w:ascii="Tahoma" w:hAnsi="Tahoma" w:cs="Tahoma"/>
                <w:b/>
                <w:bCs/>
                <w:color w:val="FFFFFF" w:themeColor="background1"/>
                <w:sz w:val="19"/>
                <w:szCs w:val="19"/>
              </w:rPr>
            </w:pPr>
            <w:r w:rsidRPr="00904CBF">
              <w:rPr>
                <w:rFonts w:ascii="Tahoma" w:hAnsi="Tahoma" w:cs="Tahoma"/>
                <w:b/>
                <w:bCs/>
                <w:color w:val="FFFFFF" w:themeColor="background1"/>
                <w:sz w:val="19"/>
                <w:szCs w:val="19"/>
              </w:rPr>
              <w:t>Parceiras Estaduais</w:t>
            </w:r>
          </w:p>
        </w:tc>
        <w:tc>
          <w:tcPr>
            <w:tcW w:w="2694" w:type="dxa"/>
            <w:gridSpan w:val="2"/>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619D8B1D" w14:textId="77777777" w:rsidR="00E254A5" w:rsidRPr="001228A6" w:rsidRDefault="00E254A5" w:rsidP="00097EE2">
            <w:pPr>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2022</w:t>
            </w:r>
          </w:p>
        </w:tc>
        <w:tc>
          <w:tcPr>
            <w:tcW w:w="2976" w:type="dxa"/>
            <w:gridSpan w:val="2"/>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73EEC155" w14:textId="77777777" w:rsidR="00E254A5" w:rsidRPr="001228A6" w:rsidRDefault="00E254A5" w:rsidP="00097EE2">
            <w:pPr>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2023</w:t>
            </w:r>
          </w:p>
        </w:tc>
      </w:tr>
      <w:tr w:rsidR="001228A6" w:rsidRPr="001228A6" w14:paraId="51B27DCF" w14:textId="77777777" w:rsidTr="001228A6">
        <w:trPr>
          <w:trHeight w:val="662"/>
          <w:tblHeader/>
        </w:trPr>
        <w:tc>
          <w:tcPr>
            <w:tcW w:w="2268" w:type="dxa"/>
            <w:vMerge/>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0C67CC0A" w14:textId="77777777" w:rsidR="00E254A5" w:rsidRPr="001228A6" w:rsidRDefault="00E254A5" w:rsidP="00097EE2">
            <w:pPr>
              <w:rPr>
                <w:rFonts w:ascii="Tahoma" w:hAnsi="Tahoma" w:cs="Tahoma"/>
                <w:color w:val="FFFFFF" w:themeColor="background1"/>
                <w:sz w:val="19"/>
                <w:szCs w:val="19"/>
              </w:rPr>
            </w:pPr>
          </w:p>
        </w:tc>
        <w:tc>
          <w:tcPr>
            <w:tcW w:w="1134"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050B4D8A" w14:textId="77777777" w:rsidR="00E254A5" w:rsidRPr="001228A6" w:rsidRDefault="00E254A5" w:rsidP="00097EE2">
            <w:pPr>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Nº de contratos</w:t>
            </w:r>
          </w:p>
        </w:tc>
        <w:tc>
          <w:tcPr>
            <w:tcW w:w="1560"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1DAA5990" w14:textId="77777777" w:rsidR="00E254A5" w:rsidRPr="001228A6" w:rsidRDefault="00E254A5" w:rsidP="00097EE2">
            <w:pPr>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R$</w:t>
            </w:r>
          </w:p>
        </w:tc>
        <w:tc>
          <w:tcPr>
            <w:tcW w:w="992"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2B3AA628" w14:textId="77777777" w:rsidR="00E254A5" w:rsidRPr="001228A6" w:rsidRDefault="00E254A5" w:rsidP="00097EE2">
            <w:pPr>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Nº de contratos</w:t>
            </w:r>
          </w:p>
        </w:tc>
        <w:tc>
          <w:tcPr>
            <w:tcW w:w="1984" w:type="dxa"/>
            <w:tcBorders>
              <w:bottom w:val="single" w:sz="8" w:space="0" w:color="A6A6A6"/>
            </w:tcBorders>
            <w:shd w:val="clear" w:color="auto" w:fill="0098BA"/>
            <w:tcMar>
              <w:top w:w="0" w:type="dxa"/>
              <w:left w:w="70" w:type="dxa"/>
              <w:bottom w:w="0" w:type="dxa"/>
              <w:right w:w="70" w:type="dxa"/>
            </w:tcMar>
            <w:vAlign w:val="center"/>
          </w:tcPr>
          <w:p w14:paraId="040512E5" w14:textId="77777777" w:rsidR="00E254A5" w:rsidRPr="001228A6" w:rsidRDefault="00E254A5" w:rsidP="00097EE2">
            <w:pPr>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R$</w:t>
            </w:r>
          </w:p>
        </w:tc>
      </w:tr>
      <w:tr w:rsidR="00E254A5" w14:paraId="6FC80430" w14:textId="77777777" w:rsidTr="001228A6">
        <w:trPr>
          <w:trHeight w:val="283"/>
        </w:trPr>
        <w:tc>
          <w:tcPr>
            <w:tcW w:w="2268"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479144E4" w14:textId="77777777" w:rsidR="00E254A5" w:rsidRDefault="00E254A5" w:rsidP="00097EE2">
            <w:pPr>
              <w:ind w:firstLine="134"/>
              <w:rPr>
                <w:rFonts w:ascii="Tahoma" w:hAnsi="Tahoma" w:cs="Tahoma"/>
                <w:color w:val="000000"/>
                <w:sz w:val="19"/>
                <w:szCs w:val="19"/>
              </w:rPr>
            </w:pPr>
            <w:r>
              <w:rPr>
                <w:rFonts w:ascii="Tahoma" w:hAnsi="Tahoma" w:cs="Tahoma"/>
                <w:color w:val="000000"/>
                <w:sz w:val="19"/>
                <w:szCs w:val="19"/>
              </w:rPr>
              <w:t>Contratação</w:t>
            </w:r>
          </w:p>
        </w:tc>
        <w:tc>
          <w:tcPr>
            <w:tcW w:w="1134"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2B0CBEBD" w14:textId="77777777" w:rsidR="00E254A5" w:rsidRDefault="00E254A5" w:rsidP="00097EE2">
            <w:pPr>
              <w:jc w:val="center"/>
              <w:rPr>
                <w:rFonts w:ascii="Tahoma" w:hAnsi="Tahoma" w:cs="Tahoma"/>
                <w:sz w:val="19"/>
                <w:szCs w:val="19"/>
              </w:rPr>
            </w:pPr>
            <w:r>
              <w:rPr>
                <w:rFonts w:ascii="Tahoma" w:hAnsi="Tahoma" w:cs="Tahoma"/>
                <w:sz w:val="19"/>
                <w:szCs w:val="19"/>
              </w:rPr>
              <w:t>0</w:t>
            </w:r>
          </w:p>
        </w:tc>
        <w:tc>
          <w:tcPr>
            <w:tcW w:w="1560"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22FE1F52" w14:textId="77777777" w:rsidR="00E254A5" w:rsidRDefault="00E254A5" w:rsidP="00097EE2">
            <w:pPr>
              <w:ind w:firstLine="134"/>
              <w:jc w:val="right"/>
              <w:rPr>
                <w:rFonts w:ascii="Tahoma" w:hAnsi="Tahoma" w:cs="Tahoma"/>
                <w:sz w:val="19"/>
                <w:szCs w:val="19"/>
              </w:rPr>
            </w:pPr>
            <w:r>
              <w:rPr>
                <w:rFonts w:ascii="Tahoma" w:hAnsi="Tahoma" w:cs="Tahoma"/>
                <w:sz w:val="19"/>
                <w:szCs w:val="19"/>
              </w:rPr>
              <w:t>-</w:t>
            </w:r>
          </w:p>
        </w:tc>
        <w:tc>
          <w:tcPr>
            <w:tcW w:w="992"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0A044B48" w14:textId="77777777" w:rsidR="00E254A5" w:rsidRDefault="00E254A5" w:rsidP="00097EE2">
            <w:pPr>
              <w:jc w:val="center"/>
              <w:rPr>
                <w:rFonts w:ascii="Tahoma" w:hAnsi="Tahoma" w:cs="Tahoma"/>
                <w:sz w:val="19"/>
                <w:szCs w:val="19"/>
              </w:rPr>
            </w:pPr>
            <w:r>
              <w:rPr>
                <w:rFonts w:ascii="Tahoma" w:hAnsi="Tahoma" w:cs="Tahoma"/>
                <w:sz w:val="19"/>
                <w:szCs w:val="19"/>
              </w:rPr>
              <w:t>23</w:t>
            </w:r>
          </w:p>
        </w:tc>
        <w:tc>
          <w:tcPr>
            <w:tcW w:w="1984" w:type="dxa"/>
            <w:tcBorders>
              <w:bottom w:val="single" w:sz="8" w:space="0" w:color="A6A6A6"/>
            </w:tcBorders>
            <w:shd w:val="clear" w:color="auto" w:fill="auto"/>
            <w:tcMar>
              <w:top w:w="0" w:type="dxa"/>
              <w:left w:w="70" w:type="dxa"/>
              <w:bottom w:w="0" w:type="dxa"/>
              <w:right w:w="70" w:type="dxa"/>
            </w:tcMar>
            <w:vAlign w:val="center"/>
          </w:tcPr>
          <w:p w14:paraId="61C8CF5D" w14:textId="77777777" w:rsidR="00E254A5" w:rsidRDefault="00E254A5" w:rsidP="001228A6">
            <w:pPr>
              <w:ind w:firstLine="134"/>
              <w:jc w:val="right"/>
              <w:rPr>
                <w:rFonts w:ascii="Tahoma" w:hAnsi="Tahoma" w:cs="Tahoma"/>
                <w:sz w:val="19"/>
                <w:szCs w:val="19"/>
              </w:rPr>
            </w:pPr>
            <w:r w:rsidRPr="00034781">
              <w:rPr>
                <w:rFonts w:ascii="Tahoma" w:hAnsi="Tahoma" w:cs="Tahoma"/>
                <w:sz w:val="19"/>
                <w:szCs w:val="19"/>
              </w:rPr>
              <w:t>243.843.500,00</w:t>
            </w:r>
          </w:p>
        </w:tc>
      </w:tr>
      <w:tr w:rsidR="001228A6" w14:paraId="688D5AD6" w14:textId="77777777" w:rsidTr="001228A6">
        <w:trPr>
          <w:trHeight w:val="283"/>
        </w:trPr>
        <w:tc>
          <w:tcPr>
            <w:tcW w:w="2268"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6755AABC" w14:textId="77777777" w:rsidR="001228A6" w:rsidRDefault="001228A6" w:rsidP="001228A6">
            <w:pPr>
              <w:ind w:firstLine="134"/>
              <w:rPr>
                <w:rFonts w:ascii="Tahoma" w:hAnsi="Tahoma" w:cs="Tahoma"/>
                <w:color w:val="000000"/>
                <w:sz w:val="19"/>
                <w:szCs w:val="19"/>
              </w:rPr>
            </w:pPr>
            <w:r>
              <w:rPr>
                <w:rFonts w:ascii="Tahoma" w:hAnsi="Tahoma" w:cs="Tahoma"/>
                <w:color w:val="000000"/>
                <w:sz w:val="19"/>
                <w:szCs w:val="19"/>
              </w:rPr>
              <w:t>Liberação</w:t>
            </w:r>
          </w:p>
        </w:tc>
        <w:tc>
          <w:tcPr>
            <w:tcW w:w="1134"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5C83CD88" w14:textId="77777777" w:rsidR="001228A6" w:rsidRDefault="001228A6" w:rsidP="001228A6">
            <w:pPr>
              <w:jc w:val="center"/>
              <w:rPr>
                <w:rFonts w:ascii="Tahoma" w:hAnsi="Tahoma" w:cs="Tahoma"/>
                <w:sz w:val="19"/>
                <w:szCs w:val="19"/>
              </w:rPr>
            </w:pPr>
            <w:r>
              <w:rPr>
                <w:rFonts w:ascii="Tahoma" w:hAnsi="Tahoma" w:cs="Tahoma"/>
                <w:sz w:val="19"/>
                <w:szCs w:val="19"/>
              </w:rPr>
              <w:t>13</w:t>
            </w:r>
          </w:p>
        </w:tc>
        <w:tc>
          <w:tcPr>
            <w:tcW w:w="1560"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4770AF13" w14:textId="77777777" w:rsidR="001228A6" w:rsidRDefault="001228A6" w:rsidP="001228A6">
            <w:pPr>
              <w:ind w:firstLine="134"/>
              <w:jc w:val="right"/>
              <w:rPr>
                <w:rFonts w:ascii="Tahoma" w:hAnsi="Tahoma" w:cs="Tahoma"/>
                <w:sz w:val="19"/>
                <w:szCs w:val="19"/>
              </w:rPr>
            </w:pPr>
            <w:r>
              <w:rPr>
                <w:rFonts w:ascii="Tahoma" w:hAnsi="Tahoma" w:cs="Tahoma"/>
                <w:sz w:val="19"/>
                <w:szCs w:val="19"/>
              </w:rPr>
              <w:t>11.799.414,22</w:t>
            </w:r>
          </w:p>
        </w:tc>
        <w:tc>
          <w:tcPr>
            <w:tcW w:w="992"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48F94F7B" w14:textId="77B17DA2" w:rsidR="001228A6" w:rsidRDefault="001228A6" w:rsidP="001228A6">
            <w:pPr>
              <w:jc w:val="center"/>
              <w:rPr>
                <w:rFonts w:ascii="Tahoma" w:hAnsi="Tahoma" w:cs="Tahoma"/>
                <w:sz w:val="19"/>
                <w:szCs w:val="19"/>
              </w:rPr>
            </w:pPr>
            <w:r w:rsidRPr="001228A6">
              <w:rPr>
                <w:rFonts w:ascii="Tahoma" w:hAnsi="Tahoma" w:cs="Tahoma"/>
                <w:sz w:val="19"/>
                <w:szCs w:val="19"/>
              </w:rPr>
              <w:t>22</w:t>
            </w:r>
          </w:p>
        </w:tc>
        <w:tc>
          <w:tcPr>
            <w:tcW w:w="1984" w:type="dxa"/>
            <w:tcBorders>
              <w:bottom w:val="single" w:sz="8" w:space="0" w:color="A6A6A6"/>
            </w:tcBorders>
            <w:shd w:val="clear" w:color="auto" w:fill="auto"/>
            <w:tcMar>
              <w:top w:w="0" w:type="dxa"/>
              <w:left w:w="70" w:type="dxa"/>
              <w:bottom w:w="0" w:type="dxa"/>
              <w:right w:w="70" w:type="dxa"/>
            </w:tcMar>
            <w:vAlign w:val="center"/>
          </w:tcPr>
          <w:p w14:paraId="1F6B0AE3" w14:textId="22CB443B" w:rsidR="001228A6" w:rsidRDefault="001228A6" w:rsidP="001228A6">
            <w:pPr>
              <w:ind w:firstLine="134"/>
              <w:jc w:val="right"/>
              <w:rPr>
                <w:rFonts w:ascii="Tahoma" w:hAnsi="Tahoma" w:cs="Tahoma"/>
                <w:sz w:val="19"/>
                <w:szCs w:val="19"/>
              </w:rPr>
            </w:pPr>
            <w:r w:rsidRPr="001228A6">
              <w:rPr>
                <w:rFonts w:ascii="Tahoma" w:hAnsi="Tahoma" w:cs="Tahoma"/>
                <w:sz w:val="19"/>
                <w:szCs w:val="19"/>
              </w:rPr>
              <w:t>26.885.085,79</w:t>
            </w:r>
          </w:p>
        </w:tc>
      </w:tr>
    </w:tbl>
    <w:p w14:paraId="2906A3D3" w14:textId="4BDD5C43" w:rsidR="00E254A5" w:rsidRPr="0055505F" w:rsidRDefault="00E254A5" w:rsidP="00E87EF3">
      <w:pPr>
        <w:spacing w:before="60"/>
      </w:pPr>
      <w:r>
        <w:rPr>
          <w:rFonts w:ascii="Tahoma" w:hAnsi="Tahoma" w:cs="Tahoma"/>
          <w:b/>
          <w:bCs/>
          <w:color w:val="000000"/>
          <w:sz w:val="18"/>
          <w:szCs w:val="18"/>
        </w:rPr>
        <w:t>Dados obtidos em:</w:t>
      </w:r>
      <w:r>
        <w:rPr>
          <w:rFonts w:ascii="Tahoma" w:hAnsi="Tahoma" w:cs="Tahoma"/>
          <w:color w:val="000000"/>
          <w:sz w:val="18"/>
          <w:szCs w:val="18"/>
        </w:rPr>
        <w:t xml:space="preserve"> fev/20</w:t>
      </w:r>
      <w:r w:rsidR="0055505F">
        <w:rPr>
          <w:rFonts w:ascii="Tahoma" w:hAnsi="Tahoma" w:cs="Tahoma"/>
          <w:color w:val="000000"/>
          <w:sz w:val="18"/>
          <w:szCs w:val="18"/>
        </w:rPr>
        <w:t>24</w:t>
      </w:r>
    </w:p>
    <w:p w14:paraId="718EBAA6" w14:textId="200569EF" w:rsidR="0055505F" w:rsidRDefault="00E87EF3" w:rsidP="00E87EF3">
      <w:pPr>
        <w:spacing w:after="120"/>
        <w:rPr>
          <w:rFonts w:ascii="Tahoma" w:hAnsi="Tahoma" w:cs="Tahoma"/>
          <w:color w:val="000000"/>
          <w:sz w:val="19"/>
          <w:szCs w:val="19"/>
        </w:rPr>
      </w:pPr>
      <w:r>
        <w:rPr>
          <w:rFonts w:ascii="Tahoma" w:hAnsi="Tahoma" w:cs="Tahoma"/>
          <w:sz w:val="19"/>
          <w:szCs w:val="19"/>
        </w:rPr>
        <w:t xml:space="preserve">Nota: </w:t>
      </w:r>
      <w:r>
        <w:rPr>
          <w:rFonts w:ascii="Tahoma" w:hAnsi="Tahoma" w:cs="Tahoma"/>
          <w:color w:val="000000"/>
          <w:sz w:val="19"/>
          <w:szCs w:val="19"/>
        </w:rPr>
        <w:t>Os dados de algumas instituições parceiras referem-se ao 3º trimestre de 2023.</w:t>
      </w:r>
    </w:p>
    <w:p w14:paraId="34ED7E5A" w14:textId="77777777" w:rsidR="00E87EF3" w:rsidRDefault="00E87EF3" w:rsidP="00E87EF3">
      <w:pPr>
        <w:spacing w:after="120"/>
        <w:rPr>
          <w:rFonts w:ascii="Tahoma" w:hAnsi="Tahoma" w:cs="Tahoma"/>
          <w:sz w:val="19"/>
          <w:szCs w:val="19"/>
        </w:rPr>
      </w:pPr>
    </w:p>
    <w:p w14:paraId="5FBD2D62" w14:textId="433C35CF" w:rsidR="000D6D0A" w:rsidRDefault="00BB0E07">
      <w:pPr>
        <w:ind w:right="1304"/>
        <w:jc w:val="right"/>
      </w:pPr>
      <w:r>
        <w:rPr>
          <w:rFonts w:ascii="Tahoma" w:hAnsi="Tahoma" w:cs="Tahoma"/>
          <w:bCs/>
          <w:color w:val="000000"/>
          <w:sz w:val="19"/>
          <w:szCs w:val="19"/>
        </w:rPr>
        <w:t>Posição em 31/12/202</w:t>
      </w:r>
      <w:r w:rsidR="00E254A5">
        <w:rPr>
          <w:rFonts w:ascii="Tahoma" w:hAnsi="Tahoma" w:cs="Tahoma"/>
          <w:bCs/>
          <w:color w:val="000000"/>
          <w:sz w:val="19"/>
          <w:szCs w:val="19"/>
        </w:rPr>
        <w:t>3</w:t>
      </w:r>
    </w:p>
    <w:tbl>
      <w:tblPr>
        <w:tblW w:w="7990" w:type="dxa"/>
        <w:tblCellMar>
          <w:left w:w="10" w:type="dxa"/>
          <w:right w:w="10" w:type="dxa"/>
        </w:tblCellMar>
        <w:tblLook w:val="04A0" w:firstRow="1" w:lastRow="0" w:firstColumn="1" w:lastColumn="0" w:noHBand="0" w:noVBand="1"/>
      </w:tblPr>
      <w:tblGrid>
        <w:gridCol w:w="2197"/>
        <w:gridCol w:w="1210"/>
        <w:gridCol w:w="1555"/>
        <w:gridCol w:w="1119"/>
        <w:gridCol w:w="1909"/>
      </w:tblGrid>
      <w:tr w:rsidR="001228A6" w:rsidRPr="001228A6" w14:paraId="4DA1E5B5" w14:textId="77777777" w:rsidTr="001228A6">
        <w:trPr>
          <w:trHeight w:val="315"/>
        </w:trPr>
        <w:tc>
          <w:tcPr>
            <w:tcW w:w="2197" w:type="dxa"/>
            <w:vMerge w:val="restart"/>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4A0D052B" w14:textId="0E4295EE" w:rsidR="001228A6" w:rsidRPr="001228A6" w:rsidRDefault="001228A6" w:rsidP="001228A6">
            <w:pPr>
              <w:rPr>
                <w:rFonts w:ascii="Tahoma" w:hAnsi="Tahoma" w:cs="Tahoma"/>
                <w:color w:val="FFFFFF" w:themeColor="background1"/>
                <w:sz w:val="19"/>
                <w:szCs w:val="19"/>
              </w:rPr>
            </w:pPr>
            <w:r w:rsidRPr="001228A6">
              <w:rPr>
                <w:rFonts w:ascii="Tahoma" w:hAnsi="Tahoma" w:cs="Tahoma"/>
                <w:color w:val="FFFFFF" w:themeColor="background1"/>
                <w:sz w:val="19"/>
                <w:szCs w:val="19"/>
              </w:rPr>
              <w:t xml:space="preserve">Subvenção descentralizada - </w:t>
            </w:r>
          </w:p>
          <w:p w14:paraId="7782FC4A" w14:textId="06BDAD3F" w:rsidR="000D6D0A" w:rsidRPr="00904CBF" w:rsidRDefault="001228A6" w:rsidP="001228A6">
            <w:pPr>
              <w:spacing w:before="85" w:after="85"/>
              <w:rPr>
                <w:rFonts w:ascii="Tahoma" w:hAnsi="Tahoma" w:cs="Tahoma"/>
                <w:b/>
                <w:bCs/>
                <w:color w:val="FFFFFF" w:themeColor="background1"/>
                <w:sz w:val="19"/>
                <w:szCs w:val="19"/>
              </w:rPr>
            </w:pPr>
            <w:r w:rsidRPr="00904CBF">
              <w:rPr>
                <w:rFonts w:ascii="Tahoma" w:hAnsi="Tahoma" w:cs="Tahoma"/>
                <w:b/>
                <w:bCs/>
                <w:color w:val="FFFFFF" w:themeColor="background1"/>
                <w:sz w:val="19"/>
                <w:szCs w:val="19"/>
              </w:rPr>
              <w:t>Empresas</w:t>
            </w:r>
          </w:p>
        </w:tc>
        <w:tc>
          <w:tcPr>
            <w:tcW w:w="2765" w:type="dxa"/>
            <w:gridSpan w:val="2"/>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77158E1A" w14:textId="4705DFB7" w:rsidR="000D6D0A" w:rsidRPr="001228A6" w:rsidRDefault="00BB0E07">
            <w:pPr>
              <w:spacing w:before="85" w:after="85"/>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202</w:t>
            </w:r>
            <w:r w:rsidR="00E254A5" w:rsidRPr="001228A6">
              <w:rPr>
                <w:rFonts w:ascii="Tahoma" w:hAnsi="Tahoma" w:cs="Tahoma"/>
                <w:color w:val="FFFFFF" w:themeColor="background1"/>
                <w:sz w:val="19"/>
                <w:szCs w:val="19"/>
              </w:rPr>
              <w:t>2</w:t>
            </w:r>
          </w:p>
        </w:tc>
        <w:tc>
          <w:tcPr>
            <w:tcW w:w="3028" w:type="dxa"/>
            <w:gridSpan w:val="2"/>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10F978F4" w14:textId="558EC5B6" w:rsidR="000D6D0A" w:rsidRPr="001228A6" w:rsidRDefault="00BB0E07">
            <w:pPr>
              <w:spacing w:before="85" w:after="85"/>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202</w:t>
            </w:r>
            <w:r w:rsidR="00E254A5" w:rsidRPr="001228A6">
              <w:rPr>
                <w:rFonts w:ascii="Tahoma" w:hAnsi="Tahoma" w:cs="Tahoma"/>
                <w:color w:val="FFFFFF" w:themeColor="background1"/>
                <w:sz w:val="19"/>
                <w:szCs w:val="19"/>
              </w:rPr>
              <w:t>3</w:t>
            </w:r>
          </w:p>
        </w:tc>
      </w:tr>
      <w:tr w:rsidR="001228A6" w:rsidRPr="001228A6" w14:paraId="116FFAF3" w14:textId="77777777" w:rsidTr="001228A6">
        <w:trPr>
          <w:trHeight w:val="315"/>
        </w:trPr>
        <w:tc>
          <w:tcPr>
            <w:tcW w:w="2197" w:type="dxa"/>
            <w:vMerge/>
            <w:tcBorders>
              <w:top w:val="single" w:sz="8" w:space="0" w:color="A6A6A6"/>
              <w:bottom w:val="single" w:sz="8" w:space="0" w:color="A6A6A6"/>
              <w:right w:val="single" w:sz="8" w:space="0" w:color="A6A6A6"/>
            </w:tcBorders>
            <w:shd w:val="clear" w:color="auto" w:fill="0098BA"/>
            <w:tcMar>
              <w:top w:w="0" w:type="dxa"/>
              <w:left w:w="70" w:type="dxa"/>
              <w:bottom w:w="0" w:type="dxa"/>
              <w:right w:w="70" w:type="dxa"/>
            </w:tcMar>
            <w:vAlign w:val="center"/>
          </w:tcPr>
          <w:p w14:paraId="56F62C04" w14:textId="77777777" w:rsidR="000D6D0A" w:rsidRPr="001228A6" w:rsidRDefault="000D6D0A">
            <w:pPr>
              <w:spacing w:before="85" w:after="85"/>
              <w:rPr>
                <w:rFonts w:ascii="Tahoma" w:hAnsi="Tahoma" w:cs="Tahoma"/>
                <w:color w:val="FFFFFF" w:themeColor="background1"/>
                <w:sz w:val="19"/>
                <w:szCs w:val="19"/>
              </w:rPr>
            </w:pPr>
          </w:p>
        </w:tc>
        <w:tc>
          <w:tcPr>
            <w:tcW w:w="1210"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3D03786F" w14:textId="77777777" w:rsidR="000D6D0A" w:rsidRPr="001228A6" w:rsidRDefault="00BB0E07">
            <w:pPr>
              <w:spacing w:before="85" w:after="85"/>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Nº de projetos</w:t>
            </w:r>
          </w:p>
        </w:tc>
        <w:tc>
          <w:tcPr>
            <w:tcW w:w="1555"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49301224" w14:textId="77777777" w:rsidR="000D6D0A" w:rsidRPr="001228A6" w:rsidRDefault="00BB0E07">
            <w:pPr>
              <w:spacing w:before="85" w:after="85"/>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R$</w:t>
            </w:r>
          </w:p>
        </w:tc>
        <w:tc>
          <w:tcPr>
            <w:tcW w:w="1119" w:type="dxa"/>
            <w:tcBorders>
              <w:bottom w:val="single" w:sz="8" w:space="0" w:color="A6A6A6"/>
              <w:right w:val="single" w:sz="8" w:space="0" w:color="A6A6A6"/>
            </w:tcBorders>
            <w:shd w:val="clear" w:color="auto" w:fill="0098BA"/>
            <w:tcMar>
              <w:top w:w="0" w:type="dxa"/>
              <w:left w:w="70" w:type="dxa"/>
              <w:bottom w:w="0" w:type="dxa"/>
              <w:right w:w="70" w:type="dxa"/>
            </w:tcMar>
            <w:vAlign w:val="center"/>
          </w:tcPr>
          <w:p w14:paraId="5434C46C" w14:textId="77777777" w:rsidR="000D6D0A" w:rsidRPr="001228A6" w:rsidRDefault="00BB0E07">
            <w:pPr>
              <w:spacing w:before="85" w:after="85"/>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Nº de projetos</w:t>
            </w:r>
          </w:p>
        </w:tc>
        <w:tc>
          <w:tcPr>
            <w:tcW w:w="1909" w:type="dxa"/>
            <w:tcBorders>
              <w:bottom w:val="single" w:sz="8" w:space="0" w:color="A6A6A6"/>
            </w:tcBorders>
            <w:shd w:val="clear" w:color="auto" w:fill="0098BA"/>
            <w:tcMar>
              <w:top w:w="0" w:type="dxa"/>
              <w:left w:w="70" w:type="dxa"/>
              <w:bottom w:w="0" w:type="dxa"/>
              <w:right w:w="70" w:type="dxa"/>
            </w:tcMar>
            <w:vAlign w:val="center"/>
          </w:tcPr>
          <w:p w14:paraId="076038CE" w14:textId="77777777" w:rsidR="000D6D0A" w:rsidRPr="001228A6" w:rsidRDefault="00BB0E07">
            <w:pPr>
              <w:spacing w:before="85" w:after="85"/>
              <w:jc w:val="center"/>
              <w:rPr>
                <w:rFonts w:ascii="Tahoma" w:hAnsi="Tahoma" w:cs="Tahoma"/>
                <w:color w:val="FFFFFF" w:themeColor="background1"/>
                <w:sz w:val="19"/>
                <w:szCs w:val="19"/>
              </w:rPr>
            </w:pPr>
            <w:r w:rsidRPr="001228A6">
              <w:rPr>
                <w:rFonts w:ascii="Tahoma" w:hAnsi="Tahoma" w:cs="Tahoma"/>
                <w:color w:val="FFFFFF" w:themeColor="background1"/>
                <w:sz w:val="19"/>
                <w:szCs w:val="19"/>
              </w:rPr>
              <w:t>R$</w:t>
            </w:r>
          </w:p>
        </w:tc>
      </w:tr>
      <w:tr w:rsidR="001228A6" w14:paraId="05B08C5A" w14:textId="77777777" w:rsidTr="001228A6">
        <w:trPr>
          <w:trHeight w:val="283"/>
        </w:trPr>
        <w:tc>
          <w:tcPr>
            <w:tcW w:w="2197"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0FFAF407" w14:textId="77777777" w:rsidR="001228A6" w:rsidRDefault="001228A6" w:rsidP="001228A6">
            <w:pPr>
              <w:ind w:firstLine="134"/>
              <w:rPr>
                <w:rFonts w:ascii="Tahoma" w:hAnsi="Tahoma" w:cs="Tahoma"/>
                <w:color w:val="000000"/>
                <w:sz w:val="19"/>
                <w:szCs w:val="19"/>
              </w:rPr>
            </w:pPr>
            <w:r>
              <w:rPr>
                <w:rFonts w:ascii="Tahoma" w:hAnsi="Tahoma" w:cs="Tahoma"/>
                <w:color w:val="000000"/>
                <w:sz w:val="19"/>
                <w:szCs w:val="19"/>
              </w:rPr>
              <w:t>Contratação</w:t>
            </w:r>
          </w:p>
        </w:tc>
        <w:tc>
          <w:tcPr>
            <w:tcW w:w="1210" w:type="dxa"/>
            <w:tcBorders>
              <w:bottom w:val="single" w:sz="8" w:space="0" w:color="A6A6A6"/>
              <w:right w:val="single" w:sz="8" w:space="0" w:color="A6A6A6"/>
            </w:tcBorders>
            <w:shd w:val="clear" w:color="auto" w:fill="auto"/>
            <w:tcMar>
              <w:top w:w="0" w:type="dxa"/>
              <w:left w:w="70" w:type="dxa"/>
              <w:bottom w:w="0" w:type="dxa"/>
              <w:right w:w="70" w:type="dxa"/>
            </w:tcMar>
          </w:tcPr>
          <w:p w14:paraId="2970696A" w14:textId="08F0DC18" w:rsidR="001228A6" w:rsidRDefault="001228A6" w:rsidP="001228A6">
            <w:pPr>
              <w:jc w:val="center"/>
              <w:rPr>
                <w:rFonts w:ascii="Tahoma" w:hAnsi="Tahoma" w:cs="Tahoma"/>
                <w:color w:val="000000"/>
                <w:sz w:val="19"/>
                <w:szCs w:val="19"/>
              </w:rPr>
            </w:pPr>
            <w:r>
              <w:rPr>
                <w:rFonts w:ascii="Tahoma" w:hAnsi="Tahoma" w:cs="Tahoma"/>
                <w:sz w:val="19"/>
                <w:szCs w:val="19"/>
              </w:rPr>
              <w:t>343</w:t>
            </w:r>
          </w:p>
        </w:tc>
        <w:tc>
          <w:tcPr>
            <w:tcW w:w="1555" w:type="dxa"/>
            <w:tcBorders>
              <w:bottom w:val="single" w:sz="8" w:space="0" w:color="A6A6A6"/>
              <w:right w:val="single" w:sz="8" w:space="0" w:color="A6A6A6"/>
            </w:tcBorders>
            <w:shd w:val="clear" w:color="auto" w:fill="auto"/>
            <w:tcMar>
              <w:top w:w="0" w:type="dxa"/>
              <w:left w:w="70" w:type="dxa"/>
              <w:bottom w:w="0" w:type="dxa"/>
              <w:right w:w="70" w:type="dxa"/>
            </w:tcMar>
          </w:tcPr>
          <w:p w14:paraId="5888DC2D" w14:textId="1B384143" w:rsidR="001228A6" w:rsidRDefault="001228A6" w:rsidP="001228A6">
            <w:pPr>
              <w:ind w:firstLine="134"/>
              <w:rPr>
                <w:rFonts w:ascii="Tahoma" w:hAnsi="Tahoma" w:cs="Tahoma"/>
                <w:sz w:val="19"/>
                <w:szCs w:val="19"/>
              </w:rPr>
            </w:pPr>
            <w:r>
              <w:rPr>
                <w:rFonts w:ascii="Tahoma" w:hAnsi="Tahoma" w:cs="Tahoma"/>
                <w:sz w:val="19"/>
                <w:szCs w:val="19"/>
              </w:rPr>
              <w:t>24.798.288</w:t>
            </w:r>
          </w:p>
        </w:tc>
        <w:tc>
          <w:tcPr>
            <w:tcW w:w="1119" w:type="dxa"/>
            <w:tcBorders>
              <w:bottom w:val="single" w:sz="8" w:space="0" w:color="A6A6A6"/>
              <w:right w:val="single" w:sz="8" w:space="0" w:color="A6A6A6"/>
            </w:tcBorders>
            <w:shd w:val="clear" w:color="auto" w:fill="auto"/>
            <w:tcMar>
              <w:top w:w="0" w:type="dxa"/>
              <w:left w:w="70" w:type="dxa"/>
              <w:bottom w:w="0" w:type="dxa"/>
              <w:right w:w="70" w:type="dxa"/>
            </w:tcMar>
          </w:tcPr>
          <w:p w14:paraId="15738DEE" w14:textId="1DFD0150" w:rsidR="001228A6" w:rsidRDefault="001228A6" w:rsidP="001228A6">
            <w:pPr>
              <w:jc w:val="center"/>
              <w:rPr>
                <w:rFonts w:ascii="Tahoma" w:hAnsi="Tahoma" w:cs="Tahoma"/>
                <w:sz w:val="19"/>
                <w:szCs w:val="19"/>
              </w:rPr>
            </w:pPr>
            <w:r w:rsidRPr="001228A6">
              <w:rPr>
                <w:rFonts w:ascii="Tahoma" w:hAnsi="Tahoma" w:cs="Tahoma"/>
                <w:sz w:val="19"/>
                <w:szCs w:val="19"/>
              </w:rPr>
              <w:t>499</w:t>
            </w:r>
          </w:p>
        </w:tc>
        <w:tc>
          <w:tcPr>
            <w:tcW w:w="1909" w:type="dxa"/>
            <w:tcBorders>
              <w:bottom w:val="single" w:sz="8" w:space="0" w:color="A6A6A6"/>
            </w:tcBorders>
            <w:shd w:val="clear" w:color="auto" w:fill="auto"/>
            <w:tcMar>
              <w:top w:w="0" w:type="dxa"/>
              <w:left w:w="70" w:type="dxa"/>
              <w:bottom w:w="0" w:type="dxa"/>
              <w:right w:w="70" w:type="dxa"/>
            </w:tcMar>
          </w:tcPr>
          <w:p w14:paraId="0D18A64D" w14:textId="23B45576" w:rsidR="001228A6" w:rsidRDefault="001228A6" w:rsidP="001228A6">
            <w:pPr>
              <w:jc w:val="right"/>
              <w:rPr>
                <w:rFonts w:ascii="Tahoma" w:hAnsi="Tahoma" w:cs="Tahoma"/>
                <w:sz w:val="19"/>
                <w:szCs w:val="19"/>
              </w:rPr>
            </w:pPr>
            <w:r w:rsidRPr="001228A6">
              <w:rPr>
                <w:rFonts w:ascii="Tahoma" w:hAnsi="Tahoma" w:cs="Tahoma"/>
                <w:sz w:val="19"/>
                <w:szCs w:val="19"/>
              </w:rPr>
              <w:t>19.186.235,23</w:t>
            </w:r>
          </w:p>
        </w:tc>
      </w:tr>
      <w:tr w:rsidR="001228A6" w14:paraId="07161855" w14:textId="77777777" w:rsidTr="001228A6">
        <w:trPr>
          <w:trHeight w:val="283"/>
        </w:trPr>
        <w:tc>
          <w:tcPr>
            <w:tcW w:w="2197" w:type="dxa"/>
            <w:tcBorders>
              <w:bottom w:val="single" w:sz="8" w:space="0" w:color="A6A6A6"/>
              <w:right w:val="single" w:sz="8" w:space="0" w:color="A6A6A6"/>
            </w:tcBorders>
            <w:shd w:val="clear" w:color="auto" w:fill="auto"/>
            <w:tcMar>
              <w:top w:w="0" w:type="dxa"/>
              <w:left w:w="70" w:type="dxa"/>
              <w:bottom w:w="0" w:type="dxa"/>
              <w:right w:w="70" w:type="dxa"/>
            </w:tcMar>
            <w:vAlign w:val="center"/>
          </w:tcPr>
          <w:p w14:paraId="61050AE5" w14:textId="77777777" w:rsidR="001228A6" w:rsidRDefault="001228A6" w:rsidP="001228A6">
            <w:pPr>
              <w:ind w:firstLine="134"/>
              <w:rPr>
                <w:rFonts w:ascii="Tahoma" w:hAnsi="Tahoma" w:cs="Tahoma"/>
                <w:color w:val="000000"/>
                <w:sz w:val="19"/>
                <w:szCs w:val="19"/>
              </w:rPr>
            </w:pPr>
            <w:r>
              <w:rPr>
                <w:rFonts w:ascii="Tahoma" w:hAnsi="Tahoma" w:cs="Tahoma"/>
                <w:color w:val="000000"/>
                <w:sz w:val="19"/>
                <w:szCs w:val="19"/>
              </w:rPr>
              <w:t>Liberação</w:t>
            </w:r>
          </w:p>
        </w:tc>
        <w:tc>
          <w:tcPr>
            <w:tcW w:w="1210" w:type="dxa"/>
            <w:tcBorders>
              <w:bottom w:val="single" w:sz="8" w:space="0" w:color="A6A6A6"/>
              <w:right w:val="single" w:sz="8" w:space="0" w:color="A6A6A6"/>
            </w:tcBorders>
            <w:shd w:val="clear" w:color="auto" w:fill="auto"/>
            <w:tcMar>
              <w:top w:w="0" w:type="dxa"/>
              <w:left w:w="70" w:type="dxa"/>
              <w:bottom w:w="0" w:type="dxa"/>
              <w:right w:w="70" w:type="dxa"/>
            </w:tcMar>
          </w:tcPr>
          <w:p w14:paraId="197FE7DC" w14:textId="582C7830" w:rsidR="001228A6" w:rsidRDefault="001228A6" w:rsidP="001228A6">
            <w:pPr>
              <w:jc w:val="center"/>
              <w:rPr>
                <w:rFonts w:ascii="Tahoma" w:hAnsi="Tahoma" w:cs="Tahoma"/>
                <w:color w:val="000000"/>
                <w:sz w:val="19"/>
                <w:szCs w:val="19"/>
              </w:rPr>
            </w:pPr>
            <w:r>
              <w:rPr>
                <w:rFonts w:ascii="Tahoma" w:hAnsi="Tahoma" w:cs="Tahoma"/>
                <w:sz w:val="19"/>
                <w:szCs w:val="19"/>
              </w:rPr>
              <w:t>478</w:t>
            </w:r>
          </w:p>
        </w:tc>
        <w:tc>
          <w:tcPr>
            <w:tcW w:w="1555" w:type="dxa"/>
            <w:tcBorders>
              <w:bottom w:val="single" w:sz="8" w:space="0" w:color="A6A6A6"/>
              <w:right w:val="single" w:sz="8" w:space="0" w:color="A6A6A6"/>
            </w:tcBorders>
            <w:shd w:val="clear" w:color="auto" w:fill="auto"/>
            <w:tcMar>
              <w:top w:w="0" w:type="dxa"/>
              <w:left w:w="70" w:type="dxa"/>
              <w:bottom w:w="0" w:type="dxa"/>
              <w:right w:w="70" w:type="dxa"/>
            </w:tcMar>
          </w:tcPr>
          <w:p w14:paraId="5AEE8F47" w14:textId="3D0BA2E7" w:rsidR="001228A6" w:rsidRDefault="001228A6" w:rsidP="001228A6">
            <w:pPr>
              <w:ind w:firstLine="134"/>
              <w:rPr>
                <w:rFonts w:ascii="Tahoma" w:hAnsi="Tahoma" w:cs="Tahoma"/>
                <w:color w:val="000000"/>
                <w:sz w:val="19"/>
                <w:szCs w:val="19"/>
              </w:rPr>
            </w:pPr>
            <w:r>
              <w:rPr>
                <w:rFonts w:ascii="Tahoma" w:hAnsi="Tahoma" w:cs="Tahoma"/>
                <w:bCs/>
                <w:sz w:val="19"/>
                <w:szCs w:val="19"/>
              </w:rPr>
              <w:t>21.736.567</w:t>
            </w:r>
          </w:p>
        </w:tc>
        <w:tc>
          <w:tcPr>
            <w:tcW w:w="1119" w:type="dxa"/>
            <w:tcBorders>
              <w:bottom w:val="single" w:sz="8" w:space="0" w:color="A6A6A6"/>
              <w:right w:val="single" w:sz="8" w:space="0" w:color="A6A6A6"/>
            </w:tcBorders>
            <w:shd w:val="clear" w:color="auto" w:fill="auto"/>
            <w:tcMar>
              <w:top w:w="0" w:type="dxa"/>
              <w:left w:w="70" w:type="dxa"/>
              <w:bottom w:w="0" w:type="dxa"/>
              <w:right w:w="70" w:type="dxa"/>
            </w:tcMar>
          </w:tcPr>
          <w:p w14:paraId="0CFB8504" w14:textId="0AEFD0AC" w:rsidR="001228A6" w:rsidRDefault="001228A6" w:rsidP="001228A6">
            <w:pPr>
              <w:jc w:val="center"/>
              <w:rPr>
                <w:rFonts w:ascii="Tahoma" w:hAnsi="Tahoma" w:cs="Tahoma"/>
                <w:sz w:val="19"/>
                <w:szCs w:val="19"/>
              </w:rPr>
            </w:pPr>
            <w:r w:rsidRPr="001228A6">
              <w:rPr>
                <w:rFonts w:ascii="Tahoma" w:hAnsi="Tahoma" w:cs="Tahoma"/>
                <w:sz w:val="19"/>
                <w:szCs w:val="19"/>
              </w:rPr>
              <w:t>816</w:t>
            </w:r>
          </w:p>
        </w:tc>
        <w:tc>
          <w:tcPr>
            <w:tcW w:w="1909" w:type="dxa"/>
            <w:tcBorders>
              <w:bottom w:val="single" w:sz="8" w:space="0" w:color="A6A6A6"/>
            </w:tcBorders>
            <w:shd w:val="clear" w:color="auto" w:fill="auto"/>
            <w:tcMar>
              <w:top w:w="0" w:type="dxa"/>
              <w:left w:w="70" w:type="dxa"/>
              <w:bottom w:w="0" w:type="dxa"/>
              <w:right w:w="70" w:type="dxa"/>
            </w:tcMar>
          </w:tcPr>
          <w:p w14:paraId="282AA559" w14:textId="11D01890" w:rsidR="001228A6" w:rsidRPr="001228A6" w:rsidRDefault="001228A6" w:rsidP="001228A6">
            <w:pPr>
              <w:jc w:val="right"/>
              <w:rPr>
                <w:rFonts w:ascii="Tahoma" w:hAnsi="Tahoma" w:cs="Tahoma"/>
                <w:sz w:val="19"/>
                <w:szCs w:val="19"/>
              </w:rPr>
            </w:pPr>
            <w:r w:rsidRPr="001228A6">
              <w:rPr>
                <w:rFonts w:ascii="Tahoma" w:hAnsi="Tahoma" w:cs="Tahoma"/>
                <w:sz w:val="19"/>
                <w:szCs w:val="19"/>
              </w:rPr>
              <w:t>28.244.069,31</w:t>
            </w:r>
          </w:p>
        </w:tc>
      </w:tr>
    </w:tbl>
    <w:p w14:paraId="36C31607" w14:textId="77777777" w:rsidR="00E87EF3" w:rsidRPr="0055505F" w:rsidRDefault="00E87EF3" w:rsidP="00E87EF3">
      <w:pPr>
        <w:spacing w:before="60"/>
      </w:pPr>
      <w:r>
        <w:rPr>
          <w:rFonts w:ascii="Tahoma" w:hAnsi="Tahoma" w:cs="Tahoma"/>
          <w:b/>
          <w:bCs/>
          <w:color w:val="000000"/>
          <w:sz w:val="18"/>
          <w:szCs w:val="18"/>
        </w:rPr>
        <w:t>Dados obtidos em:</w:t>
      </w:r>
      <w:r>
        <w:rPr>
          <w:rFonts w:ascii="Tahoma" w:hAnsi="Tahoma" w:cs="Tahoma"/>
          <w:color w:val="000000"/>
          <w:sz w:val="18"/>
          <w:szCs w:val="18"/>
        </w:rPr>
        <w:t xml:space="preserve"> fev/2024</w:t>
      </w:r>
    </w:p>
    <w:p w14:paraId="7530E248" w14:textId="77777777" w:rsidR="00E87EF3" w:rsidRDefault="00E87EF3" w:rsidP="00E87EF3">
      <w:pPr>
        <w:spacing w:after="120"/>
        <w:rPr>
          <w:rFonts w:ascii="Tahoma" w:hAnsi="Tahoma" w:cs="Tahoma"/>
          <w:color w:val="000000"/>
          <w:sz w:val="19"/>
          <w:szCs w:val="19"/>
        </w:rPr>
      </w:pPr>
      <w:r>
        <w:rPr>
          <w:rFonts w:ascii="Tahoma" w:hAnsi="Tahoma" w:cs="Tahoma"/>
          <w:sz w:val="19"/>
          <w:szCs w:val="19"/>
        </w:rPr>
        <w:t xml:space="preserve">Nota: </w:t>
      </w:r>
      <w:r>
        <w:rPr>
          <w:rFonts w:ascii="Tahoma" w:hAnsi="Tahoma" w:cs="Tahoma"/>
          <w:color w:val="000000"/>
          <w:sz w:val="19"/>
          <w:szCs w:val="19"/>
        </w:rPr>
        <w:t>Os dados de algumas instituições parceiras referem-se ao 3º trimestre de 2023.</w:t>
      </w:r>
    </w:p>
    <w:p w14:paraId="04114554" w14:textId="19BFA1FD" w:rsidR="000D6D0A" w:rsidRPr="00BE2BB0" w:rsidRDefault="00BE2BB0" w:rsidP="009B52B7">
      <w:pPr>
        <w:rPr>
          <w:rFonts w:ascii="Tahoma" w:hAnsi="Tahoma" w:cs="Tahoma"/>
          <w:color w:val="0098BA"/>
          <w:sz w:val="19"/>
          <w:szCs w:val="19"/>
        </w:rPr>
      </w:pPr>
      <w:r w:rsidRPr="00BE2BB0">
        <w:rPr>
          <w:rFonts w:ascii="Tahoma" w:hAnsi="Tahoma" w:cs="Tahoma"/>
          <w:color w:val="0098BA"/>
          <w:sz w:val="19"/>
          <w:szCs w:val="19"/>
        </w:rPr>
        <w:lastRenderedPageBreak/>
        <w:t xml:space="preserve">SUBVENÇÃO DESCENTRALIZADA </w:t>
      </w:r>
      <w:r w:rsidR="00B167E3">
        <w:rPr>
          <w:rFonts w:ascii="Tahoma" w:hAnsi="Tahoma" w:cs="Tahoma"/>
          <w:color w:val="0098BA"/>
          <w:sz w:val="19"/>
          <w:szCs w:val="19"/>
        </w:rPr>
        <w:t>–</w:t>
      </w:r>
      <w:r w:rsidRPr="00BE2BB0">
        <w:rPr>
          <w:rFonts w:ascii="Tahoma" w:hAnsi="Tahoma" w:cs="Tahoma"/>
          <w:color w:val="0098BA"/>
          <w:sz w:val="19"/>
          <w:szCs w:val="19"/>
        </w:rPr>
        <w:t xml:space="preserve"> </w:t>
      </w:r>
      <w:r w:rsidR="00B167E3">
        <w:rPr>
          <w:rFonts w:ascii="Tahoma" w:hAnsi="Tahoma" w:cs="Tahoma"/>
          <w:color w:val="0098BA"/>
          <w:sz w:val="19"/>
          <w:szCs w:val="19"/>
        </w:rPr>
        <w:t>PROJETOS APOIADOS</w:t>
      </w:r>
      <w:r w:rsidRPr="00BE2BB0">
        <w:rPr>
          <w:rFonts w:ascii="Tahoma" w:hAnsi="Tahoma" w:cs="Tahoma"/>
          <w:color w:val="0098BA"/>
          <w:sz w:val="19"/>
          <w:szCs w:val="19"/>
        </w:rPr>
        <w:t xml:space="preserve"> POR PROGRAMA - 2023</w:t>
      </w:r>
    </w:p>
    <w:p w14:paraId="78E9FE1D" w14:textId="77777777" w:rsidR="00BE2BB0" w:rsidRDefault="00BE2BB0" w:rsidP="00BE2BB0">
      <w:pPr>
        <w:ind w:left="708" w:right="479" w:firstLine="708"/>
        <w:jc w:val="right"/>
      </w:pPr>
      <w:r>
        <w:rPr>
          <w:rFonts w:ascii="Tahoma" w:hAnsi="Tahoma" w:cs="Tahoma"/>
          <w:bCs/>
          <w:color w:val="000000"/>
          <w:sz w:val="19"/>
          <w:szCs w:val="19"/>
        </w:rPr>
        <w:t>Posição em 31/12/2023</w:t>
      </w:r>
    </w:p>
    <w:tbl>
      <w:tblPr>
        <w:tblW w:w="8729" w:type="dxa"/>
        <w:tblBorders>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1418"/>
        <w:gridCol w:w="1843"/>
        <w:gridCol w:w="1871"/>
        <w:gridCol w:w="1953"/>
        <w:gridCol w:w="1644"/>
      </w:tblGrid>
      <w:tr w:rsidR="00FC4429" w:rsidRPr="00FC4429" w14:paraId="35BD505B" w14:textId="77777777" w:rsidTr="00FC4429">
        <w:trPr>
          <w:trHeight w:val="900"/>
        </w:trPr>
        <w:tc>
          <w:tcPr>
            <w:tcW w:w="1418" w:type="dxa"/>
            <w:shd w:val="clear" w:color="auto" w:fill="0098BA"/>
            <w:noWrap/>
            <w:vAlign w:val="center"/>
            <w:hideMark/>
          </w:tcPr>
          <w:p w14:paraId="4332F4DB" w14:textId="77777777" w:rsidR="00FC4429" w:rsidRPr="00FC4429" w:rsidRDefault="00FC4429" w:rsidP="00FC4429">
            <w:pPr>
              <w:rPr>
                <w:rFonts w:ascii="Tahoma" w:hAnsi="Tahoma" w:cs="Tahoma"/>
                <w:color w:val="FFFFFF" w:themeColor="background1"/>
                <w:sz w:val="18"/>
                <w:szCs w:val="18"/>
              </w:rPr>
            </w:pPr>
            <w:r w:rsidRPr="00FC4429">
              <w:rPr>
                <w:rFonts w:ascii="Tahoma" w:hAnsi="Tahoma" w:cs="Tahoma"/>
                <w:color w:val="FFFFFF" w:themeColor="background1"/>
                <w:sz w:val="18"/>
                <w:szCs w:val="18"/>
              </w:rPr>
              <w:t>Programa</w:t>
            </w:r>
          </w:p>
        </w:tc>
        <w:tc>
          <w:tcPr>
            <w:tcW w:w="1843" w:type="dxa"/>
            <w:shd w:val="clear" w:color="auto" w:fill="0098BA"/>
            <w:vAlign w:val="center"/>
            <w:hideMark/>
          </w:tcPr>
          <w:p w14:paraId="14E85EE9" w14:textId="77777777" w:rsidR="00FC4429" w:rsidRPr="00FC4429" w:rsidRDefault="00FC4429"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Número de empresas contratadas</w:t>
            </w:r>
          </w:p>
        </w:tc>
        <w:tc>
          <w:tcPr>
            <w:tcW w:w="1871" w:type="dxa"/>
            <w:shd w:val="clear" w:color="auto" w:fill="0098BA"/>
            <w:vAlign w:val="center"/>
            <w:hideMark/>
          </w:tcPr>
          <w:p w14:paraId="318DD2F5" w14:textId="77777777" w:rsidR="00FC4429" w:rsidRPr="00FC4429" w:rsidRDefault="00FC4429"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Valor contratado (R$)</w:t>
            </w:r>
          </w:p>
        </w:tc>
        <w:tc>
          <w:tcPr>
            <w:tcW w:w="1953" w:type="dxa"/>
            <w:shd w:val="clear" w:color="auto" w:fill="0098BA"/>
            <w:vAlign w:val="center"/>
            <w:hideMark/>
          </w:tcPr>
          <w:p w14:paraId="28E2D154" w14:textId="77777777" w:rsidR="00FC4429" w:rsidRPr="00FC4429" w:rsidRDefault="00FC4429"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Número de empresas que receberam liberações</w:t>
            </w:r>
          </w:p>
        </w:tc>
        <w:tc>
          <w:tcPr>
            <w:tcW w:w="1644" w:type="dxa"/>
            <w:shd w:val="clear" w:color="auto" w:fill="0098BA"/>
            <w:vAlign w:val="center"/>
            <w:hideMark/>
          </w:tcPr>
          <w:p w14:paraId="20855291" w14:textId="77777777" w:rsidR="00FC4429" w:rsidRPr="00FC4429" w:rsidRDefault="00FC4429"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Valor liberado (R$)</w:t>
            </w:r>
          </w:p>
        </w:tc>
      </w:tr>
      <w:tr w:rsidR="00FC4429" w:rsidRPr="00FC4429" w14:paraId="346465B0" w14:textId="77777777" w:rsidTr="00FC4429">
        <w:trPr>
          <w:trHeight w:val="300"/>
        </w:trPr>
        <w:tc>
          <w:tcPr>
            <w:tcW w:w="1418" w:type="dxa"/>
            <w:shd w:val="clear" w:color="auto" w:fill="auto"/>
            <w:noWrap/>
            <w:vAlign w:val="center"/>
            <w:hideMark/>
          </w:tcPr>
          <w:p w14:paraId="3AC07811" w14:textId="77777777" w:rsidR="00FC4429" w:rsidRPr="00FC4429" w:rsidRDefault="00FC4429" w:rsidP="00FC4429">
            <w:pPr>
              <w:rPr>
                <w:rFonts w:ascii="Tahoma" w:hAnsi="Tahoma" w:cs="Tahoma"/>
                <w:color w:val="000000"/>
                <w:sz w:val="18"/>
                <w:szCs w:val="18"/>
              </w:rPr>
            </w:pPr>
            <w:r w:rsidRPr="00FC4429">
              <w:rPr>
                <w:rFonts w:ascii="Tahoma" w:hAnsi="Tahoma" w:cs="Tahoma"/>
                <w:color w:val="000000"/>
                <w:sz w:val="18"/>
                <w:szCs w:val="18"/>
              </w:rPr>
              <w:t>CENTELHA</w:t>
            </w:r>
          </w:p>
        </w:tc>
        <w:tc>
          <w:tcPr>
            <w:tcW w:w="1843" w:type="dxa"/>
            <w:shd w:val="clear" w:color="auto" w:fill="auto"/>
            <w:noWrap/>
            <w:vAlign w:val="center"/>
            <w:hideMark/>
          </w:tcPr>
          <w:p w14:paraId="04CB092F" w14:textId="77777777" w:rsidR="00FC4429" w:rsidRPr="00FC4429" w:rsidRDefault="00FC4429" w:rsidP="00FC4429">
            <w:pPr>
              <w:jc w:val="center"/>
              <w:rPr>
                <w:rFonts w:ascii="Tahoma" w:hAnsi="Tahoma" w:cs="Tahoma"/>
                <w:color w:val="000000"/>
                <w:sz w:val="18"/>
                <w:szCs w:val="18"/>
              </w:rPr>
            </w:pPr>
            <w:r w:rsidRPr="00FC4429">
              <w:rPr>
                <w:rFonts w:ascii="Tahoma" w:hAnsi="Tahoma" w:cs="Tahoma"/>
                <w:color w:val="000000"/>
                <w:sz w:val="18"/>
                <w:szCs w:val="18"/>
              </w:rPr>
              <w:t>498</w:t>
            </w:r>
          </w:p>
        </w:tc>
        <w:tc>
          <w:tcPr>
            <w:tcW w:w="1871" w:type="dxa"/>
            <w:shd w:val="clear" w:color="auto" w:fill="auto"/>
            <w:noWrap/>
            <w:vAlign w:val="center"/>
            <w:hideMark/>
          </w:tcPr>
          <w:p w14:paraId="7C2BFDDA" w14:textId="198D85E6" w:rsidR="00FC4429" w:rsidRPr="00FC4429" w:rsidRDefault="00FC4429" w:rsidP="00FC4429">
            <w:pPr>
              <w:jc w:val="right"/>
              <w:rPr>
                <w:rFonts w:ascii="Tahoma" w:hAnsi="Tahoma" w:cs="Tahoma"/>
                <w:color w:val="000000"/>
                <w:sz w:val="18"/>
                <w:szCs w:val="18"/>
              </w:rPr>
            </w:pPr>
            <w:r w:rsidRPr="00FC4429">
              <w:rPr>
                <w:rFonts w:ascii="Tahoma" w:hAnsi="Tahoma" w:cs="Tahoma"/>
                <w:color w:val="000000"/>
                <w:sz w:val="18"/>
                <w:szCs w:val="18"/>
              </w:rPr>
              <w:t>19.085.170,39</w:t>
            </w:r>
          </w:p>
        </w:tc>
        <w:tc>
          <w:tcPr>
            <w:tcW w:w="1953" w:type="dxa"/>
            <w:shd w:val="clear" w:color="auto" w:fill="auto"/>
            <w:noWrap/>
            <w:vAlign w:val="center"/>
            <w:hideMark/>
          </w:tcPr>
          <w:p w14:paraId="3EB693B9" w14:textId="77777777" w:rsidR="00FC4429" w:rsidRPr="00FC4429" w:rsidRDefault="00FC4429" w:rsidP="00FC4429">
            <w:pPr>
              <w:jc w:val="center"/>
              <w:rPr>
                <w:rFonts w:ascii="Tahoma" w:hAnsi="Tahoma" w:cs="Tahoma"/>
                <w:color w:val="000000"/>
                <w:sz w:val="18"/>
                <w:szCs w:val="18"/>
              </w:rPr>
            </w:pPr>
            <w:r w:rsidRPr="00FC4429">
              <w:rPr>
                <w:rFonts w:ascii="Tahoma" w:hAnsi="Tahoma" w:cs="Tahoma"/>
                <w:color w:val="000000"/>
                <w:sz w:val="18"/>
                <w:szCs w:val="18"/>
              </w:rPr>
              <w:t>711</w:t>
            </w:r>
          </w:p>
        </w:tc>
        <w:tc>
          <w:tcPr>
            <w:tcW w:w="1644" w:type="dxa"/>
            <w:shd w:val="clear" w:color="auto" w:fill="auto"/>
            <w:noWrap/>
            <w:vAlign w:val="center"/>
            <w:hideMark/>
          </w:tcPr>
          <w:p w14:paraId="7D4E0009" w14:textId="155E3739" w:rsidR="00FC4429" w:rsidRPr="00FC4429" w:rsidRDefault="00FC4429" w:rsidP="00FC4429">
            <w:pPr>
              <w:jc w:val="right"/>
              <w:rPr>
                <w:rFonts w:ascii="Tahoma" w:hAnsi="Tahoma" w:cs="Tahoma"/>
                <w:color w:val="000000"/>
                <w:sz w:val="18"/>
                <w:szCs w:val="18"/>
              </w:rPr>
            </w:pPr>
            <w:r w:rsidRPr="00FC4429">
              <w:rPr>
                <w:rFonts w:ascii="Tahoma" w:hAnsi="Tahoma" w:cs="Tahoma"/>
                <w:color w:val="000000"/>
                <w:sz w:val="18"/>
                <w:szCs w:val="18"/>
              </w:rPr>
              <w:t>21.688.041,07</w:t>
            </w:r>
          </w:p>
        </w:tc>
      </w:tr>
      <w:tr w:rsidR="00FC4429" w:rsidRPr="00FC4429" w14:paraId="2931F40E" w14:textId="77777777" w:rsidTr="00FC4429">
        <w:trPr>
          <w:trHeight w:val="300"/>
        </w:trPr>
        <w:tc>
          <w:tcPr>
            <w:tcW w:w="1418" w:type="dxa"/>
            <w:shd w:val="clear" w:color="auto" w:fill="auto"/>
            <w:noWrap/>
            <w:vAlign w:val="center"/>
            <w:hideMark/>
          </w:tcPr>
          <w:p w14:paraId="0A9DD3B4" w14:textId="77777777" w:rsidR="00FC4429" w:rsidRPr="00FC4429" w:rsidRDefault="00FC4429" w:rsidP="00FC4429">
            <w:pPr>
              <w:rPr>
                <w:rFonts w:ascii="Tahoma" w:hAnsi="Tahoma" w:cs="Tahoma"/>
                <w:color w:val="000000"/>
                <w:sz w:val="18"/>
                <w:szCs w:val="18"/>
              </w:rPr>
            </w:pPr>
            <w:r w:rsidRPr="00FC4429">
              <w:rPr>
                <w:rFonts w:ascii="Tahoma" w:hAnsi="Tahoma" w:cs="Tahoma"/>
                <w:color w:val="000000"/>
                <w:sz w:val="18"/>
                <w:szCs w:val="18"/>
              </w:rPr>
              <w:t>TECNOVA</w:t>
            </w:r>
          </w:p>
        </w:tc>
        <w:tc>
          <w:tcPr>
            <w:tcW w:w="1843" w:type="dxa"/>
            <w:shd w:val="clear" w:color="auto" w:fill="auto"/>
            <w:noWrap/>
            <w:vAlign w:val="center"/>
            <w:hideMark/>
          </w:tcPr>
          <w:p w14:paraId="63CF4DCC" w14:textId="77777777" w:rsidR="00FC4429" w:rsidRPr="00FC4429" w:rsidRDefault="00FC4429" w:rsidP="00FC4429">
            <w:pPr>
              <w:jc w:val="center"/>
              <w:rPr>
                <w:rFonts w:ascii="Tahoma" w:hAnsi="Tahoma" w:cs="Tahoma"/>
                <w:color w:val="000000"/>
                <w:sz w:val="18"/>
                <w:szCs w:val="18"/>
              </w:rPr>
            </w:pPr>
            <w:r w:rsidRPr="00FC4429">
              <w:rPr>
                <w:rFonts w:ascii="Tahoma" w:hAnsi="Tahoma" w:cs="Tahoma"/>
                <w:color w:val="000000"/>
                <w:sz w:val="18"/>
                <w:szCs w:val="18"/>
              </w:rPr>
              <w:t>1</w:t>
            </w:r>
          </w:p>
        </w:tc>
        <w:tc>
          <w:tcPr>
            <w:tcW w:w="1871" w:type="dxa"/>
            <w:shd w:val="clear" w:color="auto" w:fill="auto"/>
            <w:noWrap/>
            <w:vAlign w:val="center"/>
            <w:hideMark/>
          </w:tcPr>
          <w:p w14:paraId="22E867CC" w14:textId="55163DBA" w:rsidR="00FC4429" w:rsidRPr="00FC4429" w:rsidRDefault="00FC4429" w:rsidP="00FC4429">
            <w:pPr>
              <w:jc w:val="right"/>
              <w:rPr>
                <w:rFonts w:ascii="Tahoma" w:hAnsi="Tahoma" w:cs="Tahoma"/>
                <w:color w:val="000000"/>
                <w:sz w:val="18"/>
                <w:szCs w:val="18"/>
              </w:rPr>
            </w:pPr>
            <w:r w:rsidRPr="00FC4429">
              <w:rPr>
                <w:rFonts w:ascii="Tahoma" w:hAnsi="Tahoma" w:cs="Tahoma"/>
                <w:color w:val="000000"/>
                <w:sz w:val="18"/>
                <w:szCs w:val="18"/>
              </w:rPr>
              <w:t>101.064,84</w:t>
            </w:r>
          </w:p>
        </w:tc>
        <w:tc>
          <w:tcPr>
            <w:tcW w:w="1953" w:type="dxa"/>
            <w:shd w:val="clear" w:color="auto" w:fill="auto"/>
            <w:noWrap/>
            <w:vAlign w:val="center"/>
            <w:hideMark/>
          </w:tcPr>
          <w:p w14:paraId="48E2CB09" w14:textId="77777777" w:rsidR="00FC4429" w:rsidRPr="00FC4429" w:rsidRDefault="00FC4429" w:rsidP="00FC4429">
            <w:pPr>
              <w:jc w:val="center"/>
              <w:rPr>
                <w:rFonts w:ascii="Tahoma" w:hAnsi="Tahoma" w:cs="Tahoma"/>
                <w:color w:val="000000"/>
                <w:sz w:val="18"/>
                <w:szCs w:val="18"/>
              </w:rPr>
            </w:pPr>
            <w:r w:rsidRPr="00FC4429">
              <w:rPr>
                <w:rFonts w:ascii="Tahoma" w:hAnsi="Tahoma" w:cs="Tahoma"/>
                <w:color w:val="000000"/>
                <w:sz w:val="18"/>
                <w:szCs w:val="18"/>
              </w:rPr>
              <w:t>105</w:t>
            </w:r>
          </w:p>
        </w:tc>
        <w:tc>
          <w:tcPr>
            <w:tcW w:w="1644" w:type="dxa"/>
            <w:shd w:val="clear" w:color="auto" w:fill="auto"/>
            <w:noWrap/>
            <w:vAlign w:val="center"/>
            <w:hideMark/>
          </w:tcPr>
          <w:p w14:paraId="3F93EE83" w14:textId="59230C61" w:rsidR="00FC4429" w:rsidRPr="00FC4429" w:rsidRDefault="00FC4429" w:rsidP="00FC4429">
            <w:pPr>
              <w:jc w:val="right"/>
              <w:rPr>
                <w:rFonts w:ascii="Tahoma" w:hAnsi="Tahoma" w:cs="Tahoma"/>
                <w:color w:val="000000"/>
                <w:sz w:val="18"/>
                <w:szCs w:val="18"/>
              </w:rPr>
            </w:pPr>
            <w:r w:rsidRPr="00FC4429">
              <w:rPr>
                <w:rFonts w:ascii="Tahoma" w:hAnsi="Tahoma" w:cs="Tahoma"/>
                <w:color w:val="000000"/>
                <w:sz w:val="18"/>
                <w:szCs w:val="18"/>
              </w:rPr>
              <w:t>6.556.028,24</w:t>
            </w:r>
          </w:p>
        </w:tc>
      </w:tr>
      <w:tr w:rsidR="00FC4429" w:rsidRPr="00FC4429" w14:paraId="2FD94178" w14:textId="77777777" w:rsidTr="00FC4429">
        <w:trPr>
          <w:trHeight w:val="300"/>
        </w:trPr>
        <w:tc>
          <w:tcPr>
            <w:tcW w:w="1418" w:type="dxa"/>
            <w:shd w:val="clear" w:color="auto" w:fill="0098BA"/>
            <w:noWrap/>
            <w:vAlign w:val="center"/>
            <w:hideMark/>
          </w:tcPr>
          <w:p w14:paraId="7C6C761A" w14:textId="77777777" w:rsidR="00FC4429" w:rsidRPr="00FC4429" w:rsidRDefault="00FC4429" w:rsidP="00FC4429">
            <w:pPr>
              <w:rPr>
                <w:rFonts w:ascii="Tahoma" w:hAnsi="Tahoma" w:cs="Tahoma"/>
                <w:color w:val="FFFFFF"/>
                <w:sz w:val="18"/>
                <w:szCs w:val="18"/>
              </w:rPr>
            </w:pPr>
            <w:r w:rsidRPr="00FC4429">
              <w:rPr>
                <w:rFonts w:ascii="Tahoma" w:hAnsi="Tahoma" w:cs="Tahoma"/>
                <w:color w:val="FFFFFF"/>
                <w:sz w:val="18"/>
                <w:szCs w:val="18"/>
              </w:rPr>
              <w:t>Total</w:t>
            </w:r>
          </w:p>
        </w:tc>
        <w:tc>
          <w:tcPr>
            <w:tcW w:w="1843" w:type="dxa"/>
            <w:shd w:val="clear" w:color="auto" w:fill="0098BA"/>
            <w:noWrap/>
            <w:vAlign w:val="center"/>
            <w:hideMark/>
          </w:tcPr>
          <w:p w14:paraId="67FBCC6A" w14:textId="77777777" w:rsidR="00FC4429" w:rsidRPr="00FC4429" w:rsidRDefault="00FC4429" w:rsidP="00FC4429">
            <w:pPr>
              <w:jc w:val="center"/>
              <w:rPr>
                <w:rFonts w:ascii="Tahoma" w:hAnsi="Tahoma" w:cs="Tahoma"/>
                <w:color w:val="FFFFFF"/>
                <w:sz w:val="18"/>
                <w:szCs w:val="18"/>
              </w:rPr>
            </w:pPr>
            <w:r w:rsidRPr="00FC4429">
              <w:rPr>
                <w:rFonts w:ascii="Tahoma" w:hAnsi="Tahoma" w:cs="Tahoma"/>
                <w:color w:val="FFFFFF"/>
                <w:sz w:val="18"/>
                <w:szCs w:val="18"/>
              </w:rPr>
              <w:t>499</w:t>
            </w:r>
          </w:p>
        </w:tc>
        <w:tc>
          <w:tcPr>
            <w:tcW w:w="1871" w:type="dxa"/>
            <w:shd w:val="clear" w:color="auto" w:fill="0098BA"/>
            <w:noWrap/>
            <w:vAlign w:val="center"/>
            <w:hideMark/>
          </w:tcPr>
          <w:p w14:paraId="41DDD9D8" w14:textId="557D2E83" w:rsidR="00FC4429" w:rsidRPr="00FC4429" w:rsidRDefault="00FC4429" w:rsidP="00FC4429">
            <w:pPr>
              <w:jc w:val="right"/>
              <w:rPr>
                <w:rFonts w:ascii="Tahoma" w:hAnsi="Tahoma" w:cs="Tahoma"/>
                <w:color w:val="FFFFFF"/>
                <w:sz w:val="18"/>
                <w:szCs w:val="18"/>
              </w:rPr>
            </w:pPr>
            <w:r w:rsidRPr="00FC4429">
              <w:rPr>
                <w:rFonts w:ascii="Tahoma" w:hAnsi="Tahoma" w:cs="Tahoma"/>
                <w:color w:val="FFFFFF"/>
                <w:sz w:val="18"/>
                <w:szCs w:val="18"/>
              </w:rPr>
              <w:t xml:space="preserve">19.186.235,23 </w:t>
            </w:r>
          </w:p>
        </w:tc>
        <w:tc>
          <w:tcPr>
            <w:tcW w:w="1953" w:type="dxa"/>
            <w:shd w:val="clear" w:color="auto" w:fill="0098BA"/>
            <w:noWrap/>
            <w:vAlign w:val="center"/>
            <w:hideMark/>
          </w:tcPr>
          <w:p w14:paraId="76FB1D6A" w14:textId="77777777" w:rsidR="00FC4429" w:rsidRPr="00FC4429" w:rsidRDefault="00FC4429" w:rsidP="00FC4429">
            <w:pPr>
              <w:jc w:val="center"/>
              <w:rPr>
                <w:rFonts w:ascii="Tahoma" w:hAnsi="Tahoma" w:cs="Tahoma"/>
                <w:color w:val="FFFFFF"/>
                <w:sz w:val="18"/>
                <w:szCs w:val="18"/>
              </w:rPr>
            </w:pPr>
            <w:r w:rsidRPr="00FC4429">
              <w:rPr>
                <w:rFonts w:ascii="Tahoma" w:hAnsi="Tahoma" w:cs="Tahoma"/>
                <w:color w:val="FFFFFF"/>
                <w:sz w:val="18"/>
                <w:szCs w:val="18"/>
              </w:rPr>
              <w:t>816</w:t>
            </w:r>
          </w:p>
        </w:tc>
        <w:tc>
          <w:tcPr>
            <w:tcW w:w="1644" w:type="dxa"/>
            <w:shd w:val="clear" w:color="auto" w:fill="0098BA"/>
            <w:noWrap/>
            <w:vAlign w:val="center"/>
            <w:hideMark/>
          </w:tcPr>
          <w:p w14:paraId="1AA46592" w14:textId="6CC96C6D" w:rsidR="00FC4429" w:rsidRPr="00FC4429" w:rsidRDefault="00FC4429" w:rsidP="00FC4429">
            <w:pPr>
              <w:jc w:val="right"/>
              <w:rPr>
                <w:rFonts w:ascii="Tahoma" w:hAnsi="Tahoma" w:cs="Tahoma"/>
                <w:color w:val="FFFFFF"/>
                <w:sz w:val="18"/>
                <w:szCs w:val="18"/>
              </w:rPr>
            </w:pPr>
            <w:r w:rsidRPr="00FC4429">
              <w:rPr>
                <w:rFonts w:ascii="Tahoma" w:hAnsi="Tahoma" w:cs="Tahoma"/>
                <w:color w:val="FFFFFF"/>
                <w:sz w:val="18"/>
                <w:szCs w:val="18"/>
              </w:rPr>
              <w:t>28.244.069,31</w:t>
            </w:r>
          </w:p>
        </w:tc>
      </w:tr>
    </w:tbl>
    <w:p w14:paraId="6F65D8E4" w14:textId="77777777" w:rsidR="00E87EF3" w:rsidRPr="0055505F" w:rsidRDefault="00E87EF3" w:rsidP="00E87EF3">
      <w:pPr>
        <w:spacing w:before="60"/>
      </w:pPr>
      <w:r>
        <w:rPr>
          <w:rFonts w:ascii="Tahoma" w:hAnsi="Tahoma" w:cs="Tahoma"/>
          <w:b/>
          <w:bCs/>
          <w:color w:val="000000"/>
          <w:sz w:val="18"/>
          <w:szCs w:val="18"/>
        </w:rPr>
        <w:t>Dados obtidos em:</w:t>
      </w:r>
      <w:r>
        <w:rPr>
          <w:rFonts w:ascii="Tahoma" w:hAnsi="Tahoma" w:cs="Tahoma"/>
          <w:color w:val="000000"/>
          <w:sz w:val="18"/>
          <w:szCs w:val="18"/>
        </w:rPr>
        <w:t xml:space="preserve"> fev/2024</w:t>
      </w:r>
    </w:p>
    <w:p w14:paraId="313EA308" w14:textId="77777777" w:rsidR="00E87EF3" w:rsidRDefault="00E87EF3" w:rsidP="00E87EF3">
      <w:pPr>
        <w:spacing w:after="120"/>
        <w:rPr>
          <w:rFonts w:ascii="Tahoma" w:hAnsi="Tahoma" w:cs="Tahoma"/>
          <w:color w:val="000000"/>
          <w:sz w:val="19"/>
          <w:szCs w:val="19"/>
        </w:rPr>
      </w:pPr>
      <w:r>
        <w:rPr>
          <w:rFonts w:ascii="Tahoma" w:hAnsi="Tahoma" w:cs="Tahoma"/>
          <w:sz w:val="19"/>
          <w:szCs w:val="19"/>
        </w:rPr>
        <w:t xml:space="preserve">Nota: </w:t>
      </w:r>
      <w:r>
        <w:rPr>
          <w:rFonts w:ascii="Tahoma" w:hAnsi="Tahoma" w:cs="Tahoma"/>
          <w:color w:val="000000"/>
          <w:sz w:val="19"/>
          <w:szCs w:val="19"/>
        </w:rPr>
        <w:t>Os dados de algumas instituições parceiras referem-se ao 3º trimestre de 2023.</w:t>
      </w:r>
    </w:p>
    <w:p w14:paraId="259D499C" w14:textId="77777777" w:rsidR="000D6D0A" w:rsidRDefault="000D6D0A" w:rsidP="00FC4429">
      <w:pPr>
        <w:spacing w:before="120" w:after="120" w:line="360" w:lineRule="auto"/>
        <w:rPr>
          <w:rFonts w:ascii="Tahoma" w:hAnsi="Tahoma" w:cs="Tahoma"/>
          <w:sz w:val="19"/>
          <w:szCs w:val="19"/>
        </w:rPr>
      </w:pPr>
    </w:p>
    <w:p w14:paraId="1E1DB1F4" w14:textId="0A935A1A" w:rsidR="000D6D0A" w:rsidRDefault="00BE2BB0" w:rsidP="009B52B7">
      <w:pPr>
        <w:rPr>
          <w:rFonts w:ascii="Tahoma" w:hAnsi="Tahoma" w:cs="Tahoma"/>
          <w:color w:val="0098BA"/>
          <w:sz w:val="19"/>
          <w:szCs w:val="19"/>
        </w:rPr>
      </w:pPr>
      <w:r w:rsidRPr="00BE2BB0">
        <w:rPr>
          <w:rFonts w:ascii="Tahoma" w:hAnsi="Tahoma" w:cs="Tahoma"/>
          <w:color w:val="0098BA"/>
          <w:sz w:val="19"/>
          <w:szCs w:val="19"/>
        </w:rPr>
        <w:t xml:space="preserve">SUBVENÇÃO DESCENTRALIZADA </w:t>
      </w:r>
      <w:r w:rsidR="00B167E3">
        <w:rPr>
          <w:rFonts w:ascii="Tahoma" w:hAnsi="Tahoma" w:cs="Tahoma"/>
          <w:color w:val="0098BA"/>
          <w:sz w:val="19"/>
          <w:szCs w:val="19"/>
        </w:rPr>
        <w:t>–</w:t>
      </w:r>
      <w:r w:rsidRPr="00BE2BB0">
        <w:rPr>
          <w:rFonts w:ascii="Tahoma" w:hAnsi="Tahoma" w:cs="Tahoma"/>
          <w:color w:val="0098BA"/>
          <w:sz w:val="19"/>
          <w:szCs w:val="19"/>
        </w:rPr>
        <w:t xml:space="preserve"> </w:t>
      </w:r>
      <w:r w:rsidR="00B167E3">
        <w:rPr>
          <w:rFonts w:ascii="Tahoma" w:hAnsi="Tahoma" w:cs="Tahoma"/>
          <w:color w:val="0098BA"/>
          <w:sz w:val="19"/>
          <w:szCs w:val="19"/>
        </w:rPr>
        <w:t>PROJETOS APOIADOS</w:t>
      </w:r>
      <w:r w:rsidRPr="00BE2BB0">
        <w:rPr>
          <w:rFonts w:ascii="Tahoma" w:hAnsi="Tahoma" w:cs="Tahoma"/>
          <w:color w:val="0098BA"/>
          <w:sz w:val="19"/>
          <w:szCs w:val="19"/>
        </w:rPr>
        <w:t xml:space="preserve"> POR REGIÃO </w:t>
      </w:r>
      <w:r>
        <w:rPr>
          <w:rFonts w:ascii="Tahoma" w:hAnsi="Tahoma" w:cs="Tahoma"/>
          <w:color w:val="0098BA"/>
          <w:sz w:val="19"/>
          <w:szCs w:val="19"/>
        </w:rPr>
        <w:t>–</w:t>
      </w:r>
      <w:r w:rsidRPr="00BE2BB0">
        <w:rPr>
          <w:rFonts w:ascii="Tahoma" w:hAnsi="Tahoma" w:cs="Tahoma"/>
          <w:color w:val="0098BA"/>
          <w:sz w:val="19"/>
          <w:szCs w:val="19"/>
        </w:rPr>
        <w:t xml:space="preserve"> 2023</w:t>
      </w:r>
    </w:p>
    <w:p w14:paraId="23346ECC" w14:textId="77777777" w:rsidR="00BE2BB0" w:rsidRDefault="00BE2BB0" w:rsidP="00BE2BB0">
      <w:pPr>
        <w:ind w:left="708" w:right="337" w:firstLine="708"/>
        <w:jc w:val="right"/>
      </w:pPr>
      <w:r>
        <w:rPr>
          <w:rFonts w:ascii="Tahoma" w:hAnsi="Tahoma" w:cs="Tahoma"/>
          <w:bCs/>
          <w:color w:val="000000"/>
          <w:sz w:val="19"/>
          <w:szCs w:val="19"/>
        </w:rPr>
        <w:t>Posição em 31/12/2023</w:t>
      </w:r>
    </w:p>
    <w:tbl>
      <w:tblPr>
        <w:tblW w:w="8845" w:type="dxa"/>
        <w:tblCellMar>
          <w:left w:w="70" w:type="dxa"/>
          <w:right w:w="70" w:type="dxa"/>
        </w:tblCellMar>
        <w:tblLook w:val="04A0" w:firstRow="1" w:lastRow="0" w:firstColumn="1" w:lastColumn="0" w:noHBand="0" w:noVBand="1"/>
      </w:tblPr>
      <w:tblGrid>
        <w:gridCol w:w="1418"/>
        <w:gridCol w:w="1843"/>
        <w:gridCol w:w="1842"/>
        <w:gridCol w:w="1985"/>
        <w:gridCol w:w="1757"/>
      </w:tblGrid>
      <w:tr w:rsidR="00FC4429" w:rsidRPr="00FC4429" w14:paraId="46684482" w14:textId="77777777" w:rsidTr="00FC4429">
        <w:trPr>
          <w:trHeight w:val="900"/>
        </w:trPr>
        <w:tc>
          <w:tcPr>
            <w:tcW w:w="1418" w:type="dxa"/>
            <w:tcBorders>
              <w:top w:val="nil"/>
              <w:left w:val="nil"/>
              <w:bottom w:val="nil"/>
              <w:right w:val="single" w:sz="4" w:space="0" w:color="808080"/>
            </w:tcBorders>
            <w:shd w:val="clear" w:color="auto" w:fill="0098BA"/>
            <w:noWrap/>
            <w:vAlign w:val="center"/>
            <w:hideMark/>
          </w:tcPr>
          <w:p w14:paraId="43457F0B" w14:textId="77777777" w:rsidR="00FC4429" w:rsidRPr="00FC4429" w:rsidRDefault="00FC4429" w:rsidP="00FC4429">
            <w:pPr>
              <w:rPr>
                <w:rFonts w:ascii="Tahoma" w:hAnsi="Tahoma" w:cs="Tahoma"/>
                <w:color w:val="FFFFFF" w:themeColor="background1"/>
                <w:sz w:val="18"/>
                <w:szCs w:val="18"/>
              </w:rPr>
            </w:pPr>
            <w:r w:rsidRPr="00FC4429">
              <w:rPr>
                <w:rFonts w:ascii="Tahoma" w:hAnsi="Tahoma" w:cs="Tahoma"/>
                <w:color w:val="FFFFFF" w:themeColor="background1"/>
                <w:sz w:val="18"/>
                <w:szCs w:val="18"/>
              </w:rPr>
              <w:t>Região</w:t>
            </w:r>
          </w:p>
        </w:tc>
        <w:tc>
          <w:tcPr>
            <w:tcW w:w="1843" w:type="dxa"/>
            <w:tcBorders>
              <w:top w:val="nil"/>
              <w:left w:val="nil"/>
              <w:bottom w:val="nil"/>
              <w:right w:val="single" w:sz="4" w:space="0" w:color="808080"/>
            </w:tcBorders>
            <w:shd w:val="clear" w:color="auto" w:fill="0098BA"/>
            <w:vAlign w:val="center"/>
            <w:hideMark/>
          </w:tcPr>
          <w:p w14:paraId="5C279067" w14:textId="77777777" w:rsidR="00FC4429" w:rsidRPr="00FC4429" w:rsidRDefault="00FC4429"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Número de empresas contratadas</w:t>
            </w:r>
          </w:p>
        </w:tc>
        <w:tc>
          <w:tcPr>
            <w:tcW w:w="1842" w:type="dxa"/>
            <w:tcBorders>
              <w:top w:val="nil"/>
              <w:left w:val="nil"/>
              <w:bottom w:val="nil"/>
              <w:right w:val="nil"/>
            </w:tcBorders>
            <w:shd w:val="clear" w:color="auto" w:fill="0098BA"/>
            <w:vAlign w:val="center"/>
            <w:hideMark/>
          </w:tcPr>
          <w:p w14:paraId="74DB9D3A" w14:textId="77777777" w:rsidR="00FC4429" w:rsidRPr="00FC4429" w:rsidRDefault="00FC4429"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Valor contratado (R$)</w:t>
            </w:r>
          </w:p>
        </w:tc>
        <w:tc>
          <w:tcPr>
            <w:tcW w:w="1985" w:type="dxa"/>
            <w:tcBorders>
              <w:top w:val="nil"/>
              <w:left w:val="single" w:sz="4" w:space="0" w:color="808080"/>
              <w:bottom w:val="nil"/>
              <w:right w:val="single" w:sz="4" w:space="0" w:color="808080"/>
            </w:tcBorders>
            <w:shd w:val="clear" w:color="auto" w:fill="0098BA"/>
            <w:vAlign w:val="center"/>
            <w:hideMark/>
          </w:tcPr>
          <w:p w14:paraId="282BA3CC" w14:textId="77777777" w:rsidR="00FC4429" w:rsidRPr="00FC4429" w:rsidRDefault="00FC4429"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Número de empresas que receberam liberações</w:t>
            </w:r>
          </w:p>
        </w:tc>
        <w:tc>
          <w:tcPr>
            <w:tcW w:w="1757" w:type="dxa"/>
            <w:tcBorders>
              <w:top w:val="nil"/>
              <w:left w:val="nil"/>
              <w:bottom w:val="nil"/>
              <w:right w:val="nil"/>
            </w:tcBorders>
            <w:shd w:val="clear" w:color="auto" w:fill="0098BA"/>
            <w:vAlign w:val="center"/>
            <w:hideMark/>
          </w:tcPr>
          <w:p w14:paraId="2D3787FA" w14:textId="77777777" w:rsidR="00FC4429" w:rsidRPr="00FC4429" w:rsidRDefault="00FC4429"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Valor liberado (R$)</w:t>
            </w:r>
          </w:p>
        </w:tc>
      </w:tr>
      <w:tr w:rsidR="00FC4429" w:rsidRPr="00FC4429" w14:paraId="113E5C07" w14:textId="77777777" w:rsidTr="00BE2BB0">
        <w:trPr>
          <w:trHeight w:val="300"/>
        </w:trPr>
        <w:tc>
          <w:tcPr>
            <w:tcW w:w="1418" w:type="dxa"/>
            <w:tcBorders>
              <w:top w:val="nil"/>
              <w:left w:val="nil"/>
              <w:bottom w:val="nil"/>
              <w:right w:val="single" w:sz="4" w:space="0" w:color="808080"/>
            </w:tcBorders>
            <w:shd w:val="clear" w:color="auto" w:fill="auto"/>
            <w:noWrap/>
            <w:vAlign w:val="center"/>
            <w:hideMark/>
          </w:tcPr>
          <w:p w14:paraId="2918FC08" w14:textId="77777777" w:rsidR="00FC4429" w:rsidRPr="00FC4429" w:rsidRDefault="00FC4429" w:rsidP="00FC4429">
            <w:pPr>
              <w:rPr>
                <w:rFonts w:ascii="Tahoma" w:hAnsi="Tahoma" w:cs="Tahoma"/>
                <w:color w:val="000000"/>
                <w:sz w:val="18"/>
                <w:szCs w:val="18"/>
              </w:rPr>
            </w:pPr>
            <w:r w:rsidRPr="00FC4429">
              <w:rPr>
                <w:rFonts w:ascii="Tahoma" w:hAnsi="Tahoma" w:cs="Tahoma"/>
                <w:color w:val="000000"/>
                <w:sz w:val="18"/>
                <w:szCs w:val="18"/>
              </w:rPr>
              <w:t>N</w:t>
            </w:r>
          </w:p>
        </w:tc>
        <w:tc>
          <w:tcPr>
            <w:tcW w:w="1843" w:type="dxa"/>
            <w:tcBorders>
              <w:top w:val="nil"/>
              <w:left w:val="nil"/>
              <w:bottom w:val="nil"/>
              <w:right w:val="nil"/>
            </w:tcBorders>
            <w:shd w:val="clear" w:color="auto" w:fill="auto"/>
            <w:noWrap/>
            <w:vAlign w:val="center"/>
            <w:hideMark/>
          </w:tcPr>
          <w:p w14:paraId="3E89795A"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114</w:t>
            </w:r>
          </w:p>
        </w:tc>
        <w:tc>
          <w:tcPr>
            <w:tcW w:w="1842" w:type="dxa"/>
            <w:tcBorders>
              <w:top w:val="nil"/>
              <w:left w:val="nil"/>
              <w:bottom w:val="nil"/>
              <w:right w:val="nil"/>
            </w:tcBorders>
            <w:shd w:val="clear" w:color="auto" w:fill="auto"/>
            <w:noWrap/>
            <w:vAlign w:val="center"/>
            <w:hideMark/>
          </w:tcPr>
          <w:p w14:paraId="3B013F3F" w14:textId="56807C76"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4.424.052,88</w:t>
            </w:r>
          </w:p>
        </w:tc>
        <w:tc>
          <w:tcPr>
            <w:tcW w:w="1985" w:type="dxa"/>
            <w:tcBorders>
              <w:top w:val="nil"/>
              <w:left w:val="single" w:sz="4" w:space="0" w:color="808080"/>
              <w:bottom w:val="nil"/>
              <w:right w:val="single" w:sz="4" w:space="0" w:color="808080"/>
            </w:tcBorders>
            <w:shd w:val="clear" w:color="auto" w:fill="auto"/>
            <w:noWrap/>
            <w:vAlign w:val="center"/>
            <w:hideMark/>
          </w:tcPr>
          <w:p w14:paraId="39E42DA7"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109</w:t>
            </w:r>
          </w:p>
        </w:tc>
        <w:tc>
          <w:tcPr>
            <w:tcW w:w="1757" w:type="dxa"/>
            <w:tcBorders>
              <w:top w:val="nil"/>
              <w:left w:val="nil"/>
              <w:bottom w:val="nil"/>
              <w:right w:val="single" w:sz="4" w:space="0" w:color="808080"/>
            </w:tcBorders>
            <w:shd w:val="clear" w:color="auto" w:fill="auto"/>
            <w:noWrap/>
            <w:vAlign w:val="center"/>
            <w:hideMark/>
          </w:tcPr>
          <w:p w14:paraId="01B82A60" w14:textId="7BFDB158"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3.056.804,75</w:t>
            </w:r>
          </w:p>
        </w:tc>
      </w:tr>
      <w:tr w:rsidR="00FC4429" w:rsidRPr="00FC4429" w14:paraId="234FD709" w14:textId="77777777" w:rsidTr="00BE2BB0">
        <w:trPr>
          <w:trHeight w:val="300"/>
        </w:trPr>
        <w:tc>
          <w:tcPr>
            <w:tcW w:w="1418" w:type="dxa"/>
            <w:tcBorders>
              <w:top w:val="nil"/>
              <w:left w:val="nil"/>
              <w:bottom w:val="nil"/>
              <w:right w:val="single" w:sz="4" w:space="0" w:color="808080"/>
            </w:tcBorders>
            <w:shd w:val="clear" w:color="auto" w:fill="auto"/>
            <w:noWrap/>
            <w:vAlign w:val="center"/>
            <w:hideMark/>
          </w:tcPr>
          <w:p w14:paraId="205D2009" w14:textId="77777777" w:rsidR="00FC4429" w:rsidRPr="00FC4429" w:rsidRDefault="00FC4429" w:rsidP="00FC4429">
            <w:pPr>
              <w:rPr>
                <w:rFonts w:ascii="Tahoma" w:hAnsi="Tahoma" w:cs="Tahoma"/>
                <w:color w:val="000000"/>
                <w:sz w:val="18"/>
                <w:szCs w:val="18"/>
              </w:rPr>
            </w:pPr>
            <w:r w:rsidRPr="00FC4429">
              <w:rPr>
                <w:rFonts w:ascii="Tahoma" w:hAnsi="Tahoma" w:cs="Tahoma"/>
                <w:color w:val="000000"/>
                <w:sz w:val="18"/>
                <w:szCs w:val="18"/>
              </w:rPr>
              <w:t>NE</w:t>
            </w:r>
          </w:p>
        </w:tc>
        <w:tc>
          <w:tcPr>
            <w:tcW w:w="1843" w:type="dxa"/>
            <w:tcBorders>
              <w:top w:val="nil"/>
              <w:left w:val="nil"/>
              <w:bottom w:val="nil"/>
              <w:right w:val="nil"/>
            </w:tcBorders>
            <w:shd w:val="clear" w:color="auto" w:fill="auto"/>
            <w:noWrap/>
            <w:vAlign w:val="center"/>
            <w:hideMark/>
          </w:tcPr>
          <w:p w14:paraId="2FA2B92F"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166</w:t>
            </w:r>
          </w:p>
        </w:tc>
        <w:tc>
          <w:tcPr>
            <w:tcW w:w="1842" w:type="dxa"/>
            <w:tcBorders>
              <w:top w:val="nil"/>
              <w:left w:val="nil"/>
              <w:bottom w:val="nil"/>
              <w:right w:val="nil"/>
            </w:tcBorders>
            <w:shd w:val="clear" w:color="auto" w:fill="auto"/>
            <w:noWrap/>
            <w:vAlign w:val="center"/>
            <w:hideMark/>
          </w:tcPr>
          <w:p w14:paraId="10A71798" w14:textId="2ED7468E"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6.453.186,52</w:t>
            </w:r>
          </w:p>
        </w:tc>
        <w:tc>
          <w:tcPr>
            <w:tcW w:w="1985" w:type="dxa"/>
            <w:tcBorders>
              <w:top w:val="nil"/>
              <w:left w:val="single" w:sz="4" w:space="0" w:color="808080"/>
              <w:bottom w:val="nil"/>
              <w:right w:val="single" w:sz="4" w:space="0" w:color="808080"/>
            </w:tcBorders>
            <w:shd w:val="clear" w:color="auto" w:fill="auto"/>
            <w:noWrap/>
            <w:vAlign w:val="center"/>
            <w:hideMark/>
          </w:tcPr>
          <w:p w14:paraId="7540DBB0"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275</w:t>
            </w:r>
          </w:p>
        </w:tc>
        <w:tc>
          <w:tcPr>
            <w:tcW w:w="1757" w:type="dxa"/>
            <w:tcBorders>
              <w:top w:val="nil"/>
              <w:left w:val="nil"/>
              <w:bottom w:val="nil"/>
              <w:right w:val="single" w:sz="4" w:space="0" w:color="808080"/>
            </w:tcBorders>
            <w:shd w:val="clear" w:color="auto" w:fill="auto"/>
            <w:noWrap/>
            <w:vAlign w:val="center"/>
            <w:hideMark/>
          </w:tcPr>
          <w:p w14:paraId="5438D4FD" w14:textId="339560FA"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9.476.624,13</w:t>
            </w:r>
          </w:p>
        </w:tc>
      </w:tr>
      <w:tr w:rsidR="00FC4429" w:rsidRPr="00FC4429" w14:paraId="4C32A981" w14:textId="77777777" w:rsidTr="00BE2BB0">
        <w:trPr>
          <w:trHeight w:val="300"/>
        </w:trPr>
        <w:tc>
          <w:tcPr>
            <w:tcW w:w="1418" w:type="dxa"/>
            <w:tcBorders>
              <w:top w:val="nil"/>
              <w:left w:val="nil"/>
              <w:bottom w:val="nil"/>
              <w:right w:val="single" w:sz="4" w:space="0" w:color="808080"/>
            </w:tcBorders>
            <w:shd w:val="clear" w:color="auto" w:fill="auto"/>
            <w:noWrap/>
            <w:vAlign w:val="center"/>
            <w:hideMark/>
          </w:tcPr>
          <w:p w14:paraId="48F9480A" w14:textId="77777777" w:rsidR="00FC4429" w:rsidRPr="00FC4429" w:rsidRDefault="00FC4429" w:rsidP="00FC4429">
            <w:pPr>
              <w:rPr>
                <w:rFonts w:ascii="Tahoma" w:hAnsi="Tahoma" w:cs="Tahoma"/>
                <w:color w:val="000000"/>
                <w:sz w:val="18"/>
                <w:szCs w:val="18"/>
              </w:rPr>
            </w:pPr>
            <w:r w:rsidRPr="00FC4429">
              <w:rPr>
                <w:rFonts w:ascii="Tahoma" w:hAnsi="Tahoma" w:cs="Tahoma"/>
                <w:color w:val="000000"/>
                <w:sz w:val="18"/>
                <w:szCs w:val="18"/>
              </w:rPr>
              <w:t>CO</w:t>
            </w:r>
          </w:p>
        </w:tc>
        <w:tc>
          <w:tcPr>
            <w:tcW w:w="1843" w:type="dxa"/>
            <w:tcBorders>
              <w:top w:val="nil"/>
              <w:left w:val="nil"/>
              <w:bottom w:val="nil"/>
              <w:right w:val="nil"/>
            </w:tcBorders>
            <w:shd w:val="clear" w:color="auto" w:fill="auto"/>
            <w:noWrap/>
            <w:vAlign w:val="center"/>
            <w:hideMark/>
          </w:tcPr>
          <w:p w14:paraId="1E4D8452"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108</w:t>
            </w:r>
          </w:p>
        </w:tc>
        <w:tc>
          <w:tcPr>
            <w:tcW w:w="1842" w:type="dxa"/>
            <w:tcBorders>
              <w:top w:val="nil"/>
              <w:left w:val="nil"/>
              <w:bottom w:val="nil"/>
              <w:right w:val="nil"/>
            </w:tcBorders>
            <w:shd w:val="clear" w:color="auto" w:fill="auto"/>
            <w:noWrap/>
            <w:vAlign w:val="center"/>
            <w:hideMark/>
          </w:tcPr>
          <w:p w14:paraId="1EDA0BB8" w14:textId="60137FB5"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4.206.619,49</w:t>
            </w:r>
          </w:p>
        </w:tc>
        <w:tc>
          <w:tcPr>
            <w:tcW w:w="1985" w:type="dxa"/>
            <w:tcBorders>
              <w:top w:val="nil"/>
              <w:left w:val="single" w:sz="4" w:space="0" w:color="808080"/>
              <w:bottom w:val="nil"/>
              <w:right w:val="single" w:sz="4" w:space="0" w:color="808080"/>
            </w:tcBorders>
            <w:shd w:val="clear" w:color="auto" w:fill="auto"/>
            <w:noWrap/>
            <w:vAlign w:val="center"/>
            <w:hideMark/>
          </w:tcPr>
          <w:p w14:paraId="2E0041B9"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167</w:t>
            </w:r>
          </w:p>
        </w:tc>
        <w:tc>
          <w:tcPr>
            <w:tcW w:w="1757" w:type="dxa"/>
            <w:tcBorders>
              <w:top w:val="nil"/>
              <w:left w:val="nil"/>
              <w:bottom w:val="nil"/>
              <w:right w:val="single" w:sz="4" w:space="0" w:color="808080"/>
            </w:tcBorders>
            <w:shd w:val="clear" w:color="auto" w:fill="auto"/>
            <w:noWrap/>
            <w:vAlign w:val="center"/>
            <w:hideMark/>
          </w:tcPr>
          <w:p w14:paraId="5AE632AB" w14:textId="00446243"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5.123.836,61</w:t>
            </w:r>
          </w:p>
        </w:tc>
      </w:tr>
      <w:tr w:rsidR="00FC4429" w:rsidRPr="00FC4429" w14:paraId="0CCA8DB5" w14:textId="77777777" w:rsidTr="00BE2BB0">
        <w:trPr>
          <w:trHeight w:val="300"/>
        </w:trPr>
        <w:tc>
          <w:tcPr>
            <w:tcW w:w="1418" w:type="dxa"/>
            <w:tcBorders>
              <w:top w:val="nil"/>
              <w:left w:val="nil"/>
              <w:bottom w:val="nil"/>
              <w:right w:val="single" w:sz="4" w:space="0" w:color="808080"/>
            </w:tcBorders>
            <w:shd w:val="clear" w:color="auto" w:fill="auto"/>
            <w:noWrap/>
            <w:vAlign w:val="center"/>
            <w:hideMark/>
          </w:tcPr>
          <w:p w14:paraId="4E9D9C78" w14:textId="77777777" w:rsidR="00FC4429" w:rsidRPr="00FC4429" w:rsidRDefault="00FC4429" w:rsidP="00FC4429">
            <w:pPr>
              <w:rPr>
                <w:rFonts w:ascii="Tahoma" w:hAnsi="Tahoma" w:cs="Tahoma"/>
                <w:color w:val="000000"/>
                <w:sz w:val="18"/>
                <w:szCs w:val="18"/>
              </w:rPr>
            </w:pPr>
            <w:r w:rsidRPr="00FC4429">
              <w:rPr>
                <w:rFonts w:ascii="Tahoma" w:hAnsi="Tahoma" w:cs="Tahoma"/>
                <w:color w:val="000000"/>
                <w:sz w:val="18"/>
                <w:szCs w:val="18"/>
              </w:rPr>
              <w:t>SE</w:t>
            </w:r>
          </w:p>
        </w:tc>
        <w:tc>
          <w:tcPr>
            <w:tcW w:w="1843" w:type="dxa"/>
            <w:tcBorders>
              <w:top w:val="nil"/>
              <w:left w:val="nil"/>
              <w:bottom w:val="nil"/>
              <w:right w:val="nil"/>
            </w:tcBorders>
            <w:shd w:val="clear" w:color="auto" w:fill="auto"/>
            <w:noWrap/>
            <w:vAlign w:val="center"/>
            <w:hideMark/>
          </w:tcPr>
          <w:p w14:paraId="0F8882EF"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70</w:t>
            </w:r>
          </w:p>
        </w:tc>
        <w:tc>
          <w:tcPr>
            <w:tcW w:w="1842" w:type="dxa"/>
            <w:tcBorders>
              <w:top w:val="nil"/>
              <w:left w:val="nil"/>
              <w:bottom w:val="nil"/>
              <w:right w:val="nil"/>
            </w:tcBorders>
            <w:shd w:val="clear" w:color="auto" w:fill="auto"/>
            <w:noWrap/>
            <w:vAlign w:val="center"/>
            <w:hideMark/>
          </w:tcPr>
          <w:p w14:paraId="0313CE6A" w14:textId="16F1C36A"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2.517.861,88</w:t>
            </w:r>
          </w:p>
        </w:tc>
        <w:tc>
          <w:tcPr>
            <w:tcW w:w="1985" w:type="dxa"/>
            <w:tcBorders>
              <w:top w:val="nil"/>
              <w:left w:val="single" w:sz="4" w:space="0" w:color="808080"/>
              <w:bottom w:val="nil"/>
              <w:right w:val="single" w:sz="4" w:space="0" w:color="808080"/>
            </w:tcBorders>
            <w:shd w:val="clear" w:color="auto" w:fill="auto"/>
            <w:noWrap/>
            <w:vAlign w:val="center"/>
            <w:hideMark/>
          </w:tcPr>
          <w:p w14:paraId="29E265D7"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147</w:t>
            </w:r>
          </w:p>
        </w:tc>
        <w:tc>
          <w:tcPr>
            <w:tcW w:w="1757" w:type="dxa"/>
            <w:tcBorders>
              <w:top w:val="nil"/>
              <w:left w:val="nil"/>
              <w:bottom w:val="nil"/>
              <w:right w:val="single" w:sz="4" w:space="0" w:color="808080"/>
            </w:tcBorders>
            <w:shd w:val="clear" w:color="auto" w:fill="auto"/>
            <w:noWrap/>
            <w:vAlign w:val="center"/>
            <w:hideMark/>
          </w:tcPr>
          <w:p w14:paraId="6D69BED3" w14:textId="11367374"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5.646.471,58</w:t>
            </w:r>
          </w:p>
        </w:tc>
      </w:tr>
      <w:tr w:rsidR="00FC4429" w:rsidRPr="00FC4429" w14:paraId="3C16A7B8" w14:textId="77777777" w:rsidTr="00BE2BB0">
        <w:trPr>
          <w:trHeight w:val="300"/>
        </w:trPr>
        <w:tc>
          <w:tcPr>
            <w:tcW w:w="1418" w:type="dxa"/>
            <w:tcBorders>
              <w:top w:val="nil"/>
              <w:left w:val="nil"/>
              <w:bottom w:val="nil"/>
              <w:right w:val="single" w:sz="4" w:space="0" w:color="808080"/>
            </w:tcBorders>
            <w:shd w:val="clear" w:color="auto" w:fill="auto"/>
            <w:noWrap/>
            <w:vAlign w:val="center"/>
            <w:hideMark/>
          </w:tcPr>
          <w:p w14:paraId="51AAFF57" w14:textId="77777777" w:rsidR="00FC4429" w:rsidRPr="00FC4429" w:rsidRDefault="00FC4429" w:rsidP="00FC4429">
            <w:pPr>
              <w:rPr>
                <w:rFonts w:ascii="Tahoma" w:hAnsi="Tahoma" w:cs="Tahoma"/>
                <w:color w:val="000000"/>
                <w:sz w:val="18"/>
                <w:szCs w:val="18"/>
              </w:rPr>
            </w:pPr>
            <w:r w:rsidRPr="00FC4429">
              <w:rPr>
                <w:rFonts w:ascii="Tahoma" w:hAnsi="Tahoma" w:cs="Tahoma"/>
                <w:color w:val="000000"/>
                <w:sz w:val="18"/>
                <w:szCs w:val="18"/>
              </w:rPr>
              <w:t>S</w:t>
            </w:r>
          </w:p>
        </w:tc>
        <w:tc>
          <w:tcPr>
            <w:tcW w:w="1843" w:type="dxa"/>
            <w:tcBorders>
              <w:top w:val="nil"/>
              <w:left w:val="nil"/>
              <w:bottom w:val="nil"/>
              <w:right w:val="nil"/>
            </w:tcBorders>
            <w:shd w:val="clear" w:color="auto" w:fill="auto"/>
            <w:noWrap/>
            <w:vAlign w:val="center"/>
            <w:hideMark/>
          </w:tcPr>
          <w:p w14:paraId="28129B5A"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41</w:t>
            </w:r>
          </w:p>
        </w:tc>
        <w:tc>
          <w:tcPr>
            <w:tcW w:w="1842" w:type="dxa"/>
            <w:tcBorders>
              <w:top w:val="nil"/>
              <w:left w:val="nil"/>
              <w:bottom w:val="nil"/>
              <w:right w:val="nil"/>
            </w:tcBorders>
            <w:shd w:val="clear" w:color="auto" w:fill="auto"/>
            <w:noWrap/>
            <w:vAlign w:val="center"/>
            <w:hideMark/>
          </w:tcPr>
          <w:p w14:paraId="6CDE9100" w14:textId="67D5534B"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1.584.514,46</w:t>
            </w:r>
          </w:p>
        </w:tc>
        <w:tc>
          <w:tcPr>
            <w:tcW w:w="1985" w:type="dxa"/>
            <w:tcBorders>
              <w:top w:val="nil"/>
              <w:left w:val="single" w:sz="4" w:space="0" w:color="808080"/>
              <w:bottom w:val="nil"/>
              <w:right w:val="single" w:sz="4" w:space="0" w:color="808080"/>
            </w:tcBorders>
            <w:shd w:val="clear" w:color="auto" w:fill="auto"/>
            <w:noWrap/>
            <w:vAlign w:val="center"/>
            <w:hideMark/>
          </w:tcPr>
          <w:p w14:paraId="316DADE1" w14:textId="77777777" w:rsidR="00FC4429" w:rsidRPr="00FC4429" w:rsidRDefault="00FC4429" w:rsidP="00BE2BB0">
            <w:pPr>
              <w:jc w:val="center"/>
              <w:rPr>
                <w:rFonts w:ascii="Tahoma" w:hAnsi="Tahoma" w:cs="Tahoma"/>
                <w:color w:val="000000"/>
                <w:sz w:val="18"/>
                <w:szCs w:val="18"/>
              </w:rPr>
            </w:pPr>
            <w:r w:rsidRPr="00FC4429">
              <w:rPr>
                <w:rFonts w:ascii="Tahoma" w:hAnsi="Tahoma" w:cs="Tahoma"/>
                <w:color w:val="000000"/>
                <w:sz w:val="18"/>
                <w:szCs w:val="18"/>
              </w:rPr>
              <w:t>118</w:t>
            </w:r>
          </w:p>
        </w:tc>
        <w:tc>
          <w:tcPr>
            <w:tcW w:w="1757" w:type="dxa"/>
            <w:tcBorders>
              <w:top w:val="nil"/>
              <w:left w:val="nil"/>
              <w:bottom w:val="nil"/>
              <w:right w:val="single" w:sz="4" w:space="0" w:color="808080"/>
            </w:tcBorders>
            <w:shd w:val="clear" w:color="auto" w:fill="auto"/>
            <w:noWrap/>
            <w:vAlign w:val="center"/>
            <w:hideMark/>
          </w:tcPr>
          <w:p w14:paraId="57B45466" w14:textId="50F472D7" w:rsidR="00FC4429" w:rsidRPr="00FC4429" w:rsidRDefault="00FC4429" w:rsidP="00BE2BB0">
            <w:pPr>
              <w:jc w:val="right"/>
              <w:rPr>
                <w:rFonts w:ascii="Tahoma" w:hAnsi="Tahoma" w:cs="Tahoma"/>
                <w:color w:val="000000"/>
                <w:sz w:val="18"/>
                <w:szCs w:val="18"/>
              </w:rPr>
            </w:pPr>
            <w:r w:rsidRPr="00FC4429">
              <w:rPr>
                <w:rFonts w:ascii="Tahoma" w:hAnsi="Tahoma" w:cs="Tahoma"/>
                <w:color w:val="000000"/>
                <w:sz w:val="18"/>
                <w:szCs w:val="18"/>
              </w:rPr>
              <w:t>4.940.332,24</w:t>
            </w:r>
          </w:p>
        </w:tc>
      </w:tr>
      <w:tr w:rsidR="00FC4429" w:rsidRPr="00FC4429" w14:paraId="5AC71032" w14:textId="77777777" w:rsidTr="00BE2BB0">
        <w:trPr>
          <w:trHeight w:val="340"/>
        </w:trPr>
        <w:tc>
          <w:tcPr>
            <w:tcW w:w="1418" w:type="dxa"/>
            <w:tcBorders>
              <w:top w:val="nil"/>
              <w:left w:val="nil"/>
              <w:bottom w:val="nil"/>
              <w:right w:val="single" w:sz="4" w:space="0" w:color="808080"/>
            </w:tcBorders>
            <w:shd w:val="clear" w:color="auto" w:fill="0098BA"/>
            <w:noWrap/>
            <w:vAlign w:val="center"/>
            <w:hideMark/>
          </w:tcPr>
          <w:p w14:paraId="4C2D0F71" w14:textId="77777777" w:rsidR="00FC4429" w:rsidRPr="00FC4429" w:rsidRDefault="00FC4429" w:rsidP="00FC4429">
            <w:pPr>
              <w:rPr>
                <w:rFonts w:ascii="Tahoma" w:hAnsi="Tahoma" w:cs="Tahoma"/>
                <w:color w:val="FFFFFF" w:themeColor="background1"/>
                <w:sz w:val="18"/>
                <w:szCs w:val="18"/>
              </w:rPr>
            </w:pPr>
            <w:r w:rsidRPr="00FC4429">
              <w:rPr>
                <w:rFonts w:ascii="Tahoma" w:hAnsi="Tahoma" w:cs="Tahoma"/>
                <w:color w:val="FFFFFF" w:themeColor="background1"/>
                <w:sz w:val="18"/>
                <w:szCs w:val="18"/>
              </w:rPr>
              <w:t>Total</w:t>
            </w:r>
          </w:p>
        </w:tc>
        <w:tc>
          <w:tcPr>
            <w:tcW w:w="1843" w:type="dxa"/>
            <w:tcBorders>
              <w:top w:val="nil"/>
              <w:left w:val="nil"/>
              <w:bottom w:val="nil"/>
              <w:right w:val="nil"/>
            </w:tcBorders>
            <w:shd w:val="clear" w:color="auto" w:fill="0098BA"/>
            <w:noWrap/>
            <w:vAlign w:val="center"/>
            <w:hideMark/>
          </w:tcPr>
          <w:p w14:paraId="77B63478" w14:textId="77777777" w:rsidR="00FC4429" w:rsidRPr="00FC4429" w:rsidRDefault="00FC4429" w:rsidP="00BE2BB0">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499</w:t>
            </w:r>
          </w:p>
        </w:tc>
        <w:tc>
          <w:tcPr>
            <w:tcW w:w="1842" w:type="dxa"/>
            <w:tcBorders>
              <w:top w:val="nil"/>
              <w:left w:val="nil"/>
              <w:bottom w:val="nil"/>
              <w:right w:val="nil"/>
            </w:tcBorders>
            <w:shd w:val="clear" w:color="auto" w:fill="0098BA"/>
            <w:noWrap/>
            <w:vAlign w:val="center"/>
            <w:hideMark/>
          </w:tcPr>
          <w:p w14:paraId="2407D84E" w14:textId="15AED465" w:rsidR="00FC4429" w:rsidRPr="00FC4429" w:rsidRDefault="00FC4429" w:rsidP="00BE2BB0">
            <w:pPr>
              <w:jc w:val="right"/>
              <w:rPr>
                <w:rFonts w:ascii="Tahoma" w:hAnsi="Tahoma" w:cs="Tahoma"/>
                <w:color w:val="FFFFFF" w:themeColor="background1"/>
                <w:sz w:val="18"/>
                <w:szCs w:val="18"/>
              </w:rPr>
            </w:pPr>
            <w:r w:rsidRPr="00FC4429">
              <w:rPr>
                <w:rFonts w:ascii="Tahoma" w:hAnsi="Tahoma" w:cs="Tahoma"/>
                <w:color w:val="FFFFFF" w:themeColor="background1"/>
                <w:sz w:val="18"/>
                <w:szCs w:val="18"/>
              </w:rPr>
              <w:t>19.186.235,23</w:t>
            </w:r>
          </w:p>
        </w:tc>
        <w:tc>
          <w:tcPr>
            <w:tcW w:w="1985" w:type="dxa"/>
            <w:tcBorders>
              <w:top w:val="nil"/>
              <w:left w:val="single" w:sz="4" w:space="0" w:color="808080"/>
              <w:bottom w:val="nil"/>
              <w:right w:val="single" w:sz="4" w:space="0" w:color="808080"/>
            </w:tcBorders>
            <w:shd w:val="clear" w:color="auto" w:fill="0098BA"/>
            <w:noWrap/>
            <w:vAlign w:val="center"/>
            <w:hideMark/>
          </w:tcPr>
          <w:p w14:paraId="5C01F3CA" w14:textId="77777777" w:rsidR="00FC4429" w:rsidRPr="00FC4429" w:rsidRDefault="00FC4429" w:rsidP="00BE2BB0">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816</w:t>
            </w:r>
          </w:p>
        </w:tc>
        <w:tc>
          <w:tcPr>
            <w:tcW w:w="1757" w:type="dxa"/>
            <w:tcBorders>
              <w:top w:val="nil"/>
              <w:left w:val="nil"/>
              <w:bottom w:val="nil"/>
              <w:right w:val="nil"/>
            </w:tcBorders>
            <w:shd w:val="clear" w:color="auto" w:fill="0098BA"/>
            <w:noWrap/>
            <w:vAlign w:val="center"/>
            <w:hideMark/>
          </w:tcPr>
          <w:p w14:paraId="51F262D9" w14:textId="3DA7CB57" w:rsidR="00FC4429" w:rsidRPr="00FC4429" w:rsidRDefault="00FC4429" w:rsidP="00BE2BB0">
            <w:pPr>
              <w:jc w:val="right"/>
              <w:rPr>
                <w:rFonts w:ascii="Tahoma" w:hAnsi="Tahoma" w:cs="Tahoma"/>
                <w:color w:val="FFFFFF" w:themeColor="background1"/>
                <w:sz w:val="18"/>
                <w:szCs w:val="18"/>
              </w:rPr>
            </w:pPr>
            <w:r w:rsidRPr="00FC4429">
              <w:rPr>
                <w:rFonts w:ascii="Tahoma" w:hAnsi="Tahoma" w:cs="Tahoma"/>
                <w:color w:val="FFFFFF" w:themeColor="background1"/>
                <w:sz w:val="18"/>
                <w:szCs w:val="18"/>
              </w:rPr>
              <w:t>28.244.069,31</w:t>
            </w:r>
          </w:p>
        </w:tc>
      </w:tr>
    </w:tbl>
    <w:p w14:paraId="4B013BA7" w14:textId="77777777" w:rsidR="00E87EF3" w:rsidRPr="0055505F" w:rsidRDefault="00E87EF3" w:rsidP="00E87EF3">
      <w:pPr>
        <w:spacing w:before="60"/>
      </w:pPr>
      <w:r>
        <w:rPr>
          <w:rFonts w:ascii="Tahoma" w:hAnsi="Tahoma" w:cs="Tahoma"/>
          <w:b/>
          <w:bCs/>
          <w:color w:val="000000"/>
          <w:sz w:val="18"/>
          <w:szCs w:val="18"/>
        </w:rPr>
        <w:t>Dados obtidos em:</w:t>
      </w:r>
      <w:r>
        <w:rPr>
          <w:rFonts w:ascii="Tahoma" w:hAnsi="Tahoma" w:cs="Tahoma"/>
          <w:color w:val="000000"/>
          <w:sz w:val="18"/>
          <w:szCs w:val="18"/>
        </w:rPr>
        <w:t xml:space="preserve"> fev/2024</w:t>
      </w:r>
    </w:p>
    <w:p w14:paraId="095A5608" w14:textId="77777777" w:rsidR="00E87EF3" w:rsidRDefault="00E87EF3" w:rsidP="00E87EF3">
      <w:pPr>
        <w:spacing w:after="120"/>
        <w:rPr>
          <w:rFonts w:ascii="Tahoma" w:hAnsi="Tahoma" w:cs="Tahoma"/>
          <w:color w:val="000000"/>
          <w:sz w:val="19"/>
          <w:szCs w:val="19"/>
        </w:rPr>
      </w:pPr>
      <w:r>
        <w:rPr>
          <w:rFonts w:ascii="Tahoma" w:hAnsi="Tahoma" w:cs="Tahoma"/>
          <w:sz w:val="19"/>
          <w:szCs w:val="19"/>
        </w:rPr>
        <w:t xml:space="preserve">Nota: </w:t>
      </w:r>
      <w:r>
        <w:rPr>
          <w:rFonts w:ascii="Tahoma" w:hAnsi="Tahoma" w:cs="Tahoma"/>
          <w:color w:val="000000"/>
          <w:sz w:val="19"/>
          <w:szCs w:val="19"/>
        </w:rPr>
        <w:t>Os dados de algumas instituições parceiras referem-se ao 3º trimestre de 2023.</w:t>
      </w:r>
    </w:p>
    <w:p w14:paraId="5CA88702" w14:textId="77777777" w:rsidR="00B167E3" w:rsidRPr="00B167E3" w:rsidRDefault="00B167E3" w:rsidP="00B167E3">
      <w:pPr>
        <w:spacing w:before="120" w:after="120" w:line="360" w:lineRule="auto"/>
        <w:rPr>
          <w:rFonts w:ascii="Tahoma" w:hAnsi="Tahoma" w:cs="Tahoma"/>
          <w:sz w:val="19"/>
          <w:szCs w:val="19"/>
        </w:rPr>
      </w:pPr>
    </w:p>
    <w:p w14:paraId="7E083B4A" w14:textId="417CF0D8" w:rsidR="00B167E3" w:rsidRDefault="00B167E3" w:rsidP="00B167E3">
      <w:pPr>
        <w:rPr>
          <w:rFonts w:ascii="Tahoma" w:hAnsi="Tahoma" w:cs="Tahoma"/>
          <w:color w:val="0098BA"/>
          <w:sz w:val="19"/>
          <w:szCs w:val="19"/>
        </w:rPr>
      </w:pPr>
      <w:r w:rsidRPr="00BE2BB0">
        <w:rPr>
          <w:rFonts w:ascii="Tahoma" w:hAnsi="Tahoma" w:cs="Tahoma"/>
          <w:color w:val="0098BA"/>
          <w:sz w:val="19"/>
          <w:szCs w:val="19"/>
        </w:rPr>
        <w:t xml:space="preserve">SUBVENÇÃO DESCENTRALIZADA </w:t>
      </w:r>
      <w:r>
        <w:rPr>
          <w:rFonts w:ascii="Tahoma" w:hAnsi="Tahoma" w:cs="Tahoma"/>
          <w:color w:val="0098BA"/>
          <w:sz w:val="19"/>
          <w:szCs w:val="19"/>
        </w:rPr>
        <w:t>–</w:t>
      </w:r>
      <w:r w:rsidRPr="00BE2BB0">
        <w:rPr>
          <w:rFonts w:ascii="Tahoma" w:hAnsi="Tahoma" w:cs="Tahoma"/>
          <w:color w:val="0098BA"/>
          <w:sz w:val="19"/>
          <w:szCs w:val="19"/>
        </w:rPr>
        <w:t xml:space="preserve"> </w:t>
      </w:r>
      <w:r>
        <w:rPr>
          <w:rFonts w:ascii="Tahoma" w:hAnsi="Tahoma" w:cs="Tahoma"/>
          <w:color w:val="0098BA"/>
          <w:sz w:val="19"/>
          <w:szCs w:val="19"/>
        </w:rPr>
        <w:t>PROJETOS APOIADOS</w:t>
      </w:r>
      <w:r w:rsidRPr="00BE2BB0">
        <w:rPr>
          <w:rFonts w:ascii="Tahoma" w:hAnsi="Tahoma" w:cs="Tahoma"/>
          <w:color w:val="0098BA"/>
          <w:sz w:val="19"/>
          <w:szCs w:val="19"/>
        </w:rPr>
        <w:t xml:space="preserve"> POR </w:t>
      </w:r>
      <w:r>
        <w:rPr>
          <w:rFonts w:ascii="Tahoma" w:hAnsi="Tahoma" w:cs="Tahoma"/>
          <w:color w:val="0098BA"/>
          <w:sz w:val="19"/>
          <w:szCs w:val="19"/>
        </w:rPr>
        <w:t>PORTE</w:t>
      </w:r>
      <w:r w:rsidRPr="00BE2BB0">
        <w:rPr>
          <w:rFonts w:ascii="Tahoma" w:hAnsi="Tahoma" w:cs="Tahoma"/>
          <w:color w:val="0098BA"/>
          <w:sz w:val="19"/>
          <w:szCs w:val="19"/>
        </w:rPr>
        <w:t xml:space="preserve"> </w:t>
      </w:r>
      <w:r>
        <w:rPr>
          <w:rFonts w:ascii="Tahoma" w:hAnsi="Tahoma" w:cs="Tahoma"/>
          <w:color w:val="0098BA"/>
          <w:sz w:val="19"/>
          <w:szCs w:val="19"/>
        </w:rPr>
        <w:t>–</w:t>
      </w:r>
      <w:r w:rsidRPr="00BE2BB0">
        <w:rPr>
          <w:rFonts w:ascii="Tahoma" w:hAnsi="Tahoma" w:cs="Tahoma"/>
          <w:color w:val="0098BA"/>
          <w:sz w:val="19"/>
          <w:szCs w:val="19"/>
        </w:rPr>
        <w:t xml:space="preserve"> 2023</w:t>
      </w:r>
    </w:p>
    <w:p w14:paraId="1CD777B4" w14:textId="77777777" w:rsidR="00B167E3" w:rsidRDefault="00B167E3" w:rsidP="00B167E3">
      <w:pPr>
        <w:ind w:left="708" w:right="337" w:firstLine="708"/>
        <w:jc w:val="right"/>
      </w:pPr>
      <w:r>
        <w:rPr>
          <w:rFonts w:ascii="Tahoma" w:hAnsi="Tahoma" w:cs="Tahoma"/>
          <w:bCs/>
          <w:color w:val="000000"/>
          <w:sz w:val="19"/>
          <w:szCs w:val="19"/>
        </w:rPr>
        <w:t>Posição em 31/12/2023</w:t>
      </w:r>
    </w:p>
    <w:tbl>
      <w:tblPr>
        <w:tblW w:w="9064" w:type="dxa"/>
        <w:tblCellMar>
          <w:left w:w="70" w:type="dxa"/>
          <w:right w:w="70" w:type="dxa"/>
        </w:tblCellMar>
        <w:tblLook w:val="04A0" w:firstRow="1" w:lastRow="0" w:firstColumn="1" w:lastColumn="0" w:noHBand="0" w:noVBand="1"/>
      </w:tblPr>
      <w:tblGrid>
        <w:gridCol w:w="2410"/>
        <w:gridCol w:w="1276"/>
        <w:gridCol w:w="1843"/>
        <w:gridCol w:w="1984"/>
        <w:gridCol w:w="1551"/>
      </w:tblGrid>
      <w:tr w:rsidR="00B167E3" w:rsidRPr="00FC4429" w14:paraId="41526E34" w14:textId="77777777" w:rsidTr="00B167E3">
        <w:trPr>
          <w:trHeight w:val="900"/>
        </w:trPr>
        <w:tc>
          <w:tcPr>
            <w:tcW w:w="2410" w:type="dxa"/>
            <w:tcBorders>
              <w:top w:val="nil"/>
              <w:left w:val="nil"/>
              <w:bottom w:val="nil"/>
              <w:right w:val="single" w:sz="4" w:space="0" w:color="808080"/>
            </w:tcBorders>
            <w:shd w:val="clear" w:color="auto" w:fill="0098BA"/>
            <w:noWrap/>
            <w:vAlign w:val="center"/>
            <w:hideMark/>
          </w:tcPr>
          <w:p w14:paraId="74259B54" w14:textId="67BC8EE6" w:rsidR="00B167E3" w:rsidRPr="00FC4429" w:rsidRDefault="00B167E3" w:rsidP="00097EE2">
            <w:pPr>
              <w:rPr>
                <w:rFonts w:ascii="Tahoma" w:hAnsi="Tahoma" w:cs="Tahoma"/>
                <w:color w:val="FFFFFF" w:themeColor="background1"/>
                <w:sz w:val="18"/>
                <w:szCs w:val="18"/>
              </w:rPr>
            </w:pPr>
            <w:r>
              <w:rPr>
                <w:rFonts w:ascii="Tahoma" w:hAnsi="Tahoma" w:cs="Tahoma"/>
                <w:color w:val="FFFFFF" w:themeColor="background1"/>
                <w:sz w:val="18"/>
                <w:szCs w:val="18"/>
              </w:rPr>
              <w:t>Porte</w:t>
            </w:r>
          </w:p>
        </w:tc>
        <w:tc>
          <w:tcPr>
            <w:tcW w:w="1276" w:type="dxa"/>
            <w:tcBorders>
              <w:top w:val="nil"/>
              <w:left w:val="nil"/>
              <w:bottom w:val="nil"/>
              <w:right w:val="single" w:sz="4" w:space="0" w:color="808080"/>
            </w:tcBorders>
            <w:shd w:val="clear" w:color="auto" w:fill="0098BA"/>
            <w:vAlign w:val="center"/>
            <w:hideMark/>
          </w:tcPr>
          <w:p w14:paraId="61C4D515" w14:textId="77777777" w:rsidR="00B167E3" w:rsidRPr="00FC4429" w:rsidRDefault="00B167E3"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Número de empresas contratadas</w:t>
            </w:r>
          </w:p>
        </w:tc>
        <w:tc>
          <w:tcPr>
            <w:tcW w:w="1843" w:type="dxa"/>
            <w:tcBorders>
              <w:top w:val="nil"/>
              <w:left w:val="nil"/>
              <w:bottom w:val="nil"/>
              <w:right w:val="nil"/>
            </w:tcBorders>
            <w:shd w:val="clear" w:color="auto" w:fill="0098BA"/>
            <w:vAlign w:val="center"/>
            <w:hideMark/>
          </w:tcPr>
          <w:p w14:paraId="572F724D" w14:textId="77777777" w:rsidR="00B167E3" w:rsidRPr="00FC4429" w:rsidRDefault="00B167E3"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Valor contratado (R$)</w:t>
            </w:r>
          </w:p>
        </w:tc>
        <w:tc>
          <w:tcPr>
            <w:tcW w:w="1984" w:type="dxa"/>
            <w:tcBorders>
              <w:top w:val="nil"/>
              <w:left w:val="single" w:sz="4" w:space="0" w:color="808080"/>
              <w:bottom w:val="nil"/>
              <w:right w:val="single" w:sz="4" w:space="0" w:color="808080"/>
            </w:tcBorders>
            <w:shd w:val="clear" w:color="auto" w:fill="0098BA"/>
            <w:vAlign w:val="center"/>
            <w:hideMark/>
          </w:tcPr>
          <w:p w14:paraId="5240CE7C" w14:textId="77777777" w:rsidR="00B167E3" w:rsidRPr="00FC4429" w:rsidRDefault="00B167E3" w:rsidP="00B167E3">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Número de empresas que receberam liberações</w:t>
            </w:r>
          </w:p>
        </w:tc>
        <w:tc>
          <w:tcPr>
            <w:tcW w:w="1551" w:type="dxa"/>
            <w:tcBorders>
              <w:top w:val="nil"/>
              <w:left w:val="nil"/>
              <w:bottom w:val="nil"/>
              <w:right w:val="nil"/>
            </w:tcBorders>
            <w:shd w:val="clear" w:color="auto" w:fill="0098BA"/>
            <w:vAlign w:val="center"/>
            <w:hideMark/>
          </w:tcPr>
          <w:p w14:paraId="1B3E5513" w14:textId="77777777" w:rsidR="00B167E3" w:rsidRPr="00FC4429" w:rsidRDefault="00B167E3" w:rsidP="00097EE2">
            <w:pPr>
              <w:jc w:val="center"/>
              <w:rPr>
                <w:rFonts w:ascii="Tahoma" w:hAnsi="Tahoma" w:cs="Tahoma"/>
                <w:color w:val="FFFFFF" w:themeColor="background1"/>
                <w:sz w:val="18"/>
                <w:szCs w:val="18"/>
              </w:rPr>
            </w:pPr>
            <w:r w:rsidRPr="00FC4429">
              <w:rPr>
                <w:rFonts w:ascii="Tahoma" w:hAnsi="Tahoma" w:cs="Tahoma"/>
                <w:color w:val="FFFFFF" w:themeColor="background1"/>
                <w:sz w:val="18"/>
                <w:szCs w:val="18"/>
              </w:rPr>
              <w:t>Valor liberado (R$)</w:t>
            </w:r>
          </w:p>
        </w:tc>
      </w:tr>
      <w:tr w:rsidR="00B167E3" w:rsidRPr="00FC4429" w14:paraId="6F07C86A" w14:textId="77777777" w:rsidTr="00B167E3">
        <w:trPr>
          <w:trHeight w:val="300"/>
        </w:trPr>
        <w:tc>
          <w:tcPr>
            <w:tcW w:w="2410" w:type="dxa"/>
            <w:tcBorders>
              <w:top w:val="nil"/>
              <w:left w:val="nil"/>
              <w:bottom w:val="nil"/>
              <w:right w:val="single" w:sz="4" w:space="0" w:color="808080"/>
            </w:tcBorders>
            <w:shd w:val="clear" w:color="auto" w:fill="auto"/>
            <w:noWrap/>
            <w:vAlign w:val="center"/>
            <w:hideMark/>
          </w:tcPr>
          <w:p w14:paraId="125A927E" w14:textId="36550670" w:rsidR="00B167E3" w:rsidRPr="00FC4429" w:rsidRDefault="00B167E3" w:rsidP="00B167E3">
            <w:pPr>
              <w:rPr>
                <w:rFonts w:ascii="Tahoma" w:hAnsi="Tahoma" w:cs="Tahoma"/>
                <w:color w:val="000000"/>
                <w:sz w:val="18"/>
                <w:szCs w:val="18"/>
              </w:rPr>
            </w:pPr>
            <w:r w:rsidRPr="001228A6">
              <w:rPr>
                <w:rFonts w:ascii="Tahoma" w:hAnsi="Tahoma" w:cs="Tahoma"/>
                <w:sz w:val="18"/>
                <w:szCs w:val="18"/>
              </w:rPr>
              <w:t>Microempresa e Empresa de Pequeno Porte (EPP)</w:t>
            </w:r>
          </w:p>
        </w:tc>
        <w:tc>
          <w:tcPr>
            <w:tcW w:w="1276" w:type="dxa"/>
            <w:tcBorders>
              <w:top w:val="nil"/>
              <w:left w:val="nil"/>
              <w:bottom w:val="nil"/>
              <w:right w:val="nil"/>
            </w:tcBorders>
            <w:shd w:val="clear" w:color="auto" w:fill="auto"/>
            <w:noWrap/>
            <w:vAlign w:val="center"/>
          </w:tcPr>
          <w:p w14:paraId="37B297D5" w14:textId="4991AB5A" w:rsidR="00B167E3" w:rsidRPr="00FC4429" w:rsidRDefault="00EB49BE" w:rsidP="00B167E3">
            <w:pPr>
              <w:jc w:val="center"/>
              <w:rPr>
                <w:rFonts w:ascii="Tahoma" w:hAnsi="Tahoma" w:cs="Tahoma"/>
                <w:color w:val="000000"/>
                <w:sz w:val="18"/>
                <w:szCs w:val="18"/>
              </w:rPr>
            </w:pPr>
            <w:r>
              <w:rPr>
                <w:rFonts w:ascii="Tahoma" w:hAnsi="Tahoma" w:cs="Tahoma"/>
                <w:color w:val="000000"/>
                <w:sz w:val="18"/>
                <w:szCs w:val="18"/>
              </w:rPr>
              <w:t>499</w:t>
            </w:r>
          </w:p>
        </w:tc>
        <w:tc>
          <w:tcPr>
            <w:tcW w:w="1843" w:type="dxa"/>
            <w:tcBorders>
              <w:top w:val="nil"/>
              <w:left w:val="nil"/>
              <w:bottom w:val="nil"/>
              <w:right w:val="nil"/>
            </w:tcBorders>
            <w:shd w:val="clear" w:color="auto" w:fill="auto"/>
            <w:noWrap/>
            <w:vAlign w:val="center"/>
          </w:tcPr>
          <w:p w14:paraId="597798B9" w14:textId="023F1674" w:rsidR="00EB49BE" w:rsidRPr="00FC4429" w:rsidRDefault="00EB49BE" w:rsidP="00EB49BE">
            <w:pPr>
              <w:jc w:val="right"/>
              <w:rPr>
                <w:rFonts w:ascii="Tahoma" w:hAnsi="Tahoma" w:cs="Tahoma"/>
                <w:color w:val="000000"/>
                <w:sz w:val="18"/>
                <w:szCs w:val="18"/>
              </w:rPr>
            </w:pPr>
            <w:r>
              <w:rPr>
                <w:rFonts w:ascii="Tahoma" w:hAnsi="Tahoma" w:cs="Tahoma"/>
                <w:color w:val="000000"/>
                <w:sz w:val="18"/>
                <w:szCs w:val="18"/>
              </w:rPr>
              <w:t>19.186.235,23</w:t>
            </w:r>
          </w:p>
        </w:tc>
        <w:tc>
          <w:tcPr>
            <w:tcW w:w="1984" w:type="dxa"/>
            <w:tcBorders>
              <w:top w:val="nil"/>
              <w:left w:val="single" w:sz="4" w:space="0" w:color="808080"/>
              <w:bottom w:val="nil"/>
              <w:right w:val="single" w:sz="4" w:space="0" w:color="808080"/>
            </w:tcBorders>
            <w:shd w:val="clear" w:color="auto" w:fill="auto"/>
            <w:noWrap/>
            <w:vAlign w:val="center"/>
          </w:tcPr>
          <w:p w14:paraId="5C2AE2F2" w14:textId="3C9F1FE9" w:rsidR="00B167E3" w:rsidRPr="00FC4429" w:rsidRDefault="00EB49BE" w:rsidP="00B167E3">
            <w:pPr>
              <w:jc w:val="center"/>
              <w:rPr>
                <w:rFonts w:ascii="Tahoma" w:hAnsi="Tahoma" w:cs="Tahoma"/>
                <w:color w:val="000000"/>
                <w:sz w:val="18"/>
                <w:szCs w:val="18"/>
              </w:rPr>
            </w:pPr>
            <w:r>
              <w:rPr>
                <w:rFonts w:ascii="Tahoma" w:hAnsi="Tahoma" w:cs="Tahoma"/>
                <w:color w:val="000000"/>
                <w:sz w:val="18"/>
                <w:szCs w:val="18"/>
              </w:rPr>
              <w:t>80</w:t>
            </w:r>
            <w:r w:rsidR="0055505F">
              <w:rPr>
                <w:rFonts w:ascii="Tahoma" w:hAnsi="Tahoma" w:cs="Tahoma"/>
                <w:color w:val="000000"/>
                <w:sz w:val="18"/>
                <w:szCs w:val="18"/>
              </w:rPr>
              <w:t>5</w:t>
            </w:r>
          </w:p>
        </w:tc>
        <w:tc>
          <w:tcPr>
            <w:tcW w:w="1551" w:type="dxa"/>
            <w:tcBorders>
              <w:top w:val="nil"/>
              <w:left w:val="nil"/>
              <w:bottom w:val="nil"/>
              <w:right w:val="single" w:sz="4" w:space="0" w:color="808080"/>
            </w:tcBorders>
            <w:shd w:val="clear" w:color="auto" w:fill="auto"/>
            <w:noWrap/>
            <w:vAlign w:val="center"/>
          </w:tcPr>
          <w:p w14:paraId="745153C6" w14:textId="6D73F622" w:rsidR="00B167E3" w:rsidRPr="00FC4429" w:rsidRDefault="00EB49BE" w:rsidP="00B167E3">
            <w:pPr>
              <w:jc w:val="right"/>
              <w:rPr>
                <w:rFonts w:ascii="Tahoma" w:hAnsi="Tahoma" w:cs="Tahoma"/>
                <w:color w:val="000000"/>
                <w:sz w:val="18"/>
                <w:szCs w:val="18"/>
              </w:rPr>
            </w:pPr>
            <w:r>
              <w:rPr>
                <w:rFonts w:ascii="Tahoma" w:hAnsi="Tahoma" w:cs="Tahoma"/>
                <w:color w:val="000000"/>
                <w:sz w:val="18"/>
                <w:szCs w:val="18"/>
              </w:rPr>
              <w:t>27.</w:t>
            </w:r>
            <w:r w:rsidR="00575002">
              <w:rPr>
                <w:rFonts w:ascii="Tahoma" w:hAnsi="Tahoma" w:cs="Tahoma"/>
                <w:color w:val="000000"/>
                <w:sz w:val="18"/>
                <w:szCs w:val="18"/>
              </w:rPr>
              <w:t>587.038,50</w:t>
            </w:r>
          </w:p>
        </w:tc>
      </w:tr>
      <w:tr w:rsidR="00B167E3" w:rsidRPr="00FC4429" w14:paraId="6DD5C7D8" w14:textId="77777777" w:rsidTr="00B167E3">
        <w:trPr>
          <w:trHeight w:val="300"/>
        </w:trPr>
        <w:tc>
          <w:tcPr>
            <w:tcW w:w="2410" w:type="dxa"/>
            <w:tcBorders>
              <w:top w:val="nil"/>
              <w:left w:val="nil"/>
              <w:bottom w:val="nil"/>
              <w:right w:val="single" w:sz="4" w:space="0" w:color="808080"/>
            </w:tcBorders>
            <w:shd w:val="clear" w:color="auto" w:fill="auto"/>
            <w:noWrap/>
            <w:vAlign w:val="center"/>
            <w:hideMark/>
          </w:tcPr>
          <w:p w14:paraId="18A08385" w14:textId="42D02056" w:rsidR="00B167E3" w:rsidRPr="00FC4429" w:rsidRDefault="00B167E3" w:rsidP="00B167E3">
            <w:pPr>
              <w:rPr>
                <w:rFonts w:ascii="Tahoma" w:hAnsi="Tahoma" w:cs="Tahoma"/>
                <w:color w:val="000000"/>
                <w:sz w:val="18"/>
                <w:szCs w:val="18"/>
              </w:rPr>
            </w:pPr>
            <w:r w:rsidRPr="001228A6">
              <w:rPr>
                <w:rFonts w:ascii="Tahoma" w:hAnsi="Tahoma" w:cs="Tahoma"/>
                <w:color w:val="000000"/>
                <w:sz w:val="18"/>
                <w:szCs w:val="18"/>
              </w:rPr>
              <w:t>Pequena Empresa</w:t>
            </w:r>
          </w:p>
        </w:tc>
        <w:tc>
          <w:tcPr>
            <w:tcW w:w="1276" w:type="dxa"/>
            <w:tcBorders>
              <w:top w:val="nil"/>
              <w:left w:val="nil"/>
              <w:bottom w:val="nil"/>
              <w:right w:val="nil"/>
            </w:tcBorders>
            <w:shd w:val="clear" w:color="auto" w:fill="auto"/>
            <w:noWrap/>
            <w:vAlign w:val="center"/>
          </w:tcPr>
          <w:p w14:paraId="60E24647" w14:textId="2B54F103" w:rsidR="00B167E3" w:rsidRPr="00FC4429" w:rsidRDefault="00EB49BE" w:rsidP="00B167E3">
            <w:pPr>
              <w:jc w:val="center"/>
              <w:rPr>
                <w:rFonts w:ascii="Tahoma" w:hAnsi="Tahoma" w:cs="Tahoma"/>
                <w:color w:val="000000"/>
                <w:sz w:val="18"/>
                <w:szCs w:val="18"/>
              </w:rPr>
            </w:pPr>
            <w:r>
              <w:rPr>
                <w:rFonts w:ascii="Tahoma" w:hAnsi="Tahoma" w:cs="Tahoma"/>
                <w:color w:val="000000"/>
                <w:sz w:val="18"/>
                <w:szCs w:val="18"/>
              </w:rPr>
              <w:t>0</w:t>
            </w:r>
          </w:p>
        </w:tc>
        <w:tc>
          <w:tcPr>
            <w:tcW w:w="1843" w:type="dxa"/>
            <w:tcBorders>
              <w:top w:val="nil"/>
              <w:left w:val="nil"/>
              <w:bottom w:val="nil"/>
              <w:right w:val="nil"/>
            </w:tcBorders>
            <w:shd w:val="clear" w:color="auto" w:fill="auto"/>
            <w:noWrap/>
            <w:vAlign w:val="center"/>
          </w:tcPr>
          <w:p w14:paraId="63AEFE23" w14:textId="75C67D9E" w:rsidR="00B167E3" w:rsidRPr="00FC4429" w:rsidRDefault="00EB49BE" w:rsidP="00B167E3">
            <w:pPr>
              <w:jc w:val="right"/>
              <w:rPr>
                <w:rFonts w:ascii="Tahoma" w:hAnsi="Tahoma" w:cs="Tahoma"/>
                <w:color w:val="000000"/>
                <w:sz w:val="18"/>
                <w:szCs w:val="18"/>
              </w:rPr>
            </w:pPr>
            <w:r>
              <w:rPr>
                <w:rFonts w:ascii="Tahoma" w:hAnsi="Tahoma" w:cs="Tahoma"/>
                <w:color w:val="000000"/>
                <w:sz w:val="18"/>
                <w:szCs w:val="18"/>
              </w:rPr>
              <w:t>-</w:t>
            </w:r>
          </w:p>
        </w:tc>
        <w:tc>
          <w:tcPr>
            <w:tcW w:w="1984" w:type="dxa"/>
            <w:tcBorders>
              <w:top w:val="nil"/>
              <w:left w:val="single" w:sz="4" w:space="0" w:color="808080"/>
              <w:bottom w:val="nil"/>
              <w:right w:val="single" w:sz="4" w:space="0" w:color="808080"/>
            </w:tcBorders>
            <w:shd w:val="clear" w:color="auto" w:fill="auto"/>
            <w:noWrap/>
            <w:vAlign w:val="center"/>
          </w:tcPr>
          <w:p w14:paraId="4B587794" w14:textId="7128056F" w:rsidR="00B167E3" w:rsidRPr="00FC4429" w:rsidRDefault="00EB49BE" w:rsidP="00B167E3">
            <w:pPr>
              <w:jc w:val="center"/>
              <w:rPr>
                <w:rFonts w:ascii="Tahoma" w:hAnsi="Tahoma" w:cs="Tahoma"/>
                <w:color w:val="000000"/>
                <w:sz w:val="18"/>
                <w:szCs w:val="18"/>
              </w:rPr>
            </w:pPr>
            <w:r>
              <w:rPr>
                <w:rFonts w:ascii="Tahoma" w:hAnsi="Tahoma" w:cs="Tahoma"/>
                <w:color w:val="000000"/>
                <w:sz w:val="18"/>
                <w:szCs w:val="18"/>
              </w:rPr>
              <w:t>11</w:t>
            </w:r>
          </w:p>
        </w:tc>
        <w:tc>
          <w:tcPr>
            <w:tcW w:w="1551" w:type="dxa"/>
            <w:tcBorders>
              <w:top w:val="nil"/>
              <w:left w:val="nil"/>
              <w:bottom w:val="nil"/>
              <w:right w:val="single" w:sz="4" w:space="0" w:color="808080"/>
            </w:tcBorders>
            <w:shd w:val="clear" w:color="auto" w:fill="auto"/>
            <w:noWrap/>
            <w:vAlign w:val="center"/>
          </w:tcPr>
          <w:p w14:paraId="1BF05411" w14:textId="0D20B037" w:rsidR="00B167E3" w:rsidRPr="00FC4429" w:rsidRDefault="00EB49BE" w:rsidP="00B167E3">
            <w:pPr>
              <w:jc w:val="right"/>
              <w:rPr>
                <w:rFonts w:ascii="Tahoma" w:hAnsi="Tahoma" w:cs="Tahoma"/>
                <w:color w:val="000000"/>
                <w:sz w:val="18"/>
                <w:szCs w:val="18"/>
              </w:rPr>
            </w:pPr>
            <w:r>
              <w:rPr>
                <w:rFonts w:ascii="Tahoma" w:hAnsi="Tahoma" w:cs="Tahoma"/>
                <w:color w:val="000000"/>
                <w:sz w:val="18"/>
                <w:szCs w:val="18"/>
              </w:rPr>
              <w:t>657.030,81</w:t>
            </w:r>
          </w:p>
        </w:tc>
      </w:tr>
      <w:tr w:rsidR="00B167E3" w:rsidRPr="00FC4429" w14:paraId="286CA051" w14:textId="77777777" w:rsidTr="00B167E3">
        <w:trPr>
          <w:trHeight w:val="340"/>
        </w:trPr>
        <w:tc>
          <w:tcPr>
            <w:tcW w:w="2410" w:type="dxa"/>
            <w:tcBorders>
              <w:top w:val="nil"/>
              <w:left w:val="nil"/>
              <w:bottom w:val="nil"/>
              <w:right w:val="single" w:sz="4" w:space="0" w:color="808080"/>
            </w:tcBorders>
            <w:shd w:val="clear" w:color="auto" w:fill="0098BA"/>
            <w:noWrap/>
            <w:vAlign w:val="center"/>
            <w:hideMark/>
          </w:tcPr>
          <w:p w14:paraId="395F6035" w14:textId="77777777" w:rsidR="00B167E3" w:rsidRPr="00FC4429" w:rsidRDefault="00B167E3" w:rsidP="00097EE2">
            <w:pPr>
              <w:rPr>
                <w:rFonts w:ascii="Tahoma" w:hAnsi="Tahoma" w:cs="Tahoma"/>
                <w:color w:val="FFFFFF" w:themeColor="background1"/>
                <w:sz w:val="18"/>
                <w:szCs w:val="18"/>
              </w:rPr>
            </w:pPr>
            <w:r w:rsidRPr="00FC4429">
              <w:rPr>
                <w:rFonts w:ascii="Tahoma" w:hAnsi="Tahoma" w:cs="Tahoma"/>
                <w:color w:val="FFFFFF" w:themeColor="background1"/>
                <w:sz w:val="18"/>
                <w:szCs w:val="18"/>
              </w:rPr>
              <w:t>Total</w:t>
            </w:r>
          </w:p>
        </w:tc>
        <w:tc>
          <w:tcPr>
            <w:tcW w:w="1276" w:type="dxa"/>
            <w:tcBorders>
              <w:top w:val="nil"/>
              <w:left w:val="nil"/>
              <w:bottom w:val="nil"/>
              <w:right w:val="nil"/>
            </w:tcBorders>
            <w:shd w:val="clear" w:color="auto" w:fill="0098BA"/>
            <w:noWrap/>
            <w:vAlign w:val="center"/>
          </w:tcPr>
          <w:p w14:paraId="1AFA99A3" w14:textId="03527C95" w:rsidR="00B167E3" w:rsidRPr="00FC4429" w:rsidRDefault="00BB485B" w:rsidP="00097EE2">
            <w:pPr>
              <w:jc w:val="center"/>
              <w:rPr>
                <w:rFonts w:ascii="Tahoma" w:hAnsi="Tahoma" w:cs="Tahoma"/>
                <w:color w:val="FFFFFF" w:themeColor="background1"/>
                <w:sz w:val="18"/>
                <w:szCs w:val="18"/>
              </w:rPr>
            </w:pPr>
            <w:r>
              <w:rPr>
                <w:rFonts w:ascii="Tahoma" w:hAnsi="Tahoma" w:cs="Tahoma"/>
                <w:color w:val="FFFFFF" w:themeColor="background1"/>
                <w:sz w:val="18"/>
                <w:szCs w:val="18"/>
              </w:rPr>
              <w:t>499</w:t>
            </w:r>
          </w:p>
        </w:tc>
        <w:tc>
          <w:tcPr>
            <w:tcW w:w="1843" w:type="dxa"/>
            <w:tcBorders>
              <w:top w:val="nil"/>
              <w:left w:val="nil"/>
              <w:bottom w:val="nil"/>
              <w:right w:val="nil"/>
            </w:tcBorders>
            <w:shd w:val="clear" w:color="auto" w:fill="0098BA"/>
            <w:noWrap/>
            <w:vAlign w:val="center"/>
          </w:tcPr>
          <w:p w14:paraId="1AE4C787" w14:textId="3D05DEA9" w:rsidR="00B167E3" w:rsidRPr="00FC4429" w:rsidRDefault="00BB485B" w:rsidP="00097EE2">
            <w:pPr>
              <w:jc w:val="right"/>
              <w:rPr>
                <w:rFonts w:ascii="Tahoma" w:hAnsi="Tahoma" w:cs="Tahoma"/>
                <w:color w:val="FFFFFF" w:themeColor="background1"/>
                <w:sz w:val="18"/>
                <w:szCs w:val="18"/>
              </w:rPr>
            </w:pPr>
            <w:r>
              <w:rPr>
                <w:rFonts w:ascii="Tahoma" w:hAnsi="Tahoma" w:cs="Tahoma"/>
                <w:color w:val="FFFFFF" w:themeColor="background1"/>
                <w:sz w:val="18"/>
                <w:szCs w:val="18"/>
              </w:rPr>
              <w:t>19.186.235,23</w:t>
            </w:r>
          </w:p>
        </w:tc>
        <w:tc>
          <w:tcPr>
            <w:tcW w:w="1984" w:type="dxa"/>
            <w:tcBorders>
              <w:top w:val="nil"/>
              <w:left w:val="single" w:sz="4" w:space="0" w:color="808080"/>
              <w:bottom w:val="nil"/>
              <w:right w:val="single" w:sz="4" w:space="0" w:color="808080"/>
            </w:tcBorders>
            <w:shd w:val="clear" w:color="auto" w:fill="0098BA"/>
            <w:noWrap/>
            <w:vAlign w:val="center"/>
          </w:tcPr>
          <w:p w14:paraId="55C73A31" w14:textId="19199B11" w:rsidR="00B167E3" w:rsidRPr="00FC4429" w:rsidRDefault="00575002" w:rsidP="00097EE2">
            <w:pPr>
              <w:jc w:val="center"/>
              <w:rPr>
                <w:rFonts w:ascii="Tahoma" w:hAnsi="Tahoma" w:cs="Tahoma"/>
                <w:color w:val="FFFFFF" w:themeColor="background1"/>
                <w:sz w:val="18"/>
                <w:szCs w:val="18"/>
              </w:rPr>
            </w:pPr>
            <w:r>
              <w:rPr>
                <w:rFonts w:ascii="Tahoma" w:hAnsi="Tahoma" w:cs="Tahoma"/>
                <w:color w:val="FFFFFF" w:themeColor="background1"/>
                <w:sz w:val="18"/>
                <w:szCs w:val="18"/>
              </w:rPr>
              <w:t>816</w:t>
            </w:r>
          </w:p>
        </w:tc>
        <w:tc>
          <w:tcPr>
            <w:tcW w:w="1551" w:type="dxa"/>
            <w:tcBorders>
              <w:top w:val="nil"/>
              <w:left w:val="nil"/>
              <w:bottom w:val="nil"/>
              <w:right w:val="nil"/>
            </w:tcBorders>
            <w:shd w:val="clear" w:color="auto" w:fill="0098BA"/>
            <w:noWrap/>
            <w:vAlign w:val="center"/>
          </w:tcPr>
          <w:p w14:paraId="571053D3" w14:textId="1AC1F55F" w:rsidR="00B167E3" w:rsidRPr="00FC4429" w:rsidRDefault="00575002" w:rsidP="00097EE2">
            <w:pPr>
              <w:jc w:val="right"/>
              <w:rPr>
                <w:rFonts w:ascii="Tahoma" w:hAnsi="Tahoma" w:cs="Tahoma"/>
                <w:color w:val="FFFFFF" w:themeColor="background1"/>
                <w:sz w:val="18"/>
                <w:szCs w:val="18"/>
              </w:rPr>
            </w:pPr>
            <w:r>
              <w:rPr>
                <w:rFonts w:ascii="Tahoma" w:hAnsi="Tahoma" w:cs="Tahoma"/>
                <w:color w:val="FFFFFF" w:themeColor="background1"/>
                <w:sz w:val="18"/>
                <w:szCs w:val="18"/>
              </w:rPr>
              <w:t>28.244.069,31</w:t>
            </w:r>
          </w:p>
        </w:tc>
      </w:tr>
    </w:tbl>
    <w:p w14:paraId="69A314A5" w14:textId="77777777" w:rsidR="00E87EF3" w:rsidRPr="0055505F" w:rsidRDefault="00E87EF3" w:rsidP="00E87EF3">
      <w:pPr>
        <w:spacing w:before="60"/>
      </w:pPr>
      <w:r>
        <w:rPr>
          <w:rFonts w:ascii="Tahoma" w:hAnsi="Tahoma" w:cs="Tahoma"/>
          <w:b/>
          <w:bCs/>
          <w:color w:val="000000"/>
          <w:sz w:val="18"/>
          <w:szCs w:val="18"/>
        </w:rPr>
        <w:t>Dados obtidos em:</w:t>
      </w:r>
      <w:r>
        <w:rPr>
          <w:rFonts w:ascii="Tahoma" w:hAnsi="Tahoma" w:cs="Tahoma"/>
          <w:color w:val="000000"/>
          <w:sz w:val="18"/>
          <w:szCs w:val="18"/>
        </w:rPr>
        <w:t xml:space="preserve"> fev/2024</w:t>
      </w:r>
    </w:p>
    <w:p w14:paraId="305BF06F" w14:textId="77777777" w:rsidR="00E87EF3" w:rsidRDefault="00E87EF3" w:rsidP="00E87EF3">
      <w:pPr>
        <w:spacing w:after="120"/>
        <w:rPr>
          <w:rFonts w:ascii="Tahoma" w:hAnsi="Tahoma" w:cs="Tahoma"/>
          <w:color w:val="000000"/>
          <w:sz w:val="19"/>
          <w:szCs w:val="19"/>
        </w:rPr>
      </w:pPr>
      <w:r>
        <w:rPr>
          <w:rFonts w:ascii="Tahoma" w:hAnsi="Tahoma" w:cs="Tahoma"/>
          <w:sz w:val="19"/>
          <w:szCs w:val="19"/>
        </w:rPr>
        <w:t xml:space="preserve">Nota: </w:t>
      </w:r>
      <w:r>
        <w:rPr>
          <w:rFonts w:ascii="Tahoma" w:hAnsi="Tahoma" w:cs="Tahoma"/>
          <w:color w:val="000000"/>
          <w:sz w:val="19"/>
          <w:szCs w:val="19"/>
        </w:rPr>
        <w:t>Os dados de algumas instituições parceiras referem-se ao 3º trimestre de 2023.</w:t>
      </w:r>
    </w:p>
    <w:p w14:paraId="74F11A62" w14:textId="77777777" w:rsidR="009417EC" w:rsidRDefault="009417EC" w:rsidP="009417EC">
      <w:pPr>
        <w:spacing w:before="120" w:after="120" w:line="360" w:lineRule="auto"/>
        <w:rPr>
          <w:rFonts w:ascii="Tahoma" w:hAnsi="Tahoma" w:cs="Tahoma"/>
          <w:sz w:val="18"/>
          <w:szCs w:val="18"/>
        </w:rPr>
      </w:pPr>
    </w:p>
    <w:p w14:paraId="680780EA" w14:textId="77777777" w:rsidR="00BD787B" w:rsidRDefault="00BD787B">
      <w:pPr>
        <w:autoSpaceDN w:val="0"/>
        <w:spacing w:after="160"/>
        <w:textAlignment w:val="baseline"/>
        <w:rPr>
          <w:rFonts w:ascii="Calibri" w:hAnsi="Calibri" w:cs="Calibri"/>
          <w:color w:val="000000"/>
          <w:sz w:val="22"/>
          <w:szCs w:val="22"/>
        </w:rPr>
      </w:pPr>
    </w:p>
    <w:p w14:paraId="56CCCB6A" w14:textId="73DFB3F4" w:rsidR="009B52B7" w:rsidRDefault="009B52B7">
      <w:pPr>
        <w:autoSpaceDN w:val="0"/>
        <w:spacing w:after="160"/>
        <w:textAlignment w:val="baseline"/>
        <w:rPr>
          <w:rFonts w:ascii="Tahoma" w:hAnsi="Tahoma" w:cs="Tahoma"/>
          <w:sz w:val="19"/>
          <w:szCs w:val="19"/>
        </w:rPr>
      </w:pPr>
      <w:r>
        <w:rPr>
          <w:rFonts w:ascii="Tahoma" w:hAnsi="Tahoma" w:cs="Tahoma"/>
          <w:sz w:val="19"/>
          <w:szCs w:val="19"/>
        </w:rPr>
        <w:br w:type="page"/>
      </w:r>
    </w:p>
    <w:p w14:paraId="758AC81A" w14:textId="77777777" w:rsidR="00DC0ADE" w:rsidRPr="00BB7B36" w:rsidRDefault="00DC0ADE" w:rsidP="00DC0ADE">
      <w:pPr>
        <w:spacing w:before="120" w:after="120" w:line="360" w:lineRule="auto"/>
        <w:rPr>
          <w:rFonts w:ascii="Tahoma" w:hAnsi="Tahoma" w:cs="Tahoma"/>
          <w:color w:val="0098BA"/>
          <w:sz w:val="19"/>
          <w:szCs w:val="19"/>
        </w:rPr>
      </w:pPr>
      <w:r w:rsidRPr="00BB7B36">
        <w:rPr>
          <w:rFonts w:ascii="Tahoma" w:hAnsi="Tahoma" w:cs="Tahoma"/>
          <w:color w:val="0098BA"/>
          <w:sz w:val="19"/>
          <w:szCs w:val="19"/>
        </w:rPr>
        <w:lastRenderedPageBreak/>
        <w:t>Exemplos de projetos</w:t>
      </w:r>
      <w:r>
        <w:rPr>
          <w:rFonts w:ascii="Tahoma" w:hAnsi="Tahoma" w:cs="Tahoma"/>
          <w:color w:val="0098BA"/>
          <w:sz w:val="19"/>
          <w:szCs w:val="19"/>
        </w:rPr>
        <w:t xml:space="preserve"> apoiados</w:t>
      </w:r>
    </w:p>
    <w:p w14:paraId="384ED748" w14:textId="7095D3BB" w:rsidR="000D6D0A" w:rsidRDefault="00DC0ADE" w:rsidP="00DC0ADE">
      <w:pPr>
        <w:spacing w:after="160"/>
        <w:textAlignment w:val="baseline"/>
        <w:rPr>
          <w:rFonts w:ascii="Tahoma" w:hAnsi="Tahoma" w:cs="Tahoma"/>
          <w:sz w:val="19"/>
          <w:szCs w:val="19"/>
        </w:rPr>
      </w:pPr>
      <w:r>
        <w:rPr>
          <w:noProof/>
        </w:rPr>
        <w:drawing>
          <wp:inline distT="0" distB="0" distL="0" distR="0" wp14:anchorId="3EE8B142" wp14:editId="3FA077F8">
            <wp:extent cx="5795010" cy="3259455"/>
            <wp:effectExtent l="0" t="0" r="0" b="0"/>
            <wp:docPr id="110428984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289841" name=""/>
                    <pic:cNvPicPr/>
                  </pic:nvPicPr>
                  <pic:blipFill>
                    <a:blip r:embed="rId166">
                      <a:extLst>
                        <a:ext uri="{96DAC541-7B7A-43D3-8B79-37D633B846F1}">
                          <asvg:svgBlip xmlns:asvg="http://schemas.microsoft.com/office/drawing/2016/SVG/main" r:embed="rId167"/>
                        </a:ext>
                      </a:extLst>
                    </a:blip>
                    <a:stretch>
                      <a:fillRect/>
                    </a:stretch>
                  </pic:blipFill>
                  <pic:spPr>
                    <a:xfrm>
                      <a:off x="0" y="0"/>
                      <a:ext cx="5795010" cy="3259455"/>
                    </a:xfrm>
                    <a:prstGeom prst="rect">
                      <a:avLst/>
                    </a:prstGeom>
                  </pic:spPr>
                </pic:pic>
              </a:graphicData>
            </a:graphic>
          </wp:inline>
        </w:drawing>
      </w:r>
    </w:p>
    <w:p w14:paraId="66B86F93" w14:textId="77777777" w:rsidR="00DC0ADE" w:rsidRDefault="00DC0ADE" w:rsidP="00DC0ADE">
      <w:pPr>
        <w:spacing w:after="160"/>
        <w:textAlignment w:val="baseline"/>
        <w:rPr>
          <w:rFonts w:ascii="Tahoma" w:hAnsi="Tahoma" w:cs="Tahoma"/>
          <w:sz w:val="19"/>
          <w:szCs w:val="19"/>
        </w:rPr>
      </w:pPr>
    </w:p>
    <w:p w14:paraId="44E7BCA8" w14:textId="0A19D7C2" w:rsidR="00DC0ADE" w:rsidRDefault="00DC0ADE" w:rsidP="00DC0ADE">
      <w:pPr>
        <w:spacing w:after="160"/>
        <w:textAlignment w:val="baseline"/>
        <w:rPr>
          <w:rFonts w:ascii="Tahoma" w:hAnsi="Tahoma" w:cs="Tahoma"/>
          <w:sz w:val="19"/>
          <w:szCs w:val="19"/>
        </w:rPr>
      </w:pPr>
      <w:r>
        <w:rPr>
          <w:noProof/>
        </w:rPr>
        <w:drawing>
          <wp:inline distT="0" distB="0" distL="0" distR="0" wp14:anchorId="1C76D484" wp14:editId="5DC7D436">
            <wp:extent cx="5795010" cy="3259455"/>
            <wp:effectExtent l="0" t="0" r="0" b="0"/>
            <wp:docPr id="22121456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14568"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5795010" cy="3259455"/>
                    </a:xfrm>
                    <a:prstGeom prst="rect">
                      <a:avLst/>
                    </a:prstGeom>
                  </pic:spPr>
                </pic:pic>
              </a:graphicData>
            </a:graphic>
          </wp:inline>
        </w:drawing>
      </w:r>
    </w:p>
    <w:p w14:paraId="6C37BD5E" w14:textId="77777777" w:rsidR="00DC0ADE" w:rsidRDefault="00DC0ADE" w:rsidP="00DC0ADE">
      <w:pPr>
        <w:spacing w:after="160"/>
        <w:textAlignment w:val="baseline"/>
        <w:rPr>
          <w:rFonts w:ascii="Tahoma" w:hAnsi="Tahoma" w:cs="Tahoma"/>
          <w:sz w:val="19"/>
          <w:szCs w:val="19"/>
        </w:rPr>
      </w:pPr>
    </w:p>
    <w:p w14:paraId="19411653" w14:textId="3E2DB92B" w:rsidR="00DC0ADE" w:rsidRDefault="00DC0ADE" w:rsidP="00DC0ADE">
      <w:pPr>
        <w:spacing w:after="160"/>
        <w:textAlignment w:val="baseline"/>
        <w:rPr>
          <w:rFonts w:ascii="Tahoma" w:hAnsi="Tahoma" w:cs="Tahoma"/>
          <w:sz w:val="19"/>
          <w:szCs w:val="19"/>
        </w:rPr>
      </w:pPr>
      <w:r>
        <w:rPr>
          <w:noProof/>
        </w:rPr>
        <w:lastRenderedPageBreak/>
        <w:drawing>
          <wp:inline distT="0" distB="0" distL="0" distR="0" wp14:anchorId="7B257930" wp14:editId="5B7CEA52">
            <wp:extent cx="5795010" cy="3259455"/>
            <wp:effectExtent l="0" t="0" r="0" b="0"/>
            <wp:docPr id="97986745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67450" name=""/>
                    <pic:cNvPicPr/>
                  </pic:nvPicPr>
                  <pic:blipFill>
                    <a:blip r:embed="rId170">
                      <a:extLst>
                        <a:ext uri="{96DAC541-7B7A-43D3-8B79-37D633B846F1}">
                          <asvg:svgBlip xmlns:asvg="http://schemas.microsoft.com/office/drawing/2016/SVG/main" r:embed="rId171"/>
                        </a:ext>
                      </a:extLst>
                    </a:blip>
                    <a:stretch>
                      <a:fillRect/>
                    </a:stretch>
                  </pic:blipFill>
                  <pic:spPr>
                    <a:xfrm>
                      <a:off x="0" y="0"/>
                      <a:ext cx="5795010" cy="3259455"/>
                    </a:xfrm>
                    <a:prstGeom prst="rect">
                      <a:avLst/>
                    </a:prstGeom>
                  </pic:spPr>
                </pic:pic>
              </a:graphicData>
            </a:graphic>
          </wp:inline>
        </w:drawing>
      </w:r>
    </w:p>
    <w:p w14:paraId="248A261C" w14:textId="77777777" w:rsidR="0044520F" w:rsidRDefault="0044520F">
      <w:pPr>
        <w:autoSpaceDN w:val="0"/>
        <w:spacing w:after="160"/>
        <w:textAlignment w:val="baseline"/>
        <w:rPr>
          <w:rFonts w:ascii="Tahoma" w:hAnsi="Tahoma" w:cs="Tahoma"/>
          <w:sz w:val="19"/>
          <w:szCs w:val="19"/>
        </w:rPr>
      </w:pPr>
    </w:p>
    <w:p w14:paraId="7DBDD717" w14:textId="77777777" w:rsidR="0044520F" w:rsidRDefault="0044520F">
      <w:pPr>
        <w:autoSpaceDN w:val="0"/>
        <w:spacing w:after="160"/>
        <w:textAlignment w:val="baseline"/>
        <w:rPr>
          <w:rFonts w:ascii="Tahoma" w:hAnsi="Tahoma" w:cs="Tahoma"/>
          <w:sz w:val="19"/>
          <w:szCs w:val="19"/>
        </w:rPr>
      </w:pPr>
    </w:p>
    <w:p w14:paraId="21D0FB54" w14:textId="77777777" w:rsidR="00422401" w:rsidRDefault="00422401">
      <w:pPr>
        <w:autoSpaceDN w:val="0"/>
        <w:spacing w:after="160"/>
        <w:textAlignment w:val="baseline"/>
        <w:rPr>
          <w:rFonts w:ascii="Tahoma" w:hAnsi="Tahoma" w:cs="Tahoma"/>
          <w:sz w:val="19"/>
          <w:szCs w:val="19"/>
        </w:rPr>
      </w:pPr>
    </w:p>
    <w:p w14:paraId="2B5D28B4" w14:textId="77777777" w:rsidR="000D6D0A" w:rsidRPr="004C7962" w:rsidRDefault="00BB0E07" w:rsidP="004C7962">
      <w:pPr>
        <w:pStyle w:val="Ttulo3"/>
        <w:spacing w:before="120" w:after="120" w:line="360" w:lineRule="auto"/>
        <w:rPr>
          <w:rFonts w:ascii="Tahoma" w:hAnsi="Tahoma" w:cs="Tahoma"/>
          <w:color w:val="0098BA"/>
          <w:sz w:val="22"/>
          <w:szCs w:val="22"/>
        </w:rPr>
      </w:pPr>
      <w:bookmarkStart w:id="114" w:name="_Toc131692241"/>
      <w:bookmarkStart w:id="115" w:name="_Toc163025256"/>
      <w:bookmarkStart w:id="116" w:name="_Toc162512593"/>
      <w:bookmarkStart w:id="117" w:name="_Toc97244803"/>
      <w:bookmarkStart w:id="118" w:name="_Toc105003787"/>
      <w:bookmarkStart w:id="119" w:name="_Toc105006470"/>
      <w:bookmarkStart w:id="120" w:name="_Toc97244799"/>
      <w:bookmarkEnd w:id="97"/>
      <w:bookmarkEnd w:id="98"/>
      <w:bookmarkEnd w:id="99"/>
      <w:bookmarkEnd w:id="100"/>
      <w:bookmarkEnd w:id="101"/>
      <w:bookmarkEnd w:id="102"/>
      <w:bookmarkEnd w:id="109"/>
      <w:bookmarkEnd w:id="110"/>
      <w:bookmarkEnd w:id="111"/>
      <w:bookmarkEnd w:id="112"/>
      <w:r w:rsidRPr="004C7962">
        <w:rPr>
          <w:rFonts w:ascii="Tahoma" w:hAnsi="Tahoma" w:cs="Tahoma"/>
          <w:color w:val="0098BA"/>
          <w:sz w:val="22"/>
          <w:szCs w:val="22"/>
        </w:rPr>
        <w:t>Aquisição de Instrumentos Conversíveis em Participação no Capital Social</w:t>
      </w:r>
      <w:bookmarkEnd w:id="114"/>
      <w:bookmarkEnd w:id="115"/>
      <w:bookmarkEnd w:id="116"/>
    </w:p>
    <w:p w14:paraId="18EE6F7A" w14:textId="77777777" w:rsidR="004C7962" w:rsidRPr="004C7962" w:rsidRDefault="004C7962" w:rsidP="004C7962">
      <w:pPr>
        <w:spacing w:before="120" w:after="120" w:line="360" w:lineRule="auto"/>
        <w:rPr>
          <w:rFonts w:ascii="Tahoma" w:hAnsi="Tahoma" w:cs="Tahoma"/>
          <w:sz w:val="19"/>
          <w:szCs w:val="19"/>
        </w:rPr>
      </w:pPr>
      <w:r w:rsidRPr="004C7962">
        <w:rPr>
          <w:rFonts w:ascii="Tahoma" w:hAnsi="Tahoma" w:cs="Tahoma"/>
          <w:sz w:val="19"/>
          <w:szCs w:val="19"/>
        </w:rPr>
        <w:t>Neste instrumento, o apoio financeiro oferecido é realizado por meio da celebração de um Contrato Particular de Outorga de Opção de Subscrição de Participação Social.</w:t>
      </w:r>
    </w:p>
    <w:p w14:paraId="0E37595D" w14:textId="77777777" w:rsidR="004C7962" w:rsidRPr="004C7962" w:rsidRDefault="004C7962" w:rsidP="004C7962">
      <w:pPr>
        <w:spacing w:before="120" w:after="120" w:line="360" w:lineRule="auto"/>
        <w:rPr>
          <w:rFonts w:ascii="Tahoma" w:hAnsi="Tahoma" w:cs="Tahoma"/>
          <w:sz w:val="19"/>
          <w:szCs w:val="19"/>
        </w:rPr>
      </w:pPr>
    </w:p>
    <w:p w14:paraId="7C6C078B" w14:textId="77777777" w:rsidR="004C7962" w:rsidRPr="004C7962" w:rsidRDefault="004C7962" w:rsidP="004C7962">
      <w:pPr>
        <w:spacing w:before="120" w:after="120" w:line="360" w:lineRule="auto"/>
        <w:rPr>
          <w:rFonts w:ascii="Tahoma" w:hAnsi="Tahoma" w:cs="Tahoma"/>
          <w:color w:val="0098BA"/>
          <w:sz w:val="19"/>
          <w:szCs w:val="19"/>
        </w:rPr>
      </w:pPr>
      <w:r w:rsidRPr="004C7962">
        <w:rPr>
          <w:rFonts w:ascii="Tahoma" w:hAnsi="Tahoma" w:cs="Tahoma"/>
          <w:color w:val="0098BA"/>
          <w:sz w:val="19"/>
          <w:szCs w:val="19"/>
        </w:rPr>
        <w:t xml:space="preserve">Finep </w:t>
      </w:r>
      <w:r w:rsidRPr="00254F4A">
        <w:rPr>
          <w:rFonts w:ascii="Tahoma" w:hAnsi="Tahoma"/>
          <w:i/>
          <w:color w:val="0098BA"/>
          <w:sz w:val="19"/>
        </w:rPr>
        <w:t>Startup</w:t>
      </w:r>
    </w:p>
    <w:p w14:paraId="25FD5254" w14:textId="44838CF2" w:rsidR="004C7962" w:rsidRPr="004C7962" w:rsidRDefault="004C7962" w:rsidP="004C7962">
      <w:pPr>
        <w:spacing w:before="120" w:after="120" w:line="360" w:lineRule="auto"/>
        <w:rPr>
          <w:rFonts w:ascii="Tahoma" w:hAnsi="Tahoma" w:cs="Tahoma"/>
          <w:sz w:val="19"/>
          <w:szCs w:val="19"/>
        </w:rPr>
      </w:pPr>
      <w:r w:rsidRPr="004C7962">
        <w:rPr>
          <w:rFonts w:ascii="Tahoma" w:hAnsi="Tahoma" w:cs="Tahoma"/>
          <w:sz w:val="19"/>
          <w:szCs w:val="19"/>
        </w:rPr>
        <w:t xml:space="preserve">Por meio do </w:t>
      </w:r>
      <w:hyperlink r:id="rId172" w:history="1">
        <w:r w:rsidRPr="00003484">
          <w:rPr>
            <w:rStyle w:val="Hyperlink"/>
            <w:rFonts w:ascii="Tahoma" w:hAnsi="Tahoma" w:cs="Tahoma"/>
            <w:sz w:val="19"/>
            <w:szCs w:val="19"/>
          </w:rPr>
          <w:t xml:space="preserve">Finep </w:t>
        </w:r>
        <w:r w:rsidRPr="00254F4A">
          <w:rPr>
            <w:rStyle w:val="Hyperlink"/>
            <w:rFonts w:ascii="Tahoma" w:hAnsi="Tahoma"/>
            <w:i/>
            <w:sz w:val="19"/>
          </w:rPr>
          <w:t>Startup</w:t>
        </w:r>
      </w:hyperlink>
      <w:r w:rsidRPr="004C7962">
        <w:rPr>
          <w:rFonts w:ascii="Tahoma" w:hAnsi="Tahoma" w:cs="Tahoma"/>
          <w:sz w:val="19"/>
          <w:szCs w:val="19"/>
        </w:rPr>
        <w:t xml:space="preserve"> são disponibilizados recursos financeiros para que </w:t>
      </w:r>
      <w:r w:rsidRPr="00254F4A">
        <w:rPr>
          <w:rFonts w:ascii="Tahoma" w:hAnsi="Tahoma"/>
          <w:i/>
          <w:sz w:val="19"/>
        </w:rPr>
        <w:t>startups</w:t>
      </w:r>
      <w:r w:rsidRPr="004C7962">
        <w:rPr>
          <w:rFonts w:ascii="Tahoma" w:hAnsi="Tahoma" w:cs="Tahoma"/>
          <w:sz w:val="19"/>
          <w:szCs w:val="19"/>
        </w:rPr>
        <w:t xml:space="preserve"> possam enfrentar com sucesso os principais desafios de seus estágios iniciais de desenvolvimento. Ao superar esse período crítico, as </w:t>
      </w:r>
      <w:r w:rsidRPr="00254F4A">
        <w:rPr>
          <w:rFonts w:ascii="Tahoma" w:hAnsi="Tahoma"/>
          <w:i/>
          <w:sz w:val="19"/>
        </w:rPr>
        <w:t>startups</w:t>
      </w:r>
      <w:r w:rsidRPr="004C7962">
        <w:rPr>
          <w:rFonts w:ascii="Tahoma" w:hAnsi="Tahoma" w:cs="Tahoma"/>
          <w:sz w:val="19"/>
          <w:szCs w:val="19"/>
        </w:rPr>
        <w:t xml:space="preserve"> têm a chance de ampliar a oferta de empregos qualificados e de desenvolver produtos e serviços inovadores voltados à realidade brasileira.</w:t>
      </w:r>
    </w:p>
    <w:p w14:paraId="3BF56574" w14:textId="5052DF44" w:rsidR="004C7962" w:rsidRPr="004C7962" w:rsidRDefault="004C7962" w:rsidP="004C7962">
      <w:pPr>
        <w:spacing w:before="120" w:after="120" w:line="360" w:lineRule="auto"/>
        <w:rPr>
          <w:rFonts w:ascii="Tahoma" w:hAnsi="Tahoma" w:cs="Tahoma"/>
          <w:sz w:val="19"/>
          <w:szCs w:val="19"/>
        </w:rPr>
      </w:pPr>
      <w:r>
        <w:rPr>
          <w:rFonts w:ascii="Tahoma" w:hAnsi="Tahoma" w:cs="Tahoma"/>
          <w:sz w:val="19"/>
          <w:szCs w:val="19"/>
        </w:rPr>
        <w:t>A</w:t>
      </w:r>
      <w:r w:rsidRPr="004C7962">
        <w:rPr>
          <w:rFonts w:ascii="Tahoma" w:hAnsi="Tahoma" w:cs="Tahoma"/>
          <w:sz w:val="19"/>
          <w:szCs w:val="19"/>
        </w:rPr>
        <w:t>té o primeiro semestre de 2022</w:t>
      </w:r>
      <w:r>
        <w:rPr>
          <w:rFonts w:ascii="Tahoma" w:hAnsi="Tahoma" w:cs="Tahoma"/>
          <w:sz w:val="19"/>
          <w:szCs w:val="19"/>
        </w:rPr>
        <w:t>, a</w:t>
      </w:r>
      <w:r w:rsidRPr="004C7962">
        <w:rPr>
          <w:rFonts w:ascii="Tahoma" w:hAnsi="Tahoma" w:cs="Tahoma"/>
          <w:sz w:val="19"/>
          <w:szCs w:val="19"/>
        </w:rPr>
        <w:t xml:space="preserve">s </w:t>
      </w:r>
      <w:r w:rsidRPr="00254F4A">
        <w:rPr>
          <w:rFonts w:ascii="Tahoma" w:hAnsi="Tahoma"/>
          <w:i/>
          <w:sz w:val="19"/>
        </w:rPr>
        <w:t>startups</w:t>
      </w:r>
      <w:r w:rsidRPr="004C7962">
        <w:rPr>
          <w:rFonts w:ascii="Tahoma" w:hAnsi="Tahoma" w:cs="Tahoma"/>
          <w:sz w:val="19"/>
          <w:szCs w:val="19"/>
        </w:rPr>
        <w:t xml:space="preserve"> eram selecionadas por meio de chamadas públicas. Quando aprovadas, conta</w:t>
      </w:r>
      <w:r>
        <w:rPr>
          <w:rFonts w:ascii="Tahoma" w:hAnsi="Tahoma" w:cs="Tahoma"/>
          <w:sz w:val="19"/>
          <w:szCs w:val="19"/>
        </w:rPr>
        <w:t>va</w:t>
      </w:r>
      <w:r w:rsidRPr="004C7962">
        <w:rPr>
          <w:rFonts w:ascii="Tahoma" w:hAnsi="Tahoma" w:cs="Tahoma"/>
          <w:sz w:val="19"/>
          <w:szCs w:val="19"/>
        </w:rPr>
        <w:t xml:space="preserve">m com recursos próprios da Finep e recursos de investidores-anjo. </w:t>
      </w:r>
    </w:p>
    <w:p w14:paraId="0CAE9C0B" w14:textId="7E519474" w:rsidR="004C7962" w:rsidRPr="004C7962" w:rsidRDefault="004C7962" w:rsidP="004C7962">
      <w:pPr>
        <w:spacing w:before="120" w:after="120" w:line="360" w:lineRule="auto"/>
        <w:rPr>
          <w:rFonts w:ascii="Tahoma" w:hAnsi="Tahoma" w:cs="Tahoma"/>
          <w:sz w:val="19"/>
          <w:szCs w:val="19"/>
        </w:rPr>
      </w:pPr>
      <w:r w:rsidRPr="004C7962">
        <w:rPr>
          <w:rFonts w:ascii="Tahoma" w:hAnsi="Tahoma" w:cs="Tahoma"/>
          <w:sz w:val="19"/>
          <w:szCs w:val="19"/>
        </w:rPr>
        <w:t xml:space="preserve">A partir de junho de 2022, a seleção de </w:t>
      </w:r>
      <w:r w:rsidRPr="00254F4A">
        <w:rPr>
          <w:rFonts w:ascii="Tahoma" w:hAnsi="Tahoma"/>
          <w:i/>
          <w:sz w:val="19"/>
        </w:rPr>
        <w:t>startups</w:t>
      </w:r>
      <w:r w:rsidRPr="004C7962">
        <w:rPr>
          <w:rFonts w:ascii="Tahoma" w:hAnsi="Tahoma" w:cs="Tahoma"/>
          <w:sz w:val="19"/>
          <w:szCs w:val="19"/>
        </w:rPr>
        <w:t xml:space="preserve"> </w:t>
      </w:r>
      <w:r w:rsidR="00351871">
        <w:rPr>
          <w:rFonts w:ascii="Tahoma" w:hAnsi="Tahoma" w:cs="Tahoma"/>
          <w:sz w:val="19"/>
          <w:szCs w:val="19"/>
        </w:rPr>
        <w:t xml:space="preserve">configurou-se como </w:t>
      </w:r>
      <w:r w:rsidRPr="004C7962">
        <w:rPr>
          <w:rFonts w:ascii="Tahoma" w:hAnsi="Tahoma" w:cs="Tahoma"/>
          <w:sz w:val="19"/>
          <w:szCs w:val="19"/>
        </w:rPr>
        <w:t>um processo de fluxo contínuo, ou seja, propostas podem ser recebidas pela Finep a qualquer momento do ano e, caso selecionadas, recebem o investimento conforme disponibilidade orçamentária. Com esse novo processo de operação em fluxo contínuo, verificamos o aumento do número de propostas enviadas para análise de elegibilidade e mérito.</w:t>
      </w:r>
    </w:p>
    <w:p w14:paraId="52570A0F" w14:textId="26109D7F" w:rsidR="004C7962" w:rsidRDefault="004C7962" w:rsidP="004C7962">
      <w:pPr>
        <w:spacing w:before="120" w:after="120" w:line="360" w:lineRule="auto"/>
        <w:rPr>
          <w:rFonts w:ascii="Tahoma" w:hAnsi="Tahoma" w:cs="Tahoma"/>
          <w:sz w:val="19"/>
          <w:szCs w:val="19"/>
        </w:rPr>
      </w:pPr>
      <w:r w:rsidRPr="004C7962">
        <w:rPr>
          <w:rFonts w:ascii="Tahoma" w:hAnsi="Tahoma" w:cs="Tahoma"/>
          <w:sz w:val="19"/>
          <w:szCs w:val="19"/>
        </w:rPr>
        <w:t xml:space="preserve">O Programa Finep </w:t>
      </w:r>
      <w:r w:rsidRPr="00254F4A">
        <w:rPr>
          <w:rFonts w:ascii="Tahoma" w:hAnsi="Tahoma"/>
          <w:i/>
          <w:sz w:val="19"/>
        </w:rPr>
        <w:t>Startup</w:t>
      </w:r>
      <w:r w:rsidRPr="004C7962">
        <w:rPr>
          <w:rFonts w:ascii="Tahoma" w:hAnsi="Tahoma" w:cs="Tahoma"/>
          <w:sz w:val="19"/>
          <w:szCs w:val="19"/>
        </w:rPr>
        <w:t xml:space="preserve"> conta com um amplo conjunto de temas e tecnologias, que inclu</w:t>
      </w:r>
      <w:r>
        <w:rPr>
          <w:rFonts w:ascii="Tahoma" w:hAnsi="Tahoma" w:cs="Tahoma"/>
          <w:sz w:val="19"/>
          <w:szCs w:val="19"/>
        </w:rPr>
        <w:t>i</w:t>
      </w:r>
      <w:r w:rsidRPr="004C7962">
        <w:rPr>
          <w:rFonts w:ascii="Tahoma" w:hAnsi="Tahoma" w:cs="Tahoma"/>
          <w:sz w:val="19"/>
          <w:szCs w:val="19"/>
        </w:rPr>
        <w:t xml:space="preserve"> desde </w:t>
      </w:r>
      <w:r>
        <w:rPr>
          <w:rFonts w:ascii="Tahoma" w:hAnsi="Tahoma" w:cs="Tahoma"/>
          <w:sz w:val="19"/>
          <w:szCs w:val="19"/>
        </w:rPr>
        <w:t xml:space="preserve">o </w:t>
      </w:r>
      <w:r w:rsidRPr="004C7962">
        <w:rPr>
          <w:rFonts w:ascii="Tahoma" w:hAnsi="Tahoma" w:cs="Tahoma"/>
          <w:sz w:val="19"/>
          <w:szCs w:val="19"/>
        </w:rPr>
        <w:t>desenvolvimento sustentável e integrado da região Amazônica até Cidades Inteligentes e Sustentáveis e Nanotecnologia, passando por Inteligência Artificial</w:t>
      </w:r>
      <w:r>
        <w:rPr>
          <w:rFonts w:ascii="Tahoma" w:hAnsi="Tahoma" w:cs="Tahoma"/>
          <w:sz w:val="19"/>
          <w:szCs w:val="19"/>
        </w:rPr>
        <w:t>,</w:t>
      </w:r>
      <w:r w:rsidRPr="004C7962">
        <w:rPr>
          <w:rFonts w:ascii="Tahoma" w:hAnsi="Tahoma" w:cs="Tahoma"/>
          <w:sz w:val="19"/>
          <w:szCs w:val="19"/>
        </w:rPr>
        <w:t xml:space="preserve"> </w:t>
      </w:r>
      <w:r w:rsidRPr="00254F4A">
        <w:rPr>
          <w:rFonts w:ascii="Tahoma" w:hAnsi="Tahoma"/>
          <w:i/>
          <w:sz w:val="19"/>
        </w:rPr>
        <w:t xml:space="preserve">Agritechs </w:t>
      </w:r>
      <w:r w:rsidRPr="004C7962">
        <w:rPr>
          <w:rFonts w:ascii="Tahoma" w:hAnsi="Tahoma" w:cs="Tahoma"/>
          <w:sz w:val="19"/>
          <w:szCs w:val="19"/>
        </w:rPr>
        <w:t>e Segurança Alimentar.</w:t>
      </w:r>
    </w:p>
    <w:p w14:paraId="57321467" w14:textId="77777777" w:rsidR="00B839AF" w:rsidRDefault="00B839AF" w:rsidP="004C3C4B">
      <w:pPr>
        <w:spacing w:before="120" w:after="120" w:line="360" w:lineRule="auto"/>
        <w:rPr>
          <w:rFonts w:ascii="Tahoma" w:eastAsiaTheme="minorHAnsi" w:hAnsi="Tahoma" w:cs="Tahoma"/>
          <w:color w:val="0098BA"/>
          <w:sz w:val="19"/>
          <w:szCs w:val="19"/>
          <w:lang w:eastAsia="en-US"/>
        </w:rPr>
      </w:pPr>
    </w:p>
    <w:p w14:paraId="416F886A" w14:textId="2FE74AEC" w:rsidR="004C3C4B" w:rsidRDefault="004C3C4B" w:rsidP="004C3C4B">
      <w:pPr>
        <w:spacing w:before="120" w:after="120" w:line="360" w:lineRule="auto"/>
        <w:rPr>
          <w:rFonts w:ascii="Tahoma" w:eastAsiaTheme="minorHAnsi" w:hAnsi="Tahoma" w:cs="Tahoma"/>
          <w:color w:val="0098BA"/>
          <w:sz w:val="19"/>
          <w:szCs w:val="19"/>
          <w:lang w:eastAsia="en-US"/>
        </w:rPr>
      </w:pPr>
      <w:r>
        <w:rPr>
          <w:rFonts w:ascii="Tahoma" w:eastAsiaTheme="minorHAnsi" w:hAnsi="Tahoma" w:cs="Tahoma"/>
          <w:color w:val="0098BA"/>
          <w:sz w:val="19"/>
          <w:szCs w:val="19"/>
          <w:lang w:eastAsia="en-US"/>
        </w:rPr>
        <w:lastRenderedPageBreak/>
        <w:t>Ações em destaque</w:t>
      </w:r>
    </w:p>
    <w:p w14:paraId="0EE2B673" w14:textId="205B0520" w:rsidR="004C7962" w:rsidRPr="004C7962" w:rsidRDefault="004C7962" w:rsidP="004C7962">
      <w:pPr>
        <w:spacing w:before="120" w:after="120" w:line="360" w:lineRule="auto"/>
        <w:rPr>
          <w:rFonts w:ascii="Tahoma" w:hAnsi="Tahoma" w:cs="Tahoma"/>
          <w:sz w:val="19"/>
          <w:szCs w:val="19"/>
        </w:rPr>
      </w:pPr>
      <w:r w:rsidRPr="004C7962">
        <w:rPr>
          <w:rFonts w:ascii="Tahoma" w:hAnsi="Tahoma" w:cs="Tahoma"/>
          <w:sz w:val="19"/>
          <w:szCs w:val="19"/>
        </w:rPr>
        <w:t xml:space="preserve">Em dezembro de 2023 o Programa apresentou duas novidades, a estruturação do Fundo de Investimento em Participações Finep Startup 1 e </w:t>
      </w:r>
      <w:r>
        <w:rPr>
          <w:rFonts w:ascii="Tahoma" w:hAnsi="Tahoma" w:cs="Tahoma"/>
          <w:sz w:val="19"/>
          <w:szCs w:val="19"/>
        </w:rPr>
        <w:t xml:space="preserve">a </w:t>
      </w:r>
      <w:r w:rsidRPr="004C7962">
        <w:rPr>
          <w:rFonts w:ascii="Tahoma" w:hAnsi="Tahoma" w:cs="Tahoma"/>
          <w:sz w:val="19"/>
          <w:szCs w:val="19"/>
        </w:rPr>
        <w:t>atualização do regulamento do Programa.</w:t>
      </w:r>
    </w:p>
    <w:p w14:paraId="43A3A7B2" w14:textId="17B06952" w:rsidR="004C7962" w:rsidRPr="004C7962" w:rsidRDefault="004C7962" w:rsidP="004C7962">
      <w:pPr>
        <w:spacing w:before="120" w:after="120" w:line="360" w:lineRule="auto"/>
        <w:rPr>
          <w:rFonts w:ascii="Tahoma" w:hAnsi="Tahoma" w:cs="Tahoma"/>
          <w:sz w:val="19"/>
          <w:szCs w:val="19"/>
        </w:rPr>
      </w:pPr>
      <w:r w:rsidRPr="004C7962">
        <w:rPr>
          <w:rFonts w:ascii="Tahoma" w:hAnsi="Tahoma" w:cs="Tahoma"/>
          <w:sz w:val="19"/>
          <w:szCs w:val="19"/>
        </w:rPr>
        <w:t xml:space="preserve">O </w:t>
      </w:r>
      <w:r w:rsidRPr="004C3C4B">
        <w:rPr>
          <w:rFonts w:ascii="Tahoma" w:hAnsi="Tahoma" w:cs="Tahoma"/>
          <w:color w:val="0098BA"/>
          <w:sz w:val="19"/>
          <w:szCs w:val="19"/>
        </w:rPr>
        <w:t>FIP Finep Startup 1</w:t>
      </w:r>
      <w:r w:rsidRPr="004C7962">
        <w:rPr>
          <w:rFonts w:ascii="Tahoma" w:hAnsi="Tahoma" w:cs="Tahoma"/>
          <w:sz w:val="19"/>
          <w:szCs w:val="19"/>
        </w:rPr>
        <w:t xml:space="preserve"> foi estruturado para receber a integralização dos ativos já investidos pela Finep, tendo recebido inicialmente a integralização de </w:t>
      </w:r>
      <w:r>
        <w:rPr>
          <w:rFonts w:ascii="Tahoma" w:hAnsi="Tahoma" w:cs="Tahoma"/>
          <w:sz w:val="19"/>
          <w:szCs w:val="19"/>
        </w:rPr>
        <w:t>quatro</w:t>
      </w:r>
      <w:r w:rsidRPr="004C7962">
        <w:rPr>
          <w:rFonts w:ascii="Tahoma" w:hAnsi="Tahoma" w:cs="Tahoma"/>
          <w:sz w:val="19"/>
          <w:szCs w:val="19"/>
        </w:rPr>
        <w:t xml:space="preserve"> startups. Com essa integralização</w:t>
      </w:r>
      <w:r>
        <w:rPr>
          <w:rFonts w:ascii="Tahoma" w:hAnsi="Tahoma" w:cs="Tahoma"/>
          <w:sz w:val="19"/>
          <w:szCs w:val="19"/>
        </w:rPr>
        <w:t>,</w:t>
      </w:r>
      <w:r w:rsidRPr="004C7962">
        <w:rPr>
          <w:rFonts w:ascii="Tahoma" w:hAnsi="Tahoma" w:cs="Tahoma"/>
          <w:sz w:val="19"/>
          <w:szCs w:val="19"/>
        </w:rPr>
        <w:t xml:space="preserve"> o acompanhamento das </w:t>
      </w:r>
      <w:r w:rsidRPr="00254F4A">
        <w:rPr>
          <w:rFonts w:ascii="Tahoma" w:hAnsi="Tahoma"/>
          <w:i/>
          <w:sz w:val="19"/>
        </w:rPr>
        <w:t>startups</w:t>
      </w:r>
      <w:r w:rsidRPr="004C7962">
        <w:rPr>
          <w:rFonts w:ascii="Tahoma" w:hAnsi="Tahoma" w:cs="Tahoma"/>
          <w:sz w:val="19"/>
          <w:szCs w:val="19"/>
        </w:rPr>
        <w:t xml:space="preserve"> ficará a cargo da gestora do fundo e com os ativos alocados no FIP.</w:t>
      </w:r>
    </w:p>
    <w:p w14:paraId="5CB038F7" w14:textId="1AB91244" w:rsidR="004C7962" w:rsidRDefault="004C7962" w:rsidP="004C7962">
      <w:pPr>
        <w:spacing w:before="120" w:after="120" w:line="360" w:lineRule="auto"/>
        <w:rPr>
          <w:rFonts w:ascii="Tahoma" w:hAnsi="Tahoma" w:cs="Tahoma"/>
          <w:sz w:val="19"/>
          <w:szCs w:val="19"/>
        </w:rPr>
      </w:pPr>
      <w:r w:rsidRPr="004C7962">
        <w:rPr>
          <w:rFonts w:ascii="Tahoma" w:hAnsi="Tahoma" w:cs="Tahoma"/>
          <w:sz w:val="19"/>
          <w:szCs w:val="19"/>
        </w:rPr>
        <w:t xml:space="preserve">Já a aprovação da </w:t>
      </w:r>
      <w:hyperlink r:id="rId173" w:history="1">
        <w:r w:rsidRPr="00F04B42">
          <w:rPr>
            <w:rStyle w:val="Hyperlink"/>
            <w:rFonts w:ascii="Tahoma" w:hAnsi="Tahoma" w:cs="Tahoma"/>
            <w:sz w:val="19"/>
            <w:szCs w:val="19"/>
          </w:rPr>
          <w:t>atualização do regulamento</w:t>
        </w:r>
      </w:hyperlink>
      <w:r w:rsidRPr="004C3C4B">
        <w:rPr>
          <w:rFonts w:ascii="Tahoma" w:hAnsi="Tahoma" w:cs="Tahoma"/>
          <w:color w:val="0098BA"/>
          <w:sz w:val="19"/>
          <w:szCs w:val="19"/>
        </w:rPr>
        <w:t xml:space="preserve"> </w:t>
      </w:r>
      <w:r w:rsidRPr="00254F4A">
        <w:rPr>
          <w:rFonts w:ascii="Tahoma" w:hAnsi="Tahoma"/>
          <w:sz w:val="19"/>
        </w:rPr>
        <w:t xml:space="preserve">do programa </w:t>
      </w:r>
      <w:r w:rsidRPr="004C7962">
        <w:rPr>
          <w:rFonts w:ascii="Tahoma" w:hAnsi="Tahoma" w:cs="Tahoma"/>
          <w:sz w:val="19"/>
          <w:szCs w:val="19"/>
        </w:rPr>
        <w:t>no final de 2023 permitiu alterações de pontos importantes, como a redução do faturamento mínimo</w:t>
      </w:r>
      <w:r>
        <w:rPr>
          <w:rFonts w:ascii="Tahoma" w:hAnsi="Tahoma" w:cs="Tahoma"/>
          <w:sz w:val="19"/>
          <w:szCs w:val="19"/>
        </w:rPr>
        <w:t xml:space="preserve"> obrigatório</w:t>
      </w:r>
      <w:r w:rsidRPr="004C7962">
        <w:rPr>
          <w:rFonts w:ascii="Tahoma" w:hAnsi="Tahoma" w:cs="Tahoma"/>
          <w:sz w:val="19"/>
          <w:szCs w:val="19"/>
        </w:rPr>
        <w:t xml:space="preserve">, o aumento do valor máximo de aporte, das condições para a conversão e o do prazo de vencimento da opção. Esses ajustes tiveram </w:t>
      </w:r>
      <w:r>
        <w:rPr>
          <w:rFonts w:ascii="Tahoma" w:hAnsi="Tahoma" w:cs="Tahoma"/>
          <w:sz w:val="19"/>
          <w:szCs w:val="19"/>
        </w:rPr>
        <w:t>como</w:t>
      </w:r>
      <w:r w:rsidRPr="004C7962">
        <w:rPr>
          <w:rFonts w:ascii="Tahoma" w:hAnsi="Tahoma" w:cs="Tahoma"/>
          <w:sz w:val="19"/>
          <w:szCs w:val="19"/>
        </w:rPr>
        <w:t xml:space="preserve"> objetivo dinamizar a ação de fomento, aplicando os aprendizados adquiridos na execução do programa.</w:t>
      </w:r>
    </w:p>
    <w:p w14:paraId="570DF701" w14:textId="77777777" w:rsidR="00003484" w:rsidRPr="004C7962" w:rsidRDefault="00003484" w:rsidP="004C7962">
      <w:pPr>
        <w:spacing w:before="120" w:after="120" w:line="360" w:lineRule="auto"/>
        <w:rPr>
          <w:rFonts w:ascii="Tahoma" w:hAnsi="Tahoma" w:cs="Tahoma"/>
          <w:sz w:val="19"/>
          <w:szCs w:val="19"/>
        </w:rPr>
      </w:pPr>
    </w:p>
    <w:p w14:paraId="68C837DD" w14:textId="22C9C4E0" w:rsidR="004C3C4B" w:rsidRPr="004C3C4B" w:rsidRDefault="004C3C4B" w:rsidP="004C7962">
      <w:pPr>
        <w:spacing w:before="120" w:after="120" w:line="360" w:lineRule="auto"/>
        <w:rPr>
          <w:rFonts w:ascii="Tahoma" w:hAnsi="Tahoma" w:cs="Tahoma"/>
          <w:color w:val="0098BA"/>
          <w:sz w:val="19"/>
          <w:szCs w:val="19"/>
        </w:rPr>
      </w:pPr>
      <w:r w:rsidRPr="004C3C4B">
        <w:rPr>
          <w:rFonts w:ascii="Tahoma" w:hAnsi="Tahoma" w:cs="Tahoma"/>
          <w:color w:val="0098BA"/>
          <w:sz w:val="19"/>
          <w:szCs w:val="19"/>
        </w:rPr>
        <w:t>Resultados quantitativos</w:t>
      </w:r>
    </w:p>
    <w:p w14:paraId="0DA1D29B" w14:textId="6ED126BE" w:rsidR="004C7962" w:rsidRPr="004C7962" w:rsidRDefault="004C7962" w:rsidP="004C7962">
      <w:pPr>
        <w:spacing w:before="120" w:after="120" w:line="360" w:lineRule="auto"/>
        <w:rPr>
          <w:rFonts w:ascii="Tahoma" w:hAnsi="Tahoma" w:cs="Tahoma"/>
          <w:sz w:val="19"/>
          <w:szCs w:val="19"/>
        </w:rPr>
      </w:pPr>
      <w:r w:rsidRPr="004C7962">
        <w:rPr>
          <w:rFonts w:ascii="Tahoma" w:hAnsi="Tahoma" w:cs="Tahoma"/>
          <w:sz w:val="19"/>
          <w:szCs w:val="19"/>
        </w:rPr>
        <w:t>Em 31 de dezembro de 2023, a carteira ativa do Programa Finep S</w:t>
      </w:r>
      <w:r w:rsidRPr="00254F4A">
        <w:rPr>
          <w:rFonts w:ascii="Tahoma" w:hAnsi="Tahoma"/>
          <w:i/>
          <w:sz w:val="19"/>
        </w:rPr>
        <w:t>tartup</w:t>
      </w:r>
      <w:r w:rsidR="0073787A">
        <w:rPr>
          <w:rFonts w:ascii="Tahoma" w:hAnsi="Tahoma" w:cs="Tahoma"/>
          <w:sz w:val="19"/>
          <w:szCs w:val="19"/>
        </w:rPr>
        <w:t xml:space="preserve"> </w:t>
      </w:r>
      <w:r w:rsidRPr="004C7962">
        <w:rPr>
          <w:rFonts w:ascii="Tahoma" w:hAnsi="Tahoma" w:cs="Tahoma"/>
          <w:sz w:val="19"/>
          <w:szCs w:val="19"/>
        </w:rPr>
        <w:t>era composta por 23 s</w:t>
      </w:r>
      <w:r w:rsidRPr="00254F4A">
        <w:rPr>
          <w:rFonts w:ascii="Tahoma" w:hAnsi="Tahoma"/>
          <w:i/>
          <w:sz w:val="19"/>
        </w:rPr>
        <w:t>tartups</w:t>
      </w:r>
      <w:r w:rsidRPr="004C7962">
        <w:rPr>
          <w:rFonts w:ascii="Tahoma" w:hAnsi="Tahoma" w:cs="Tahoma"/>
          <w:sz w:val="19"/>
          <w:szCs w:val="19"/>
        </w:rPr>
        <w:t xml:space="preserve">, somando um valor de R$ 18.246.077,00 em investimentos realizados. Adicionalmente, outros </w:t>
      </w:r>
      <w:r w:rsidR="0073787A">
        <w:rPr>
          <w:rFonts w:ascii="Tahoma" w:hAnsi="Tahoma" w:cs="Tahoma"/>
          <w:sz w:val="19"/>
          <w:szCs w:val="19"/>
        </w:rPr>
        <w:t xml:space="preserve">quatro </w:t>
      </w:r>
      <w:r w:rsidRPr="004C7962">
        <w:rPr>
          <w:rFonts w:ascii="Tahoma" w:hAnsi="Tahoma" w:cs="Tahoma"/>
          <w:sz w:val="19"/>
          <w:szCs w:val="19"/>
        </w:rPr>
        <w:t xml:space="preserve">ativos, referentes a um investimento pela Finep de R$ 4.000.000,00, foram integralizados no FIP Finep Startup 1. Outras </w:t>
      </w:r>
      <w:r w:rsidR="004C3C4B">
        <w:rPr>
          <w:rFonts w:ascii="Tahoma" w:hAnsi="Tahoma" w:cs="Tahoma"/>
          <w:sz w:val="19"/>
          <w:szCs w:val="19"/>
        </w:rPr>
        <w:t xml:space="preserve">seis </w:t>
      </w:r>
      <w:r w:rsidRPr="00254F4A">
        <w:rPr>
          <w:rFonts w:ascii="Tahoma" w:hAnsi="Tahoma"/>
          <w:i/>
          <w:sz w:val="19"/>
        </w:rPr>
        <w:t xml:space="preserve">startups </w:t>
      </w:r>
      <w:r w:rsidRPr="004C7962">
        <w:rPr>
          <w:rFonts w:ascii="Tahoma" w:hAnsi="Tahoma" w:cs="Tahoma"/>
          <w:sz w:val="19"/>
          <w:szCs w:val="19"/>
        </w:rPr>
        <w:t xml:space="preserve">foram desinvestidas, dando baixa no valor de R$ 4.465.000,00. Portanto, o valor total investido pelo Programa Finep </w:t>
      </w:r>
      <w:r w:rsidRPr="00254F4A">
        <w:rPr>
          <w:rFonts w:ascii="Tahoma" w:hAnsi="Tahoma"/>
          <w:i/>
          <w:sz w:val="19"/>
        </w:rPr>
        <w:t>Startup</w:t>
      </w:r>
      <w:r w:rsidRPr="004C7962">
        <w:rPr>
          <w:rFonts w:ascii="Tahoma" w:hAnsi="Tahoma" w:cs="Tahoma"/>
          <w:sz w:val="19"/>
          <w:szCs w:val="19"/>
        </w:rPr>
        <w:t>, livre de desinvestimentos e integralizações do FIP, acumulado até 31 de dezembro de 2023 foi de R$ 18.246.077,00 (R$ 23.050.000,00 em 31 de dezembro de 2022).</w:t>
      </w:r>
    </w:p>
    <w:p w14:paraId="29524B1A" w14:textId="2E7474F5" w:rsidR="004C7962" w:rsidRPr="004C7962" w:rsidRDefault="004C7962" w:rsidP="004C7962">
      <w:pPr>
        <w:spacing w:before="120" w:after="120" w:line="360" w:lineRule="auto"/>
        <w:rPr>
          <w:rFonts w:ascii="Tahoma" w:hAnsi="Tahoma" w:cs="Tahoma"/>
          <w:sz w:val="19"/>
          <w:szCs w:val="19"/>
        </w:rPr>
      </w:pPr>
      <w:r w:rsidRPr="004C7962">
        <w:rPr>
          <w:rFonts w:ascii="Tahoma" w:hAnsi="Tahoma" w:cs="Tahoma"/>
          <w:sz w:val="19"/>
          <w:szCs w:val="19"/>
        </w:rPr>
        <w:t xml:space="preserve">Ao longo do ano, foram recebidas 74 propostas e 1 foi contratada. Desta forma, em 2023, iniciamos o apoio a mais uma </w:t>
      </w:r>
      <w:r w:rsidRPr="00254F4A">
        <w:rPr>
          <w:rFonts w:ascii="Tahoma" w:hAnsi="Tahoma"/>
          <w:i/>
          <w:sz w:val="19"/>
        </w:rPr>
        <w:t>startup</w:t>
      </w:r>
      <w:r w:rsidRPr="004C7962">
        <w:rPr>
          <w:rFonts w:ascii="Tahoma" w:hAnsi="Tahoma" w:cs="Tahoma"/>
          <w:sz w:val="19"/>
          <w:szCs w:val="19"/>
        </w:rPr>
        <w:t xml:space="preserve">, que recebeu seu primeiro aporte no valor de R$ 750 mil. Ainda em 2023, outras </w:t>
      </w:r>
      <w:r w:rsidR="004D20DD">
        <w:rPr>
          <w:rFonts w:ascii="Tahoma" w:hAnsi="Tahoma" w:cs="Tahoma"/>
          <w:sz w:val="19"/>
          <w:szCs w:val="19"/>
        </w:rPr>
        <w:t>três</w:t>
      </w:r>
      <w:r w:rsidRPr="004C7962">
        <w:rPr>
          <w:rFonts w:ascii="Tahoma" w:hAnsi="Tahoma" w:cs="Tahoma"/>
          <w:sz w:val="19"/>
          <w:szCs w:val="19"/>
        </w:rPr>
        <w:t xml:space="preserve"> </w:t>
      </w:r>
      <w:r w:rsidRPr="00254F4A">
        <w:rPr>
          <w:rFonts w:ascii="Tahoma" w:hAnsi="Tahoma"/>
          <w:i/>
          <w:sz w:val="19"/>
        </w:rPr>
        <w:t>startups</w:t>
      </w:r>
      <w:r w:rsidRPr="004C7962">
        <w:rPr>
          <w:rFonts w:ascii="Tahoma" w:hAnsi="Tahoma" w:cs="Tahoma"/>
          <w:sz w:val="19"/>
          <w:szCs w:val="19"/>
        </w:rPr>
        <w:t xml:space="preserve"> da carteira da Finep receberam recursos no valor total de R$ 910.577,00.</w:t>
      </w:r>
    </w:p>
    <w:p w14:paraId="1CAAB552" w14:textId="508BDAF0" w:rsidR="000D6D0A" w:rsidRDefault="004C7962" w:rsidP="004C7962">
      <w:pPr>
        <w:spacing w:before="120" w:after="120" w:line="360" w:lineRule="auto"/>
        <w:rPr>
          <w:rFonts w:ascii="Tahoma" w:hAnsi="Tahoma" w:cs="Tahoma"/>
          <w:sz w:val="19"/>
          <w:szCs w:val="19"/>
        </w:rPr>
      </w:pPr>
      <w:r w:rsidRPr="004C7962">
        <w:rPr>
          <w:rFonts w:ascii="Tahoma" w:hAnsi="Tahoma" w:cs="Tahoma"/>
          <w:sz w:val="19"/>
          <w:szCs w:val="19"/>
        </w:rPr>
        <w:t>As alterações aprovadas no regulamento do Finep S</w:t>
      </w:r>
      <w:r w:rsidRPr="00254F4A">
        <w:rPr>
          <w:rFonts w:ascii="Tahoma" w:hAnsi="Tahoma"/>
          <w:i/>
          <w:sz w:val="19"/>
        </w:rPr>
        <w:t>tartup</w:t>
      </w:r>
      <w:r w:rsidRPr="004C7962">
        <w:rPr>
          <w:rFonts w:ascii="Tahoma" w:hAnsi="Tahoma" w:cs="Tahoma"/>
          <w:sz w:val="19"/>
          <w:szCs w:val="19"/>
        </w:rPr>
        <w:t xml:space="preserve"> marcam uma nova etapa do processo de prospecção, tendo em vista a flexibilização de seus critérios e o aumento de sua atratividade. Já foram identificadas, por exemplo, dentro da maior plataforma de inovação aberta da América Latina, 125 empresas interessadas pelo Programa, que serão prospectadas nos próximos meses. Além disso, foram iniciadas – apenas em 2023</w:t>
      </w:r>
      <w:r w:rsidR="004C3C4B">
        <w:rPr>
          <w:rFonts w:ascii="Tahoma" w:hAnsi="Tahoma" w:cs="Tahoma"/>
          <w:sz w:val="19"/>
          <w:szCs w:val="19"/>
        </w:rPr>
        <w:t>,</w:t>
      </w:r>
      <w:r w:rsidRPr="004C7962">
        <w:rPr>
          <w:rFonts w:ascii="Tahoma" w:hAnsi="Tahoma" w:cs="Tahoma"/>
          <w:sz w:val="19"/>
          <w:szCs w:val="19"/>
        </w:rPr>
        <w:t xml:space="preserve"> 358 propostas nos sistemas da Finep, que ainda estão sendo elaboradas pelas </w:t>
      </w:r>
      <w:r w:rsidRPr="00254F4A">
        <w:rPr>
          <w:rFonts w:ascii="Tahoma" w:hAnsi="Tahoma"/>
          <w:i/>
          <w:sz w:val="19"/>
        </w:rPr>
        <w:t>startups</w:t>
      </w:r>
      <w:r w:rsidRPr="004C7962">
        <w:rPr>
          <w:rFonts w:ascii="Tahoma" w:hAnsi="Tahoma" w:cs="Tahoma"/>
          <w:sz w:val="19"/>
          <w:szCs w:val="19"/>
        </w:rPr>
        <w:t xml:space="preserve">. Também está em desenvolvimento uma estratégia de divulgação desse novo regulamento, que passa pela visita às principais aceleradoras do país, assim como a participação em eventos </w:t>
      </w:r>
      <w:r w:rsidRPr="00254F4A">
        <w:rPr>
          <w:rFonts w:ascii="Tahoma" w:hAnsi="Tahoma"/>
          <w:i/>
          <w:sz w:val="19"/>
        </w:rPr>
        <w:t>online</w:t>
      </w:r>
      <w:r w:rsidRPr="004C7962">
        <w:rPr>
          <w:rFonts w:ascii="Tahoma" w:hAnsi="Tahoma" w:cs="Tahoma"/>
          <w:sz w:val="19"/>
          <w:szCs w:val="19"/>
        </w:rPr>
        <w:t xml:space="preserve"> e presenciais relacionados ao ecossistema de </w:t>
      </w:r>
      <w:r w:rsidRPr="00254F4A">
        <w:rPr>
          <w:rFonts w:ascii="Tahoma" w:hAnsi="Tahoma"/>
          <w:i/>
          <w:sz w:val="19"/>
        </w:rPr>
        <w:t>startups</w:t>
      </w:r>
      <w:r w:rsidRPr="004C7962">
        <w:rPr>
          <w:rFonts w:ascii="Tahoma" w:hAnsi="Tahoma" w:cs="Tahoma"/>
          <w:sz w:val="19"/>
          <w:szCs w:val="19"/>
        </w:rPr>
        <w:t>.</w:t>
      </w:r>
    </w:p>
    <w:p w14:paraId="5AA9CB03" w14:textId="326C6215" w:rsidR="00422401" w:rsidRDefault="00422401">
      <w:pPr>
        <w:autoSpaceDN w:val="0"/>
        <w:spacing w:after="160"/>
        <w:textAlignment w:val="baseline"/>
        <w:rPr>
          <w:rFonts w:ascii="Tahoma" w:hAnsi="Tahoma" w:cs="Tahoma"/>
          <w:sz w:val="19"/>
          <w:szCs w:val="19"/>
        </w:rPr>
      </w:pPr>
    </w:p>
    <w:p w14:paraId="77818C38" w14:textId="53FE1288" w:rsidR="000D6D0A" w:rsidRDefault="00BB0E07">
      <w:pPr>
        <w:ind w:right="1613"/>
        <w:jc w:val="right"/>
      </w:pPr>
      <w:r>
        <w:rPr>
          <w:rFonts w:ascii="Tahoma" w:hAnsi="Tahoma" w:cs="Tahoma"/>
          <w:bCs/>
          <w:color w:val="000000"/>
          <w:sz w:val="18"/>
          <w:szCs w:val="18"/>
        </w:rPr>
        <w:t>Posição em 31/12/202</w:t>
      </w:r>
      <w:r w:rsidR="004D20DD">
        <w:rPr>
          <w:rFonts w:ascii="Tahoma" w:hAnsi="Tahoma" w:cs="Tahoma"/>
          <w:bCs/>
          <w:color w:val="000000"/>
          <w:sz w:val="18"/>
          <w:szCs w:val="18"/>
        </w:rPr>
        <w:t>3</w:t>
      </w:r>
    </w:p>
    <w:tbl>
      <w:tblPr>
        <w:tblW w:w="7641" w:type="dxa"/>
        <w:tblCellMar>
          <w:left w:w="10" w:type="dxa"/>
          <w:right w:w="10" w:type="dxa"/>
        </w:tblCellMar>
        <w:tblLook w:val="04A0" w:firstRow="1" w:lastRow="0" w:firstColumn="1" w:lastColumn="0" w:noHBand="0" w:noVBand="1"/>
      </w:tblPr>
      <w:tblGrid>
        <w:gridCol w:w="2197"/>
        <w:gridCol w:w="1361"/>
        <w:gridCol w:w="1361"/>
        <w:gridCol w:w="1361"/>
        <w:gridCol w:w="1361"/>
      </w:tblGrid>
      <w:tr w:rsidR="004D20DD" w:rsidRPr="004D20DD" w14:paraId="0614B368" w14:textId="77777777" w:rsidTr="0044520F">
        <w:trPr>
          <w:trHeight w:val="315"/>
          <w:tblHeader/>
        </w:trPr>
        <w:tc>
          <w:tcPr>
            <w:tcW w:w="2197" w:type="dxa"/>
            <w:vMerge w:val="restart"/>
            <w:tcBorders>
              <w:top w:val="single" w:sz="8" w:space="0" w:color="BFBFBF"/>
              <w:left w:val="single" w:sz="8" w:space="0" w:color="BFBFBF"/>
              <w:bottom w:val="single" w:sz="8" w:space="0" w:color="BFBFBF"/>
              <w:right w:val="single" w:sz="8" w:space="0" w:color="BFBFBF"/>
            </w:tcBorders>
            <w:shd w:val="clear" w:color="auto" w:fill="0098BA"/>
            <w:tcMar>
              <w:top w:w="0" w:type="dxa"/>
              <w:left w:w="70" w:type="dxa"/>
              <w:bottom w:w="0" w:type="dxa"/>
              <w:right w:w="70" w:type="dxa"/>
            </w:tcMar>
            <w:vAlign w:val="center"/>
          </w:tcPr>
          <w:p w14:paraId="3FED426B" w14:textId="77777777" w:rsidR="000D6D0A" w:rsidRPr="004D20DD" w:rsidRDefault="00BB0E07">
            <w:pPr>
              <w:spacing w:before="85" w:after="85"/>
              <w:rPr>
                <w:rFonts w:ascii="Tahoma" w:hAnsi="Tahoma" w:cs="Tahoma"/>
                <w:color w:val="FFFFFF" w:themeColor="background1"/>
                <w:sz w:val="18"/>
                <w:szCs w:val="18"/>
              </w:rPr>
            </w:pPr>
            <w:r w:rsidRPr="004D20DD">
              <w:rPr>
                <w:rFonts w:ascii="Tahoma" w:hAnsi="Tahoma" w:cs="Tahoma"/>
                <w:color w:val="FFFFFF" w:themeColor="background1"/>
                <w:sz w:val="18"/>
                <w:szCs w:val="18"/>
              </w:rPr>
              <w:t>Finep Startup</w:t>
            </w:r>
          </w:p>
        </w:tc>
        <w:tc>
          <w:tcPr>
            <w:tcW w:w="2722" w:type="dxa"/>
            <w:gridSpan w:val="2"/>
            <w:tcBorders>
              <w:top w:val="single" w:sz="8" w:space="0" w:color="BFBFBF"/>
              <w:left w:val="single" w:sz="8" w:space="0" w:color="BFBFBF"/>
              <w:bottom w:val="single" w:sz="8" w:space="0" w:color="BFBFBF"/>
              <w:right w:val="single" w:sz="8" w:space="0" w:color="BFBFBF"/>
            </w:tcBorders>
            <w:shd w:val="clear" w:color="auto" w:fill="0098BA"/>
            <w:tcMar>
              <w:top w:w="0" w:type="dxa"/>
              <w:left w:w="70" w:type="dxa"/>
              <w:bottom w:w="0" w:type="dxa"/>
              <w:right w:w="70" w:type="dxa"/>
            </w:tcMar>
            <w:vAlign w:val="center"/>
          </w:tcPr>
          <w:p w14:paraId="0C19E94D" w14:textId="19B65E69" w:rsidR="000D6D0A" w:rsidRPr="004D20DD" w:rsidRDefault="00BB0E07">
            <w:pPr>
              <w:spacing w:before="85" w:after="85"/>
              <w:jc w:val="center"/>
              <w:rPr>
                <w:rFonts w:ascii="Tahoma" w:hAnsi="Tahoma" w:cs="Tahoma"/>
                <w:color w:val="FFFFFF" w:themeColor="background1"/>
                <w:sz w:val="18"/>
                <w:szCs w:val="18"/>
              </w:rPr>
            </w:pPr>
            <w:r w:rsidRPr="004D20DD">
              <w:rPr>
                <w:rFonts w:ascii="Tahoma" w:hAnsi="Tahoma" w:cs="Tahoma"/>
                <w:color w:val="FFFFFF" w:themeColor="background1"/>
                <w:sz w:val="18"/>
                <w:szCs w:val="18"/>
              </w:rPr>
              <w:t>202</w:t>
            </w:r>
            <w:r w:rsidR="004D20DD">
              <w:rPr>
                <w:rFonts w:ascii="Tahoma" w:hAnsi="Tahoma" w:cs="Tahoma"/>
                <w:color w:val="FFFFFF" w:themeColor="background1"/>
                <w:sz w:val="18"/>
                <w:szCs w:val="18"/>
              </w:rPr>
              <w:t>2</w:t>
            </w:r>
          </w:p>
        </w:tc>
        <w:tc>
          <w:tcPr>
            <w:tcW w:w="2722" w:type="dxa"/>
            <w:gridSpan w:val="2"/>
            <w:tcBorders>
              <w:top w:val="single" w:sz="8" w:space="0" w:color="BFBFBF"/>
              <w:left w:val="single" w:sz="8" w:space="0" w:color="BFBFBF"/>
              <w:bottom w:val="single" w:sz="8" w:space="0" w:color="BFBFBF"/>
              <w:right w:val="single" w:sz="8" w:space="0" w:color="BFBFBF"/>
            </w:tcBorders>
            <w:shd w:val="clear" w:color="auto" w:fill="0098BA"/>
            <w:tcMar>
              <w:top w:w="0" w:type="dxa"/>
              <w:left w:w="70" w:type="dxa"/>
              <w:bottom w:w="0" w:type="dxa"/>
              <w:right w:w="70" w:type="dxa"/>
            </w:tcMar>
            <w:vAlign w:val="center"/>
          </w:tcPr>
          <w:p w14:paraId="5917EE10" w14:textId="23F8B5E2" w:rsidR="000D6D0A" w:rsidRPr="004D20DD" w:rsidRDefault="00BB0E07">
            <w:pPr>
              <w:spacing w:before="85" w:after="85"/>
              <w:jc w:val="center"/>
              <w:rPr>
                <w:rFonts w:ascii="Tahoma" w:hAnsi="Tahoma" w:cs="Tahoma"/>
                <w:color w:val="FFFFFF" w:themeColor="background1"/>
                <w:sz w:val="18"/>
                <w:szCs w:val="18"/>
              </w:rPr>
            </w:pPr>
            <w:r w:rsidRPr="004D20DD">
              <w:rPr>
                <w:rFonts w:ascii="Tahoma" w:hAnsi="Tahoma" w:cs="Tahoma"/>
                <w:color w:val="FFFFFF" w:themeColor="background1"/>
                <w:sz w:val="18"/>
                <w:szCs w:val="18"/>
              </w:rPr>
              <w:t>202</w:t>
            </w:r>
            <w:r w:rsidR="004D20DD">
              <w:rPr>
                <w:rFonts w:ascii="Tahoma" w:hAnsi="Tahoma" w:cs="Tahoma"/>
                <w:color w:val="FFFFFF" w:themeColor="background1"/>
                <w:sz w:val="18"/>
                <w:szCs w:val="18"/>
              </w:rPr>
              <w:t>3</w:t>
            </w:r>
          </w:p>
        </w:tc>
      </w:tr>
      <w:tr w:rsidR="004D20DD" w:rsidRPr="004D20DD" w14:paraId="1EC4F0EC" w14:textId="77777777" w:rsidTr="0044520F">
        <w:trPr>
          <w:trHeight w:val="518"/>
          <w:tblHeader/>
        </w:trPr>
        <w:tc>
          <w:tcPr>
            <w:tcW w:w="2197" w:type="dxa"/>
            <w:vMerge/>
            <w:tcBorders>
              <w:top w:val="single" w:sz="8" w:space="0" w:color="BFBFBF"/>
              <w:left w:val="single" w:sz="8" w:space="0" w:color="BFBFBF"/>
              <w:bottom w:val="single" w:sz="8" w:space="0" w:color="BFBFBF"/>
              <w:right w:val="single" w:sz="8" w:space="0" w:color="BFBFBF"/>
            </w:tcBorders>
            <w:shd w:val="clear" w:color="auto" w:fill="0098BA"/>
            <w:tcMar>
              <w:top w:w="0" w:type="dxa"/>
              <w:left w:w="70" w:type="dxa"/>
              <w:bottom w:w="0" w:type="dxa"/>
              <w:right w:w="70" w:type="dxa"/>
            </w:tcMar>
            <w:vAlign w:val="center"/>
          </w:tcPr>
          <w:p w14:paraId="63335D38" w14:textId="77777777" w:rsidR="000D6D0A" w:rsidRPr="004D20DD" w:rsidRDefault="000D6D0A">
            <w:pPr>
              <w:spacing w:before="85" w:after="85"/>
              <w:rPr>
                <w:rFonts w:ascii="Tahoma" w:hAnsi="Tahoma" w:cs="Tahoma"/>
                <w:color w:val="FFFFFF" w:themeColor="background1"/>
                <w:sz w:val="18"/>
                <w:szCs w:val="18"/>
              </w:rPr>
            </w:pPr>
          </w:p>
        </w:tc>
        <w:tc>
          <w:tcPr>
            <w:tcW w:w="1361" w:type="dxa"/>
            <w:tcBorders>
              <w:top w:val="single" w:sz="8" w:space="0" w:color="BFBFBF"/>
              <w:left w:val="single" w:sz="8" w:space="0" w:color="BFBFBF"/>
              <w:bottom w:val="single" w:sz="8" w:space="0" w:color="BFBFBF"/>
              <w:right w:val="single" w:sz="8" w:space="0" w:color="BFBFBF"/>
            </w:tcBorders>
            <w:shd w:val="clear" w:color="auto" w:fill="0098BA"/>
            <w:tcMar>
              <w:top w:w="0" w:type="dxa"/>
              <w:left w:w="70" w:type="dxa"/>
              <w:bottom w:w="0" w:type="dxa"/>
              <w:right w:w="70" w:type="dxa"/>
            </w:tcMar>
            <w:vAlign w:val="center"/>
          </w:tcPr>
          <w:p w14:paraId="448C0F46" w14:textId="77777777" w:rsidR="000D6D0A" w:rsidRPr="004D20DD" w:rsidRDefault="00BB0E07">
            <w:pPr>
              <w:spacing w:before="85" w:after="85"/>
              <w:jc w:val="center"/>
              <w:rPr>
                <w:rFonts w:ascii="Tahoma" w:hAnsi="Tahoma" w:cs="Tahoma"/>
                <w:color w:val="FFFFFF" w:themeColor="background1"/>
                <w:sz w:val="18"/>
                <w:szCs w:val="18"/>
              </w:rPr>
            </w:pPr>
            <w:r w:rsidRPr="004D20DD">
              <w:rPr>
                <w:rFonts w:ascii="Tahoma" w:hAnsi="Tahoma" w:cs="Tahoma"/>
                <w:color w:val="FFFFFF" w:themeColor="background1"/>
                <w:sz w:val="18"/>
                <w:szCs w:val="18"/>
              </w:rPr>
              <w:t>Nº de empresas</w:t>
            </w:r>
          </w:p>
        </w:tc>
        <w:tc>
          <w:tcPr>
            <w:tcW w:w="1361" w:type="dxa"/>
            <w:tcBorders>
              <w:top w:val="single" w:sz="8" w:space="0" w:color="BFBFBF"/>
              <w:left w:val="single" w:sz="8" w:space="0" w:color="BFBFBF"/>
              <w:bottom w:val="single" w:sz="8" w:space="0" w:color="BFBFBF"/>
              <w:right w:val="single" w:sz="8" w:space="0" w:color="BFBFBF"/>
            </w:tcBorders>
            <w:shd w:val="clear" w:color="auto" w:fill="0098BA"/>
            <w:tcMar>
              <w:top w:w="0" w:type="dxa"/>
              <w:left w:w="70" w:type="dxa"/>
              <w:bottom w:w="0" w:type="dxa"/>
              <w:right w:w="70" w:type="dxa"/>
            </w:tcMar>
            <w:vAlign w:val="center"/>
          </w:tcPr>
          <w:p w14:paraId="4C32D9C7" w14:textId="77777777" w:rsidR="000D6D0A" w:rsidRPr="004D20DD" w:rsidRDefault="00BB0E07">
            <w:pPr>
              <w:spacing w:before="85" w:after="85"/>
              <w:jc w:val="center"/>
              <w:rPr>
                <w:rFonts w:ascii="Tahoma" w:hAnsi="Tahoma" w:cs="Tahoma"/>
                <w:color w:val="FFFFFF" w:themeColor="background1"/>
                <w:sz w:val="18"/>
                <w:szCs w:val="18"/>
              </w:rPr>
            </w:pPr>
            <w:r w:rsidRPr="004D20DD">
              <w:rPr>
                <w:rFonts w:ascii="Tahoma" w:hAnsi="Tahoma" w:cs="Tahoma"/>
                <w:color w:val="FFFFFF" w:themeColor="background1"/>
                <w:sz w:val="18"/>
                <w:szCs w:val="18"/>
              </w:rPr>
              <w:t>R$</w:t>
            </w:r>
          </w:p>
        </w:tc>
        <w:tc>
          <w:tcPr>
            <w:tcW w:w="1361" w:type="dxa"/>
            <w:tcBorders>
              <w:top w:val="single" w:sz="8" w:space="0" w:color="BFBFBF"/>
              <w:left w:val="single" w:sz="8" w:space="0" w:color="BFBFBF"/>
              <w:bottom w:val="single" w:sz="8" w:space="0" w:color="BFBFBF"/>
              <w:right w:val="single" w:sz="8" w:space="0" w:color="BFBFBF"/>
            </w:tcBorders>
            <w:shd w:val="clear" w:color="auto" w:fill="0098BA"/>
            <w:tcMar>
              <w:top w:w="0" w:type="dxa"/>
              <w:left w:w="70" w:type="dxa"/>
              <w:bottom w:w="0" w:type="dxa"/>
              <w:right w:w="70" w:type="dxa"/>
            </w:tcMar>
            <w:vAlign w:val="center"/>
          </w:tcPr>
          <w:p w14:paraId="55D98FF7" w14:textId="77777777" w:rsidR="000D6D0A" w:rsidRPr="004D20DD" w:rsidRDefault="00BB0E07">
            <w:pPr>
              <w:spacing w:before="85" w:after="85"/>
              <w:jc w:val="center"/>
              <w:rPr>
                <w:rFonts w:ascii="Tahoma" w:hAnsi="Tahoma" w:cs="Tahoma"/>
                <w:color w:val="FFFFFF" w:themeColor="background1"/>
                <w:sz w:val="18"/>
                <w:szCs w:val="18"/>
              </w:rPr>
            </w:pPr>
            <w:r w:rsidRPr="004D20DD">
              <w:rPr>
                <w:rFonts w:ascii="Tahoma" w:hAnsi="Tahoma" w:cs="Tahoma"/>
                <w:color w:val="FFFFFF" w:themeColor="background1"/>
                <w:sz w:val="18"/>
                <w:szCs w:val="18"/>
              </w:rPr>
              <w:t>Nº de empresas</w:t>
            </w:r>
          </w:p>
        </w:tc>
        <w:tc>
          <w:tcPr>
            <w:tcW w:w="1361" w:type="dxa"/>
            <w:tcBorders>
              <w:top w:val="single" w:sz="8" w:space="0" w:color="BFBFBF"/>
              <w:left w:val="single" w:sz="8" w:space="0" w:color="BFBFBF"/>
              <w:bottom w:val="single" w:sz="8" w:space="0" w:color="BFBFBF"/>
              <w:right w:val="single" w:sz="8" w:space="0" w:color="BFBFBF"/>
            </w:tcBorders>
            <w:shd w:val="clear" w:color="auto" w:fill="0098BA"/>
            <w:tcMar>
              <w:top w:w="0" w:type="dxa"/>
              <w:left w:w="70" w:type="dxa"/>
              <w:bottom w:w="0" w:type="dxa"/>
              <w:right w:w="70" w:type="dxa"/>
            </w:tcMar>
            <w:vAlign w:val="center"/>
          </w:tcPr>
          <w:p w14:paraId="1674ED6B" w14:textId="77777777" w:rsidR="000D6D0A" w:rsidRPr="004D20DD" w:rsidRDefault="00BB0E07">
            <w:pPr>
              <w:spacing w:before="85" w:after="85"/>
              <w:jc w:val="center"/>
              <w:rPr>
                <w:rFonts w:ascii="Tahoma" w:hAnsi="Tahoma" w:cs="Tahoma"/>
                <w:color w:val="FFFFFF" w:themeColor="background1"/>
                <w:sz w:val="18"/>
                <w:szCs w:val="18"/>
              </w:rPr>
            </w:pPr>
            <w:r w:rsidRPr="004D20DD">
              <w:rPr>
                <w:rFonts w:ascii="Tahoma" w:hAnsi="Tahoma" w:cs="Tahoma"/>
                <w:color w:val="FFFFFF" w:themeColor="background1"/>
                <w:sz w:val="18"/>
                <w:szCs w:val="18"/>
              </w:rPr>
              <w:t>R$</w:t>
            </w:r>
          </w:p>
        </w:tc>
      </w:tr>
      <w:tr w:rsidR="00003484" w14:paraId="4B7846A6" w14:textId="77777777" w:rsidTr="008D678A">
        <w:trPr>
          <w:trHeight w:val="283"/>
        </w:trPr>
        <w:tc>
          <w:tcPr>
            <w:tcW w:w="2197"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045B596A" w14:textId="77777777" w:rsidR="00003484" w:rsidRDefault="00003484" w:rsidP="00003484">
            <w:pPr>
              <w:ind w:firstLine="134"/>
              <w:jc w:val="center"/>
              <w:rPr>
                <w:rFonts w:ascii="Tahoma" w:hAnsi="Tahoma" w:cs="Tahoma"/>
                <w:color w:val="000000"/>
                <w:sz w:val="18"/>
                <w:szCs w:val="18"/>
              </w:rPr>
            </w:pPr>
            <w:r>
              <w:rPr>
                <w:rFonts w:ascii="Tahoma" w:hAnsi="Tahoma" w:cs="Tahoma"/>
                <w:color w:val="000000"/>
                <w:sz w:val="18"/>
                <w:szCs w:val="18"/>
              </w:rPr>
              <w:t>Contratação</w:t>
            </w:r>
          </w:p>
        </w:tc>
        <w:tc>
          <w:tcPr>
            <w:tcW w:w="1361"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3F81FC84" w14:textId="698E0E3F" w:rsidR="00003484" w:rsidRPr="00003484" w:rsidRDefault="00003484" w:rsidP="00003484">
            <w:pPr>
              <w:jc w:val="center"/>
              <w:rPr>
                <w:rFonts w:ascii="Tahoma" w:hAnsi="Tahoma" w:cs="Tahoma"/>
                <w:color w:val="000000"/>
                <w:sz w:val="18"/>
                <w:szCs w:val="18"/>
              </w:rPr>
            </w:pPr>
            <w:r w:rsidRPr="00003484">
              <w:rPr>
                <w:rFonts w:ascii="Tahoma" w:hAnsi="Tahoma" w:cs="Tahoma"/>
                <w:color w:val="000000"/>
                <w:sz w:val="18"/>
                <w:szCs w:val="18"/>
              </w:rPr>
              <w:t>3</w:t>
            </w:r>
          </w:p>
        </w:tc>
        <w:tc>
          <w:tcPr>
            <w:tcW w:w="1361"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78C138F4" w14:textId="21F21D4B" w:rsidR="00003484" w:rsidRPr="00003484" w:rsidRDefault="00003484" w:rsidP="00003484">
            <w:pPr>
              <w:ind w:firstLine="134"/>
              <w:jc w:val="center"/>
              <w:rPr>
                <w:rFonts w:ascii="Tahoma" w:hAnsi="Tahoma" w:cs="Tahoma"/>
                <w:sz w:val="18"/>
                <w:szCs w:val="18"/>
              </w:rPr>
            </w:pPr>
            <w:r w:rsidRPr="00003484">
              <w:rPr>
                <w:rFonts w:ascii="Tahoma" w:hAnsi="Tahoma" w:cs="Tahoma"/>
                <w:sz w:val="18"/>
                <w:szCs w:val="18"/>
              </w:rPr>
              <w:t>3.517.000</w:t>
            </w:r>
            <w:r>
              <w:rPr>
                <w:rFonts w:ascii="Tahoma" w:hAnsi="Tahoma" w:cs="Tahoma"/>
                <w:sz w:val="18"/>
                <w:szCs w:val="18"/>
              </w:rPr>
              <w:t>,00</w:t>
            </w:r>
          </w:p>
        </w:tc>
        <w:tc>
          <w:tcPr>
            <w:tcW w:w="1361"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27B2E326" w14:textId="32AEAB46" w:rsidR="00003484" w:rsidRPr="00003484" w:rsidRDefault="00003484" w:rsidP="00003484">
            <w:pPr>
              <w:jc w:val="center"/>
              <w:rPr>
                <w:rFonts w:ascii="Tahoma" w:hAnsi="Tahoma" w:cs="Tahoma"/>
                <w:color w:val="000000"/>
                <w:sz w:val="18"/>
                <w:szCs w:val="18"/>
              </w:rPr>
            </w:pPr>
            <w:r w:rsidRPr="00003484">
              <w:rPr>
                <w:rFonts w:ascii="Tahoma" w:hAnsi="Tahoma" w:cs="Tahoma"/>
                <w:color w:val="000000"/>
                <w:sz w:val="18"/>
                <w:szCs w:val="18"/>
              </w:rPr>
              <w:t>1</w:t>
            </w:r>
          </w:p>
        </w:tc>
        <w:tc>
          <w:tcPr>
            <w:tcW w:w="1361"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14C1020C" w14:textId="67C3ECB9" w:rsidR="00003484" w:rsidRPr="00003484" w:rsidRDefault="00003484" w:rsidP="00003484">
            <w:pPr>
              <w:ind w:firstLine="134"/>
              <w:jc w:val="right"/>
              <w:rPr>
                <w:rFonts w:ascii="Tahoma" w:hAnsi="Tahoma" w:cs="Tahoma"/>
                <w:sz w:val="18"/>
                <w:szCs w:val="18"/>
              </w:rPr>
            </w:pPr>
            <w:r w:rsidRPr="00003484">
              <w:rPr>
                <w:rFonts w:ascii="Tahoma" w:hAnsi="Tahoma" w:cs="Tahoma"/>
                <w:color w:val="000000"/>
                <w:sz w:val="18"/>
                <w:szCs w:val="18"/>
              </w:rPr>
              <w:t>1.500.000,00</w:t>
            </w:r>
          </w:p>
        </w:tc>
      </w:tr>
      <w:tr w:rsidR="004D20DD" w14:paraId="0498E88F" w14:textId="77777777" w:rsidTr="008D678A">
        <w:trPr>
          <w:trHeight w:val="283"/>
        </w:trPr>
        <w:tc>
          <w:tcPr>
            <w:tcW w:w="2197"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603B224C" w14:textId="77777777" w:rsidR="004D20DD" w:rsidRDefault="004D20DD" w:rsidP="008D678A">
            <w:pPr>
              <w:ind w:firstLine="134"/>
              <w:jc w:val="center"/>
              <w:rPr>
                <w:rFonts w:ascii="Tahoma" w:hAnsi="Tahoma" w:cs="Tahoma"/>
                <w:color w:val="000000"/>
                <w:sz w:val="18"/>
                <w:szCs w:val="18"/>
              </w:rPr>
            </w:pPr>
            <w:r>
              <w:rPr>
                <w:rFonts w:ascii="Tahoma" w:hAnsi="Tahoma" w:cs="Tahoma"/>
                <w:color w:val="000000"/>
                <w:sz w:val="18"/>
                <w:szCs w:val="18"/>
              </w:rPr>
              <w:t>Liberação</w:t>
            </w:r>
          </w:p>
        </w:tc>
        <w:tc>
          <w:tcPr>
            <w:tcW w:w="1361"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579FAF33" w14:textId="77302DCE" w:rsidR="004D20DD" w:rsidRPr="00003484" w:rsidRDefault="004D20DD" w:rsidP="008D678A">
            <w:pPr>
              <w:jc w:val="center"/>
              <w:rPr>
                <w:rFonts w:ascii="Tahoma" w:hAnsi="Tahoma" w:cs="Tahoma"/>
                <w:color w:val="000000"/>
                <w:sz w:val="18"/>
                <w:szCs w:val="18"/>
              </w:rPr>
            </w:pPr>
            <w:r w:rsidRPr="00003484">
              <w:rPr>
                <w:rFonts w:ascii="Tahoma" w:hAnsi="Tahoma" w:cs="Tahoma"/>
                <w:color w:val="000000"/>
                <w:sz w:val="18"/>
                <w:szCs w:val="18"/>
              </w:rPr>
              <w:t>6</w:t>
            </w:r>
          </w:p>
        </w:tc>
        <w:tc>
          <w:tcPr>
            <w:tcW w:w="1361"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24111F74" w14:textId="2E2E3B05" w:rsidR="004D20DD" w:rsidRPr="00003484" w:rsidRDefault="004D20DD" w:rsidP="008D678A">
            <w:pPr>
              <w:ind w:firstLine="134"/>
              <w:jc w:val="center"/>
              <w:rPr>
                <w:rFonts w:ascii="Tahoma" w:hAnsi="Tahoma" w:cs="Tahoma"/>
                <w:color w:val="000000"/>
                <w:sz w:val="18"/>
                <w:szCs w:val="18"/>
              </w:rPr>
            </w:pPr>
            <w:r w:rsidRPr="00003484">
              <w:rPr>
                <w:rFonts w:ascii="Tahoma" w:hAnsi="Tahoma" w:cs="Tahoma"/>
                <w:color w:val="000000"/>
                <w:sz w:val="18"/>
                <w:szCs w:val="18"/>
              </w:rPr>
              <w:t>2.637.500</w:t>
            </w:r>
            <w:r w:rsidR="00003484">
              <w:rPr>
                <w:rFonts w:ascii="Tahoma" w:hAnsi="Tahoma" w:cs="Tahoma"/>
                <w:color w:val="000000"/>
                <w:sz w:val="18"/>
                <w:szCs w:val="18"/>
              </w:rPr>
              <w:t>,00</w:t>
            </w:r>
          </w:p>
        </w:tc>
        <w:tc>
          <w:tcPr>
            <w:tcW w:w="1361"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3FF07C82" w14:textId="76C1DACA" w:rsidR="004D20DD" w:rsidRPr="00003484" w:rsidRDefault="00003484" w:rsidP="008D678A">
            <w:pPr>
              <w:jc w:val="center"/>
              <w:rPr>
                <w:rFonts w:ascii="Tahoma" w:hAnsi="Tahoma" w:cs="Tahoma"/>
                <w:color w:val="000000"/>
                <w:sz w:val="18"/>
                <w:szCs w:val="18"/>
              </w:rPr>
            </w:pPr>
            <w:r w:rsidRPr="00003484">
              <w:rPr>
                <w:rFonts w:ascii="Tahoma" w:hAnsi="Tahoma" w:cs="Tahoma"/>
                <w:color w:val="000000"/>
                <w:sz w:val="18"/>
                <w:szCs w:val="18"/>
              </w:rPr>
              <w:t>4</w:t>
            </w:r>
          </w:p>
        </w:tc>
        <w:tc>
          <w:tcPr>
            <w:tcW w:w="1361" w:type="dxa"/>
            <w:tcBorders>
              <w:top w:val="single" w:sz="8" w:space="0" w:color="BFBFBF"/>
              <w:left w:val="single" w:sz="8" w:space="0" w:color="BFBFBF"/>
              <w:bottom w:val="single" w:sz="8" w:space="0" w:color="BFBFBF"/>
              <w:right w:val="single" w:sz="8" w:space="0" w:color="BFBFBF"/>
            </w:tcBorders>
            <w:shd w:val="clear" w:color="auto" w:fill="auto"/>
            <w:tcMar>
              <w:top w:w="0" w:type="dxa"/>
              <w:left w:w="70" w:type="dxa"/>
              <w:bottom w:w="0" w:type="dxa"/>
              <w:right w:w="70" w:type="dxa"/>
            </w:tcMar>
            <w:vAlign w:val="center"/>
          </w:tcPr>
          <w:p w14:paraId="07E55920" w14:textId="73406ADE" w:rsidR="004D20DD" w:rsidRPr="00003484" w:rsidRDefault="00003484" w:rsidP="00003484">
            <w:pPr>
              <w:jc w:val="right"/>
              <w:rPr>
                <w:rFonts w:ascii="Tahoma" w:hAnsi="Tahoma" w:cs="Tahoma"/>
                <w:color w:val="000000"/>
                <w:sz w:val="18"/>
                <w:szCs w:val="18"/>
              </w:rPr>
            </w:pPr>
            <w:r w:rsidRPr="00003484">
              <w:rPr>
                <w:rFonts w:ascii="Tahoma" w:hAnsi="Tahoma" w:cs="Tahoma"/>
                <w:color w:val="000000"/>
                <w:sz w:val="18"/>
                <w:szCs w:val="18"/>
              </w:rPr>
              <w:t>1.660.577,00</w:t>
            </w:r>
          </w:p>
        </w:tc>
      </w:tr>
    </w:tbl>
    <w:p w14:paraId="791E77CF" w14:textId="38C2CAFD" w:rsidR="000D6D0A" w:rsidRDefault="00BB0E07">
      <w:pPr>
        <w:spacing w:after="120"/>
        <w:jc w:val="both"/>
      </w:pPr>
      <w:r w:rsidRPr="004D20DD">
        <w:rPr>
          <w:rFonts w:ascii="Tahoma" w:hAnsi="Tahoma" w:cs="Tahoma"/>
          <w:b/>
          <w:color w:val="000000"/>
          <w:sz w:val="18"/>
          <w:szCs w:val="18"/>
        </w:rPr>
        <w:t>Dados obtidos em</w:t>
      </w:r>
      <w:r>
        <w:rPr>
          <w:rFonts w:ascii="Tahoma" w:hAnsi="Tahoma" w:cs="Tahoma"/>
          <w:bCs/>
          <w:color w:val="000000"/>
          <w:sz w:val="18"/>
          <w:szCs w:val="18"/>
        </w:rPr>
        <w:t xml:space="preserve">: </w:t>
      </w:r>
      <w:r w:rsidR="004D20DD">
        <w:rPr>
          <w:rFonts w:ascii="Tahoma" w:hAnsi="Tahoma" w:cs="Tahoma"/>
          <w:bCs/>
          <w:color w:val="000000"/>
          <w:sz w:val="18"/>
          <w:szCs w:val="18"/>
        </w:rPr>
        <w:t>fev/2024</w:t>
      </w:r>
    </w:p>
    <w:p w14:paraId="20E73371" w14:textId="77777777" w:rsidR="000D6D0A" w:rsidRDefault="000D6D0A" w:rsidP="00003484">
      <w:pPr>
        <w:spacing w:before="120" w:after="120" w:line="360" w:lineRule="auto"/>
        <w:rPr>
          <w:rFonts w:ascii="Tahoma" w:hAnsi="Tahoma" w:cs="Tahoma"/>
          <w:sz w:val="19"/>
          <w:szCs w:val="19"/>
        </w:rPr>
      </w:pPr>
    </w:p>
    <w:p w14:paraId="42A84B0E" w14:textId="77777777" w:rsidR="00003484" w:rsidRDefault="00BB0E07" w:rsidP="00003484">
      <w:pPr>
        <w:rPr>
          <w:rFonts w:ascii="Tahoma" w:hAnsi="Tahoma" w:cs="Tahoma"/>
          <w:color w:val="0098BA"/>
          <w:sz w:val="19"/>
          <w:szCs w:val="19"/>
        </w:rPr>
      </w:pPr>
      <w:r w:rsidRPr="00003484">
        <w:rPr>
          <w:rFonts w:ascii="Tahoma" w:hAnsi="Tahoma" w:cs="Tahoma"/>
          <w:color w:val="0098BA"/>
          <w:sz w:val="19"/>
          <w:szCs w:val="19"/>
        </w:rPr>
        <w:lastRenderedPageBreak/>
        <w:t>Aquisição de Instrumentos Conversíveis em Participação no Capital Social - Finep Startup</w:t>
      </w:r>
    </w:p>
    <w:p w14:paraId="60AD379D" w14:textId="044B98CE" w:rsidR="000D6D0A" w:rsidRPr="00003484" w:rsidRDefault="00BB0E07" w:rsidP="00003484">
      <w:pPr>
        <w:rPr>
          <w:rFonts w:ascii="Tahoma" w:hAnsi="Tahoma" w:cs="Tahoma"/>
          <w:color w:val="0098BA"/>
          <w:sz w:val="19"/>
          <w:szCs w:val="19"/>
        </w:rPr>
      </w:pPr>
      <w:r w:rsidRPr="00003484">
        <w:rPr>
          <w:rFonts w:ascii="Tahoma" w:hAnsi="Tahoma" w:cs="Tahoma"/>
          <w:color w:val="0098BA"/>
          <w:sz w:val="19"/>
          <w:szCs w:val="19"/>
        </w:rPr>
        <w:t>Empresas contratadas por ano</w:t>
      </w:r>
    </w:p>
    <w:p w14:paraId="703B5966" w14:textId="2AB8AD66" w:rsidR="000D6D0A" w:rsidRDefault="00BB0E07">
      <w:pPr>
        <w:ind w:right="195"/>
        <w:jc w:val="right"/>
      </w:pPr>
      <w:r>
        <w:rPr>
          <w:rFonts w:ascii="Tahoma" w:hAnsi="Tahoma" w:cs="Tahoma"/>
          <w:bCs/>
          <w:color w:val="000000"/>
          <w:sz w:val="18"/>
          <w:szCs w:val="18"/>
        </w:rPr>
        <w:t>Posição em 31/12/202</w:t>
      </w:r>
      <w:r w:rsidR="00003484">
        <w:rPr>
          <w:rFonts w:ascii="Tahoma" w:hAnsi="Tahoma" w:cs="Tahoma"/>
          <w:bCs/>
          <w:color w:val="000000"/>
          <w:sz w:val="18"/>
          <w:szCs w:val="18"/>
        </w:rPr>
        <w:t>3</w:t>
      </w:r>
    </w:p>
    <w:tbl>
      <w:tblPr>
        <w:tblW w:w="8972" w:type="dxa"/>
        <w:tblCellMar>
          <w:left w:w="10" w:type="dxa"/>
          <w:right w:w="10" w:type="dxa"/>
        </w:tblCellMar>
        <w:tblLook w:val="04A0" w:firstRow="1" w:lastRow="0" w:firstColumn="1" w:lastColumn="0" w:noHBand="0" w:noVBand="1"/>
      </w:tblPr>
      <w:tblGrid>
        <w:gridCol w:w="1261"/>
        <w:gridCol w:w="2410"/>
        <w:gridCol w:w="2126"/>
        <w:gridCol w:w="3175"/>
      </w:tblGrid>
      <w:tr w:rsidR="000D6D0A" w14:paraId="5C2633AB" w14:textId="77777777" w:rsidTr="00003484">
        <w:trPr>
          <w:trHeight w:val="644"/>
          <w:tblHeader/>
        </w:trPr>
        <w:tc>
          <w:tcPr>
            <w:tcW w:w="1261" w:type="dxa"/>
            <w:tcBorders>
              <w:top w:val="single" w:sz="8" w:space="0" w:color="BFBFBF"/>
              <w:bottom w:val="single" w:sz="8" w:space="0" w:color="BFBFBF"/>
              <w:right w:val="single" w:sz="8" w:space="0" w:color="BFBFBF"/>
            </w:tcBorders>
            <w:shd w:val="clear" w:color="auto" w:fill="0098BA"/>
            <w:noWrap/>
            <w:tcMar>
              <w:top w:w="0" w:type="dxa"/>
              <w:left w:w="70" w:type="dxa"/>
              <w:bottom w:w="0" w:type="dxa"/>
              <w:right w:w="70" w:type="dxa"/>
            </w:tcMar>
            <w:vAlign w:val="center"/>
          </w:tcPr>
          <w:p w14:paraId="2FE19651" w14:textId="77777777" w:rsidR="000D6D0A" w:rsidRDefault="00BB0E07">
            <w:pPr>
              <w:jc w:val="center"/>
              <w:rPr>
                <w:rFonts w:ascii="Tahoma" w:hAnsi="Tahoma" w:cs="Tahoma"/>
                <w:color w:val="FFFFFF"/>
                <w:sz w:val="18"/>
                <w:szCs w:val="18"/>
              </w:rPr>
            </w:pPr>
            <w:r>
              <w:rPr>
                <w:rFonts w:ascii="Tahoma" w:hAnsi="Tahoma" w:cs="Tahoma"/>
                <w:color w:val="FFFFFF"/>
                <w:sz w:val="18"/>
                <w:szCs w:val="18"/>
              </w:rPr>
              <w:t>Ano de contratação</w:t>
            </w:r>
          </w:p>
        </w:tc>
        <w:tc>
          <w:tcPr>
            <w:tcW w:w="2410" w:type="dxa"/>
            <w:tcBorders>
              <w:top w:val="single" w:sz="8" w:space="0" w:color="BFBFBF"/>
              <w:left w:val="single" w:sz="8" w:space="0" w:color="BFBFBF"/>
              <w:bottom w:val="single" w:sz="8" w:space="0" w:color="BFBFBF"/>
              <w:right w:val="single" w:sz="8" w:space="0" w:color="BFBFBF"/>
            </w:tcBorders>
            <w:shd w:val="clear" w:color="auto" w:fill="0098BA"/>
            <w:noWrap/>
            <w:tcMar>
              <w:top w:w="0" w:type="dxa"/>
              <w:left w:w="70" w:type="dxa"/>
              <w:bottom w:w="0" w:type="dxa"/>
              <w:right w:w="70" w:type="dxa"/>
            </w:tcMar>
            <w:vAlign w:val="center"/>
          </w:tcPr>
          <w:p w14:paraId="7C50696E" w14:textId="77777777" w:rsidR="000D6D0A" w:rsidRDefault="00BB0E07">
            <w:pPr>
              <w:jc w:val="center"/>
              <w:rPr>
                <w:rFonts w:ascii="Tahoma" w:hAnsi="Tahoma" w:cs="Tahoma"/>
                <w:color w:val="FFFFFF"/>
                <w:sz w:val="18"/>
                <w:szCs w:val="18"/>
              </w:rPr>
            </w:pPr>
            <w:r>
              <w:rPr>
                <w:rFonts w:ascii="Tahoma" w:hAnsi="Tahoma" w:cs="Tahoma"/>
                <w:color w:val="FFFFFF"/>
                <w:sz w:val="18"/>
                <w:szCs w:val="18"/>
              </w:rPr>
              <w:t>Número de empresas contratadas</w:t>
            </w:r>
          </w:p>
        </w:tc>
        <w:tc>
          <w:tcPr>
            <w:tcW w:w="2126" w:type="dxa"/>
            <w:tcBorders>
              <w:top w:val="single" w:sz="8" w:space="0" w:color="BFBFBF"/>
              <w:left w:val="single" w:sz="8" w:space="0" w:color="BFBFBF"/>
              <w:bottom w:val="single" w:sz="8" w:space="0" w:color="BFBFBF"/>
              <w:right w:val="single" w:sz="8" w:space="0" w:color="BFBFBF"/>
            </w:tcBorders>
            <w:shd w:val="clear" w:color="auto" w:fill="0098BA"/>
            <w:noWrap/>
            <w:tcMar>
              <w:top w:w="0" w:type="dxa"/>
              <w:left w:w="70" w:type="dxa"/>
              <w:bottom w:w="0" w:type="dxa"/>
              <w:right w:w="70" w:type="dxa"/>
            </w:tcMar>
            <w:vAlign w:val="center"/>
          </w:tcPr>
          <w:p w14:paraId="33E99028" w14:textId="77777777" w:rsidR="000D6D0A" w:rsidRDefault="00BB0E07">
            <w:pPr>
              <w:jc w:val="center"/>
              <w:rPr>
                <w:rFonts w:ascii="Tahoma" w:hAnsi="Tahoma" w:cs="Tahoma"/>
                <w:color w:val="FFFFFF"/>
                <w:sz w:val="18"/>
                <w:szCs w:val="18"/>
              </w:rPr>
            </w:pPr>
            <w:r>
              <w:rPr>
                <w:rFonts w:ascii="Tahoma" w:hAnsi="Tahoma" w:cs="Tahoma"/>
                <w:color w:val="FFFFFF"/>
                <w:sz w:val="18"/>
                <w:szCs w:val="18"/>
              </w:rPr>
              <w:t>Investimento aprovado (R$)</w:t>
            </w:r>
          </w:p>
        </w:tc>
        <w:tc>
          <w:tcPr>
            <w:tcW w:w="3175" w:type="dxa"/>
            <w:tcBorders>
              <w:top w:val="single" w:sz="8" w:space="0" w:color="BFBFBF"/>
              <w:left w:val="single" w:sz="8" w:space="0" w:color="BFBFBF"/>
              <w:bottom w:val="single" w:sz="8" w:space="0" w:color="BFBFBF"/>
            </w:tcBorders>
            <w:shd w:val="clear" w:color="auto" w:fill="0098BA"/>
            <w:noWrap/>
            <w:tcMar>
              <w:top w:w="0" w:type="dxa"/>
              <w:left w:w="70" w:type="dxa"/>
              <w:bottom w:w="0" w:type="dxa"/>
              <w:right w:w="70" w:type="dxa"/>
            </w:tcMar>
            <w:vAlign w:val="center"/>
          </w:tcPr>
          <w:p w14:paraId="224C174A" w14:textId="77777777" w:rsidR="000D6D0A" w:rsidRDefault="00BB0E07">
            <w:pPr>
              <w:jc w:val="center"/>
              <w:rPr>
                <w:rFonts w:ascii="Tahoma" w:hAnsi="Tahoma" w:cs="Tahoma"/>
                <w:color w:val="FFFFFF"/>
                <w:sz w:val="18"/>
                <w:szCs w:val="18"/>
              </w:rPr>
            </w:pPr>
            <w:r>
              <w:rPr>
                <w:rFonts w:ascii="Tahoma" w:hAnsi="Tahoma" w:cs="Tahoma"/>
                <w:color w:val="FFFFFF"/>
                <w:sz w:val="18"/>
                <w:szCs w:val="18"/>
              </w:rPr>
              <w:t>Investimento anjo (R$)</w:t>
            </w:r>
          </w:p>
        </w:tc>
      </w:tr>
      <w:tr w:rsidR="000D6D0A" w14:paraId="74F0064E" w14:textId="77777777">
        <w:trPr>
          <w:trHeight w:val="283"/>
        </w:trPr>
        <w:tc>
          <w:tcPr>
            <w:tcW w:w="1261" w:type="dxa"/>
            <w:tcBorders>
              <w:top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40991365" w14:textId="77777777" w:rsidR="000D6D0A" w:rsidRDefault="00BB0E07">
            <w:pPr>
              <w:rPr>
                <w:rFonts w:ascii="Tahoma" w:hAnsi="Tahoma" w:cs="Tahoma"/>
                <w:color w:val="000000"/>
                <w:sz w:val="18"/>
                <w:szCs w:val="18"/>
              </w:rPr>
            </w:pPr>
            <w:r>
              <w:rPr>
                <w:rFonts w:ascii="Tahoma" w:hAnsi="Tahoma" w:cs="Tahoma"/>
                <w:color w:val="000000"/>
                <w:sz w:val="18"/>
                <w:szCs w:val="18"/>
              </w:rPr>
              <w:t>2018</w:t>
            </w:r>
          </w:p>
        </w:tc>
        <w:tc>
          <w:tcPr>
            <w:tcW w:w="2410"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4B89CF39" w14:textId="77777777" w:rsidR="000D6D0A" w:rsidRDefault="00BB0E07">
            <w:pPr>
              <w:jc w:val="center"/>
              <w:rPr>
                <w:rFonts w:ascii="Tahoma" w:hAnsi="Tahoma" w:cs="Tahoma"/>
                <w:color w:val="000000"/>
                <w:sz w:val="18"/>
                <w:szCs w:val="18"/>
              </w:rPr>
            </w:pPr>
            <w:r>
              <w:rPr>
                <w:rFonts w:ascii="Tahoma" w:hAnsi="Tahoma" w:cs="Tahoma"/>
                <w:color w:val="000000"/>
                <w:sz w:val="18"/>
                <w:szCs w:val="18"/>
              </w:rPr>
              <w:t>5</w:t>
            </w:r>
          </w:p>
        </w:tc>
        <w:tc>
          <w:tcPr>
            <w:tcW w:w="2126"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00DFAD21" w14:textId="77777777" w:rsidR="000D6D0A" w:rsidRDefault="00BB0E07">
            <w:pPr>
              <w:jc w:val="right"/>
              <w:rPr>
                <w:rFonts w:ascii="Tahoma" w:hAnsi="Tahoma" w:cs="Tahoma"/>
                <w:color w:val="000000"/>
                <w:sz w:val="18"/>
                <w:szCs w:val="18"/>
              </w:rPr>
            </w:pPr>
            <w:r>
              <w:rPr>
                <w:rFonts w:ascii="Tahoma" w:hAnsi="Tahoma" w:cs="Tahoma"/>
                <w:color w:val="000000"/>
                <w:sz w:val="18"/>
                <w:szCs w:val="18"/>
              </w:rPr>
              <w:t>4.860.000</w:t>
            </w:r>
          </w:p>
        </w:tc>
        <w:tc>
          <w:tcPr>
            <w:tcW w:w="3175" w:type="dxa"/>
            <w:tcBorders>
              <w:top w:val="single" w:sz="8" w:space="0" w:color="BFBFBF"/>
              <w:left w:val="single" w:sz="8" w:space="0" w:color="BFBFBF"/>
              <w:bottom w:val="single" w:sz="8" w:space="0" w:color="BFBFBF"/>
            </w:tcBorders>
            <w:shd w:val="clear" w:color="auto" w:fill="auto"/>
            <w:noWrap/>
            <w:tcMar>
              <w:top w:w="0" w:type="dxa"/>
              <w:left w:w="70" w:type="dxa"/>
              <w:bottom w:w="0" w:type="dxa"/>
              <w:right w:w="70" w:type="dxa"/>
            </w:tcMar>
            <w:vAlign w:val="center"/>
          </w:tcPr>
          <w:p w14:paraId="2001824A" w14:textId="77777777" w:rsidR="000D6D0A" w:rsidRDefault="00BB0E07">
            <w:pPr>
              <w:jc w:val="right"/>
              <w:rPr>
                <w:rFonts w:ascii="Tahoma" w:hAnsi="Tahoma" w:cs="Tahoma"/>
                <w:color w:val="000000"/>
                <w:sz w:val="18"/>
                <w:szCs w:val="18"/>
              </w:rPr>
            </w:pPr>
            <w:r>
              <w:rPr>
                <w:rFonts w:ascii="Tahoma" w:hAnsi="Tahoma" w:cs="Tahoma"/>
                <w:color w:val="000000"/>
                <w:sz w:val="18"/>
                <w:szCs w:val="18"/>
              </w:rPr>
              <w:t xml:space="preserve">1.150.000 </w:t>
            </w:r>
          </w:p>
        </w:tc>
      </w:tr>
      <w:tr w:rsidR="000D6D0A" w14:paraId="4AC5A510" w14:textId="77777777">
        <w:trPr>
          <w:trHeight w:val="283"/>
        </w:trPr>
        <w:tc>
          <w:tcPr>
            <w:tcW w:w="1261" w:type="dxa"/>
            <w:tcBorders>
              <w:top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372ED73C" w14:textId="77777777" w:rsidR="000D6D0A" w:rsidRDefault="00BB0E07">
            <w:pPr>
              <w:rPr>
                <w:rFonts w:ascii="Tahoma" w:hAnsi="Tahoma" w:cs="Tahoma"/>
                <w:color w:val="000000"/>
                <w:sz w:val="18"/>
                <w:szCs w:val="18"/>
              </w:rPr>
            </w:pPr>
            <w:r>
              <w:rPr>
                <w:rFonts w:ascii="Tahoma" w:hAnsi="Tahoma" w:cs="Tahoma"/>
                <w:color w:val="000000"/>
                <w:sz w:val="18"/>
                <w:szCs w:val="18"/>
              </w:rPr>
              <w:t>2019</w:t>
            </w:r>
          </w:p>
        </w:tc>
        <w:tc>
          <w:tcPr>
            <w:tcW w:w="2410"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1B03E274" w14:textId="77777777" w:rsidR="000D6D0A" w:rsidRDefault="00BB0E07">
            <w:pPr>
              <w:jc w:val="center"/>
              <w:rPr>
                <w:rFonts w:ascii="Tahoma" w:hAnsi="Tahoma" w:cs="Tahoma"/>
                <w:color w:val="000000"/>
                <w:sz w:val="18"/>
                <w:szCs w:val="18"/>
              </w:rPr>
            </w:pPr>
            <w:r>
              <w:rPr>
                <w:rFonts w:ascii="Tahoma" w:hAnsi="Tahoma" w:cs="Tahoma"/>
                <w:color w:val="000000"/>
                <w:sz w:val="18"/>
                <w:szCs w:val="18"/>
              </w:rPr>
              <w:t>13</w:t>
            </w:r>
          </w:p>
        </w:tc>
        <w:tc>
          <w:tcPr>
            <w:tcW w:w="2126"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7F1344D1" w14:textId="77777777" w:rsidR="000D6D0A" w:rsidRDefault="00BB0E07">
            <w:pPr>
              <w:jc w:val="right"/>
              <w:rPr>
                <w:rFonts w:ascii="Tahoma" w:hAnsi="Tahoma" w:cs="Tahoma"/>
                <w:color w:val="000000"/>
                <w:sz w:val="18"/>
                <w:szCs w:val="18"/>
              </w:rPr>
            </w:pPr>
            <w:r>
              <w:rPr>
                <w:rFonts w:ascii="Tahoma" w:hAnsi="Tahoma" w:cs="Tahoma"/>
                <w:color w:val="000000"/>
                <w:sz w:val="18"/>
                <w:szCs w:val="18"/>
              </w:rPr>
              <w:t>12.840.077</w:t>
            </w:r>
          </w:p>
        </w:tc>
        <w:tc>
          <w:tcPr>
            <w:tcW w:w="3175" w:type="dxa"/>
            <w:tcBorders>
              <w:top w:val="single" w:sz="8" w:space="0" w:color="BFBFBF"/>
              <w:left w:val="single" w:sz="8" w:space="0" w:color="BFBFBF"/>
              <w:bottom w:val="single" w:sz="8" w:space="0" w:color="BFBFBF"/>
            </w:tcBorders>
            <w:shd w:val="clear" w:color="auto" w:fill="auto"/>
            <w:noWrap/>
            <w:tcMar>
              <w:top w:w="0" w:type="dxa"/>
              <w:left w:w="70" w:type="dxa"/>
              <w:bottom w:w="0" w:type="dxa"/>
              <w:right w:w="70" w:type="dxa"/>
            </w:tcMar>
            <w:vAlign w:val="center"/>
          </w:tcPr>
          <w:p w14:paraId="21440D79" w14:textId="77777777" w:rsidR="000D6D0A" w:rsidRDefault="00BB0E07">
            <w:pPr>
              <w:jc w:val="right"/>
              <w:rPr>
                <w:rFonts w:ascii="Tahoma" w:hAnsi="Tahoma" w:cs="Tahoma"/>
                <w:color w:val="000000"/>
                <w:sz w:val="18"/>
                <w:szCs w:val="18"/>
              </w:rPr>
            </w:pPr>
            <w:r>
              <w:rPr>
                <w:rFonts w:ascii="Tahoma" w:hAnsi="Tahoma" w:cs="Tahoma"/>
                <w:color w:val="000000"/>
                <w:sz w:val="18"/>
                <w:szCs w:val="18"/>
              </w:rPr>
              <w:t>2.150.000</w:t>
            </w:r>
          </w:p>
        </w:tc>
      </w:tr>
      <w:tr w:rsidR="000D6D0A" w14:paraId="11F50342" w14:textId="77777777">
        <w:trPr>
          <w:trHeight w:val="283"/>
        </w:trPr>
        <w:tc>
          <w:tcPr>
            <w:tcW w:w="1261" w:type="dxa"/>
            <w:tcBorders>
              <w:top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1B5A22F1" w14:textId="77777777" w:rsidR="000D6D0A" w:rsidRDefault="00BB0E07">
            <w:pPr>
              <w:rPr>
                <w:rFonts w:ascii="Tahoma" w:hAnsi="Tahoma" w:cs="Tahoma"/>
                <w:color w:val="000000"/>
                <w:sz w:val="18"/>
                <w:szCs w:val="18"/>
              </w:rPr>
            </w:pPr>
            <w:r>
              <w:rPr>
                <w:rFonts w:ascii="Tahoma" w:hAnsi="Tahoma" w:cs="Tahoma"/>
                <w:color w:val="000000"/>
                <w:sz w:val="18"/>
                <w:szCs w:val="18"/>
              </w:rPr>
              <w:t>2020</w:t>
            </w:r>
          </w:p>
        </w:tc>
        <w:tc>
          <w:tcPr>
            <w:tcW w:w="2410"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6BFB4001" w14:textId="77777777" w:rsidR="000D6D0A" w:rsidRDefault="00BB0E07">
            <w:pPr>
              <w:jc w:val="center"/>
              <w:rPr>
                <w:rFonts w:ascii="Tahoma" w:hAnsi="Tahoma" w:cs="Tahoma"/>
                <w:color w:val="000000"/>
                <w:sz w:val="18"/>
                <w:szCs w:val="18"/>
              </w:rPr>
            </w:pPr>
            <w:r>
              <w:rPr>
                <w:rFonts w:ascii="Tahoma" w:hAnsi="Tahoma" w:cs="Tahoma"/>
                <w:color w:val="000000"/>
                <w:sz w:val="18"/>
                <w:szCs w:val="18"/>
              </w:rPr>
              <w:t>9</w:t>
            </w:r>
          </w:p>
        </w:tc>
        <w:tc>
          <w:tcPr>
            <w:tcW w:w="2126"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20D35901" w14:textId="77777777" w:rsidR="000D6D0A" w:rsidRDefault="00BB0E07">
            <w:pPr>
              <w:jc w:val="right"/>
              <w:rPr>
                <w:rFonts w:ascii="Tahoma" w:hAnsi="Tahoma" w:cs="Tahoma"/>
                <w:color w:val="000000"/>
                <w:sz w:val="18"/>
                <w:szCs w:val="18"/>
              </w:rPr>
            </w:pPr>
            <w:r>
              <w:rPr>
                <w:rFonts w:ascii="Tahoma" w:hAnsi="Tahoma" w:cs="Tahoma"/>
                <w:color w:val="000000"/>
                <w:sz w:val="18"/>
                <w:szCs w:val="18"/>
              </w:rPr>
              <w:t>8.676.000</w:t>
            </w:r>
          </w:p>
        </w:tc>
        <w:tc>
          <w:tcPr>
            <w:tcW w:w="3175" w:type="dxa"/>
            <w:tcBorders>
              <w:top w:val="single" w:sz="8" w:space="0" w:color="BFBFBF"/>
              <w:left w:val="single" w:sz="8" w:space="0" w:color="BFBFBF"/>
              <w:bottom w:val="single" w:sz="8" w:space="0" w:color="BFBFBF"/>
            </w:tcBorders>
            <w:shd w:val="clear" w:color="auto" w:fill="auto"/>
            <w:noWrap/>
            <w:tcMar>
              <w:top w:w="0" w:type="dxa"/>
              <w:left w:w="70" w:type="dxa"/>
              <w:bottom w:w="0" w:type="dxa"/>
              <w:right w:w="70" w:type="dxa"/>
            </w:tcMar>
            <w:vAlign w:val="center"/>
          </w:tcPr>
          <w:p w14:paraId="670A51E7" w14:textId="77777777" w:rsidR="000D6D0A" w:rsidRDefault="00BB0E07">
            <w:pPr>
              <w:jc w:val="right"/>
              <w:rPr>
                <w:rFonts w:ascii="Tahoma" w:hAnsi="Tahoma" w:cs="Tahoma"/>
                <w:color w:val="000000"/>
                <w:sz w:val="18"/>
                <w:szCs w:val="18"/>
              </w:rPr>
            </w:pPr>
            <w:r>
              <w:rPr>
                <w:rFonts w:ascii="Tahoma" w:hAnsi="Tahoma" w:cs="Tahoma"/>
                <w:color w:val="000000"/>
                <w:sz w:val="18"/>
                <w:szCs w:val="18"/>
              </w:rPr>
              <w:t>1.850.000</w:t>
            </w:r>
          </w:p>
        </w:tc>
      </w:tr>
      <w:tr w:rsidR="000D6D0A" w14:paraId="2D829387" w14:textId="77777777">
        <w:trPr>
          <w:trHeight w:val="283"/>
        </w:trPr>
        <w:tc>
          <w:tcPr>
            <w:tcW w:w="1261" w:type="dxa"/>
            <w:tcBorders>
              <w:top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7F8AA382" w14:textId="77777777" w:rsidR="000D6D0A" w:rsidRDefault="00BB0E07">
            <w:pPr>
              <w:rPr>
                <w:rFonts w:ascii="Tahoma" w:hAnsi="Tahoma" w:cs="Tahoma"/>
                <w:color w:val="000000"/>
                <w:sz w:val="18"/>
                <w:szCs w:val="18"/>
              </w:rPr>
            </w:pPr>
            <w:r>
              <w:rPr>
                <w:rFonts w:ascii="Tahoma" w:hAnsi="Tahoma" w:cs="Tahoma"/>
                <w:color w:val="000000"/>
                <w:sz w:val="18"/>
                <w:szCs w:val="18"/>
              </w:rPr>
              <w:t>2021</w:t>
            </w:r>
          </w:p>
        </w:tc>
        <w:tc>
          <w:tcPr>
            <w:tcW w:w="2410"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04AFBCB3" w14:textId="77777777" w:rsidR="000D6D0A" w:rsidRDefault="00BB0E07">
            <w:pPr>
              <w:jc w:val="center"/>
              <w:rPr>
                <w:rFonts w:ascii="Tahoma" w:hAnsi="Tahoma" w:cs="Tahoma"/>
                <w:color w:val="000000"/>
                <w:sz w:val="18"/>
                <w:szCs w:val="18"/>
              </w:rPr>
            </w:pPr>
            <w:r>
              <w:rPr>
                <w:rFonts w:ascii="Tahoma" w:hAnsi="Tahoma" w:cs="Tahoma"/>
                <w:color w:val="000000"/>
                <w:sz w:val="18"/>
                <w:szCs w:val="18"/>
              </w:rPr>
              <w:t>2</w:t>
            </w:r>
          </w:p>
        </w:tc>
        <w:tc>
          <w:tcPr>
            <w:tcW w:w="2126"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64E6C5EA" w14:textId="77777777" w:rsidR="000D6D0A" w:rsidRDefault="00BB0E07">
            <w:pPr>
              <w:jc w:val="right"/>
              <w:rPr>
                <w:rFonts w:ascii="Tahoma" w:hAnsi="Tahoma" w:cs="Tahoma"/>
                <w:color w:val="000000"/>
                <w:sz w:val="18"/>
                <w:szCs w:val="18"/>
              </w:rPr>
            </w:pPr>
            <w:r>
              <w:rPr>
                <w:rFonts w:ascii="Tahoma" w:hAnsi="Tahoma" w:cs="Tahoma"/>
                <w:color w:val="000000"/>
                <w:sz w:val="18"/>
                <w:szCs w:val="18"/>
              </w:rPr>
              <w:t>2.200.000</w:t>
            </w:r>
          </w:p>
        </w:tc>
        <w:tc>
          <w:tcPr>
            <w:tcW w:w="3175" w:type="dxa"/>
            <w:tcBorders>
              <w:top w:val="single" w:sz="8" w:space="0" w:color="BFBFBF"/>
              <w:left w:val="single" w:sz="8" w:space="0" w:color="BFBFBF"/>
              <w:bottom w:val="single" w:sz="8" w:space="0" w:color="BFBFBF"/>
            </w:tcBorders>
            <w:shd w:val="clear" w:color="auto" w:fill="auto"/>
            <w:noWrap/>
            <w:tcMar>
              <w:top w:w="0" w:type="dxa"/>
              <w:left w:w="70" w:type="dxa"/>
              <w:bottom w:w="0" w:type="dxa"/>
              <w:right w:w="70" w:type="dxa"/>
            </w:tcMar>
            <w:vAlign w:val="center"/>
          </w:tcPr>
          <w:p w14:paraId="04438644" w14:textId="77777777" w:rsidR="000D6D0A" w:rsidRDefault="00BB0E07">
            <w:pPr>
              <w:jc w:val="right"/>
              <w:rPr>
                <w:rFonts w:ascii="Tahoma" w:hAnsi="Tahoma" w:cs="Tahoma"/>
                <w:color w:val="000000"/>
                <w:sz w:val="18"/>
                <w:szCs w:val="18"/>
              </w:rPr>
            </w:pPr>
            <w:r>
              <w:rPr>
                <w:rFonts w:ascii="Tahoma" w:hAnsi="Tahoma" w:cs="Tahoma"/>
                <w:color w:val="000000"/>
                <w:sz w:val="18"/>
                <w:szCs w:val="18"/>
              </w:rPr>
              <w:t>301.000</w:t>
            </w:r>
          </w:p>
        </w:tc>
      </w:tr>
      <w:tr w:rsidR="000D6D0A" w14:paraId="030BC5E9" w14:textId="77777777">
        <w:trPr>
          <w:trHeight w:val="283"/>
        </w:trPr>
        <w:tc>
          <w:tcPr>
            <w:tcW w:w="1261" w:type="dxa"/>
            <w:tcBorders>
              <w:top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05627E0F" w14:textId="77777777" w:rsidR="000D6D0A" w:rsidRDefault="00BB0E07">
            <w:pPr>
              <w:rPr>
                <w:rFonts w:ascii="Tahoma" w:hAnsi="Tahoma" w:cs="Tahoma"/>
                <w:color w:val="000000"/>
                <w:sz w:val="18"/>
                <w:szCs w:val="18"/>
              </w:rPr>
            </w:pPr>
            <w:r>
              <w:rPr>
                <w:rFonts w:ascii="Tahoma" w:hAnsi="Tahoma" w:cs="Tahoma"/>
                <w:color w:val="000000"/>
                <w:sz w:val="18"/>
                <w:szCs w:val="18"/>
              </w:rPr>
              <w:t>2022</w:t>
            </w:r>
          </w:p>
        </w:tc>
        <w:tc>
          <w:tcPr>
            <w:tcW w:w="2410"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2E8ABB06" w14:textId="77777777" w:rsidR="000D6D0A" w:rsidRDefault="00BB0E07">
            <w:pPr>
              <w:jc w:val="center"/>
              <w:rPr>
                <w:rFonts w:ascii="Tahoma" w:hAnsi="Tahoma" w:cs="Tahoma"/>
                <w:color w:val="000000"/>
                <w:sz w:val="18"/>
                <w:szCs w:val="18"/>
              </w:rPr>
            </w:pPr>
            <w:r>
              <w:rPr>
                <w:rFonts w:ascii="Tahoma" w:hAnsi="Tahoma" w:cs="Tahoma"/>
                <w:color w:val="000000"/>
                <w:sz w:val="18"/>
                <w:szCs w:val="18"/>
              </w:rPr>
              <w:t>3</w:t>
            </w:r>
          </w:p>
        </w:tc>
        <w:tc>
          <w:tcPr>
            <w:tcW w:w="2126"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1B35AA27" w14:textId="77777777" w:rsidR="000D6D0A" w:rsidRDefault="00BB0E07">
            <w:pPr>
              <w:jc w:val="right"/>
              <w:rPr>
                <w:rFonts w:ascii="Tahoma" w:hAnsi="Tahoma" w:cs="Tahoma"/>
                <w:color w:val="000000"/>
                <w:sz w:val="18"/>
                <w:szCs w:val="18"/>
              </w:rPr>
            </w:pPr>
            <w:r>
              <w:rPr>
                <w:rFonts w:ascii="Tahoma" w:hAnsi="Tahoma" w:cs="Tahoma"/>
                <w:color w:val="000000"/>
                <w:sz w:val="18"/>
                <w:szCs w:val="18"/>
              </w:rPr>
              <w:t>3.517.000</w:t>
            </w:r>
          </w:p>
        </w:tc>
        <w:tc>
          <w:tcPr>
            <w:tcW w:w="3175" w:type="dxa"/>
            <w:tcBorders>
              <w:top w:val="single" w:sz="8" w:space="0" w:color="BFBFBF"/>
              <w:left w:val="single" w:sz="8" w:space="0" w:color="BFBFBF"/>
              <w:bottom w:val="single" w:sz="8" w:space="0" w:color="BFBFBF"/>
            </w:tcBorders>
            <w:shd w:val="clear" w:color="auto" w:fill="auto"/>
            <w:noWrap/>
            <w:tcMar>
              <w:top w:w="0" w:type="dxa"/>
              <w:left w:w="70" w:type="dxa"/>
              <w:bottom w:w="0" w:type="dxa"/>
              <w:right w:w="70" w:type="dxa"/>
            </w:tcMar>
            <w:vAlign w:val="center"/>
          </w:tcPr>
          <w:p w14:paraId="74CD4CE4" w14:textId="77777777" w:rsidR="000D6D0A" w:rsidRDefault="00BB0E07">
            <w:pPr>
              <w:jc w:val="right"/>
              <w:rPr>
                <w:rFonts w:ascii="Tahoma" w:hAnsi="Tahoma" w:cs="Tahoma"/>
                <w:color w:val="000000"/>
                <w:sz w:val="18"/>
                <w:szCs w:val="18"/>
              </w:rPr>
            </w:pPr>
            <w:r>
              <w:rPr>
                <w:rFonts w:ascii="Tahoma" w:hAnsi="Tahoma" w:cs="Tahoma"/>
                <w:color w:val="000000"/>
                <w:sz w:val="18"/>
                <w:szCs w:val="18"/>
              </w:rPr>
              <w:t>620.000</w:t>
            </w:r>
          </w:p>
        </w:tc>
      </w:tr>
      <w:tr w:rsidR="00003484" w14:paraId="094E7DC6" w14:textId="77777777">
        <w:trPr>
          <w:trHeight w:val="283"/>
        </w:trPr>
        <w:tc>
          <w:tcPr>
            <w:tcW w:w="1261" w:type="dxa"/>
            <w:tcBorders>
              <w:top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3FA9C4BE" w14:textId="0C03522B" w:rsidR="00003484" w:rsidRDefault="00003484">
            <w:pPr>
              <w:rPr>
                <w:rFonts w:ascii="Tahoma" w:hAnsi="Tahoma" w:cs="Tahoma"/>
                <w:color w:val="000000"/>
                <w:sz w:val="18"/>
                <w:szCs w:val="18"/>
              </w:rPr>
            </w:pPr>
            <w:r>
              <w:rPr>
                <w:rFonts w:ascii="Tahoma" w:hAnsi="Tahoma" w:cs="Tahoma"/>
                <w:color w:val="000000"/>
                <w:sz w:val="18"/>
                <w:szCs w:val="18"/>
              </w:rPr>
              <w:t>2023</w:t>
            </w:r>
          </w:p>
        </w:tc>
        <w:tc>
          <w:tcPr>
            <w:tcW w:w="2410"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6EED7806" w14:textId="3E9AF074" w:rsidR="00003484" w:rsidRDefault="00003484">
            <w:pPr>
              <w:jc w:val="center"/>
              <w:rPr>
                <w:rFonts w:ascii="Tahoma" w:hAnsi="Tahoma" w:cs="Tahoma"/>
                <w:color w:val="000000"/>
                <w:sz w:val="18"/>
                <w:szCs w:val="18"/>
              </w:rPr>
            </w:pPr>
            <w:r>
              <w:rPr>
                <w:rFonts w:ascii="Tahoma" w:hAnsi="Tahoma" w:cs="Tahoma"/>
                <w:color w:val="000000"/>
                <w:sz w:val="18"/>
                <w:szCs w:val="18"/>
              </w:rPr>
              <w:t>1</w:t>
            </w:r>
          </w:p>
        </w:tc>
        <w:tc>
          <w:tcPr>
            <w:tcW w:w="2126" w:type="dxa"/>
            <w:tcBorders>
              <w:top w:val="single" w:sz="8" w:space="0" w:color="BFBFBF"/>
              <w:left w:val="single" w:sz="8" w:space="0" w:color="BFBFBF"/>
              <w:bottom w:val="single" w:sz="8" w:space="0" w:color="BFBFBF"/>
              <w:right w:val="single" w:sz="8" w:space="0" w:color="BFBFBF"/>
            </w:tcBorders>
            <w:shd w:val="clear" w:color="auto" w:fill="auto"/>
            <w:noWrap/>
            <w:tcMar>
              <w:top w:w="0" w:type="dxa"/>
              <w:left w:w="70" w:type="dxa"/>
              <w:bottom w:w="0" w:type="dxa"/>
              <w:right w:w="70" w:type="dxa"/>
            </w:tcMar>
            <w:vAlign w:val="center"/>
          </w:tcPr>
          <w:p w14:paraId="27227791" w14:textId="53DA5126" w:rsidR="00003484" w:rsidRDefault="00003484">
            <w:pPr>
              <w:jc w:val="right"/>
              <w:rPr>
                <w:rFonts w:ascii="Tahoma" w:hAnsi="Tahoma" w:cs="Tahoma"/>
                <w:color w:val="000000"/>
                <w:sz w:val="18"/>
                <w:szCs w:val="18"/>
              </w:rPr>
            </w:pPr>
            <w:r>
              <w:rPr>
                <w:rFonts w:ascii="Tahoma" w:hAnsi="Tahoma" w:cs="Tahoma"/>
                <w:color w:val="000000"/>
                <w:sz w:val="18"/>
                <w:szCs w:val="18"/>
              </w:rPr>
              <w:t>1.500.000</w:t>
            </w:r>
          </w:p>
        </w:tc>
        <w:tc>
          <w:tcPr>
            <w:tcW w:w="3175" w:type="dxa"/>
            <w:tcBorders>
              <w:top w:val="single" w:sz="8" w:space="0" w:color="BFBFBF"/>
              <w:left w:val="single" w:sz="8" w:space="0" w:color="BFBFBF"/>
              <w:bottom w:val="single" w:sz="8" w:space="0" w:color="BFBFBF"/>
            </w:tcBorders>
            <w:shd w:val="clear" w:color="auto" w:fill="auto"/>
            <w:noWrap/>
            <w:tcMar>
              <w:top w:w="0" w:type="dxa"/>
              <w:left w:w="70" w:type="dxa"/>
              <w:bottom w:w="0" w:type="dxa"/>
              <w:right w:w="70" w:type="dxa"/>
            </w:tcMar>
            <w:vAlign w:val="center"/>
          </w:tcPr>
          <w:p w14:paraId="7051B30A" w14:textId="796802C1" w:rsidR="00003484" w:rsidRDefault="00003484">
            <w:pPr>
              <w:jc w:val="right"/>
              <w:rPr>
                <w:rFonts w:ascii="Tahoma" w:hAnsi="Tahoma" w:cs="Tahoma"/>
                <w:color w:val="000000"/>
                <w:sz w:val="18"/>
                <w:szCs w:val="18"/>
              </w:rPr>
            </w:pPr>
            <w:r>
              <w:rPr>
                <w:rFonts w:ascii="Tahoma" w:hAnsi="Tahoma" w:cs="Tahoma"/>
                <w:color w:val="000000"/>
                <w:sz w:val="18"/>
                <w:szCs w:val="18"/>
              </w:rPr>
              <w:t>-</w:t>
            </w:r>
          </w:p>
        </w:tc>
      </w:tr>
      <w:tr w:rsidR="00003484" w:rsidRPr="00003484" w14:paraId="13969224" w14:textId="77777777" w:rsidTr="00003484">
        <w:trPr>
          <w:trHeight w:val="283"/>
        </w:trPr>
        <w:tc>
          <w:tcPr>
            <w:tcW w:w="1261" w:type="dxa"/>
            <w:tcBorders>
              <w:top w:val="single" w:sz="8" w:space="0" w:color="BFBFBF"/>
              <w:bottom w:val="single" w:sz="8" w:space="0" w:color="BFBFBF"/>
              <w:right w:val="single" w:sz="8" w:space="0" w:color="BFBFBF"/>
            </w:tcBorders>
            <w:shd w:val="clear" w:color="auto" w:fill="0098BA"/>
            <w:noWrap/>
            <w:tcMar>
              <w:top w:w="0" w:type="dxa"/>
              <w:left w:w="70" w:type="dxa"/>
              <w:bottom w:w="0" w:type="dxa"/>
              <w:right w:w="70" w:type="dxa"/>
            </w:tcMar>
            <w:vAlign w:val="center"/>
          </w:tcPr>
          <w:p w14:paraId="75B43184" w14:textId="77777777" w:rsidR="000D6D0A" w:rsidRPr="00003484" w:rsidRDefault="00BB0E07">
            <w:pPr>
              <w:rPr>
                <w:rFonts w:ascii="Tahoma" w:hAnsi="Tahoma" w:cs="Tahoma"/>
                <w:bCs/>
                <w:color w:val="FFFFFF" w:themeColor="background1"/>
                <w:sz w:val="18"/>
                <w:szCs w:val="18"/>
              </w:rPr>
            </w:pPr>
            <w:r w:rsidRPr="00003484">
              <w:rPr>
                <w:rFonts w:ascii="Tahoma" w:hAnsi="Tahoma" w:cs="Tahoma"/>
                <w:bCs/>
                <w:color w:val="FFFFFF" w:themeColor="background1"/>
                <w:sz w:val="18"/>
                <w:szCs w:val="18"/>
              </w:rPr>
              <w:t>Total</w:t>
            </w:r>
          </w:p>
        </w:tc>
        <w:tc>
          <w:tcPr>
            <w:tcW w:w="2410" w:type="dxa"/>
            <w:tcBorders>
              <w:top w:val="single" w:sz="8" w:space="0" w:color="BFBFBF"/>
              <w:left w:val="single" w:sz="8" w:space="0" w:color="BFBFBF"/>
              <w:bottom w:val="single" w:sz="8" w:space="0" w:color="BFBFBF"/>
              <w:right w:val="single" w:sz="8" w:space="0" w:color="BFBFBF"/>
            </w:tcBorders>
            <w:shd w:val="clear" w:color="auto" w:fill="0098BA"/>
            <w:noWrap/>
            <w:tcMar>
              <w:top w:w="0" w:type="dxa"/>
              <w:left w:w="70" w:type="dxa"/>
              <w:bottom w:w="0" w:type="dxa"/>
              <w:right w:w="70" w:type="dxa"/>
            </w:tcMar>
            <w:vAlign w:val="center"/>
          </w:tcPr>
          <w:p w14:paraId="1CDC85CD" w14:textId="4E456EBD" w:rsidR="000D6D0A" w:rsidRPr="00003484" w:rsidRDefault="00BB0E07">
            <w:pPr>
              <w:jc w:val="center"/>
              <w:rPr>
                <w:bCs/>
                <w:color w:val="FFFFFF" w:themeColor="background1"/>
              </w:rPr>
            </w:pPr>
            <w:r w:rsidRPr="00003484">
              <w:rPr>
                <w:rFonts w:ascii="Tahoma" w:hAnsi="Tahoma" w:cs="Tahoma"/>
                <w:bCs/>
                <w:color w:val="FFFFFF" w:themeColor="background1"/>
                <w:sz w:val="18"/>
                <w:szCs w:val="18"/>
              </w:rPr>
              <w:t>3</w:t>
            </w:r>
            <w:r w:rsidR="00003484" w:rsidRPr="00003484">
              <w:rPr>
                <w:rFonts w:ascii="Tahoma" w:hAnsi="Tahoma" w:cs="Tahoma"/>
                <w:bCs/>
                <w:color w:val="FFFFFF" w:themeColor="background1"/>
                <w:sz w:val="18"/>
                <w:szCs w:val="18"/>
              </w:rPr>
              <w:t>3</w:t>
            </w:r>
          </w:p>
        </w:tc>
        <w:tc>
          <w:tcPr>
            <w:tcW w:w="2126" w:type="dxa"/>
            <w:tcBorders>
              <w:top w:val="single" w:sz="8" w:space="0" w:color="BFBFBF"/>
              <w:left w:val="single" w:sz="8" w:space="0" w:color="BFBFBF"/>
              <w:bottom w:val="single" w:sz="8" w:space="0" w:color="BFBFBF"/>
              <w:right w:val="single" w:sz="8" w:space="0" w:color="BFBFBF"/>
            </w:tcBorders>
            <w:shd w:val="clear" w:color="auto" w:fill="0098BA"/>
            <w:noWrap/>
            <w:tcMar>
              <w:top w:w="0" w:type="dxa"/>
              <w:left w:w="70" w:type="dxa"/>
              <w:bottom w:w="0" w:type="dxa"/>
              <w:right w:w="70" w:type="dxa"/>
            </w:tcMar>
            <w:vAlign w:val="center"/>
          </w:tcPr>
          <w:p w14:paraId="5305C2CB" w14:textId="194B8C95" w:rsidR="000D6D0A" w:rsidRPr="00003484" w:rsidRDefault="00BB0E07">
            <w:pPr>
              <w:jc w:val="right"/>
              <w:rPr>
                <w:bCs/>
                <w:color w:val="FFFFFF" w:themeColor="background1"/>
              </w:rPr>
            </w:pPr>
            <w:r w:rsidRPr="00003484">
              <w:rPr>
                <w:rFonts w:ascii="Tahoma" w:hAnsi="Tahoma" w:cs="Tahoma"/>
                <w:bCs/>
                <w:color w:val="FFFFFF" w:themeColor="background1"/>
                <w:sz w:val="18"/>
                <w:szCs w:val="18"/>
              </w:rPr>
              <w:t>3</w:t>
            </w:r>
            <w:r w:rsidR="00003484" w:rsidRPr="00003484">
              <w:rPr>
                <w:rFonts w:ascii="Tahoma" w:hAnsi="Tahoma" w:cs="Tahoma"/>
                <w:bCs/>
                <w:color w:val="FFFFFF" w:themeColor="background1"/>
                <w:sz w:val="18"/>
                <w:szCs w:val="18"/>
              </w:rPr>
              <w:t>3</w:t>
            </w:r>
            <w:r w:rsidRPr="00003484">
              <w:rPr>
                <w:rFonts w:ascii="Tahoma" w:hAnsi="Tahoma" w:cs="Tahoma"/>
                <w:bCs/>
                <w:color w:val="FFFFFF" w:themeColor="background1"/>
                <w:sz w:val="18"/>
                <w:szCs w:val="18"/>
              </w:rPr>
              <w:t>.</w:t>
            </w:r>
            <w:r w:rsidR="00003484" w:rsidRPr="00003484">
              <w:rPr>
                <w:rFonts w:ascii="Tahoma" w:hAnsi="Tahoma" w:cs="Tahoma"/>
                <w:bCs/>
                <w:color w:val="FFFFFF" w:themeColor="background1"/>
                <w:sz w:val="18"/>
                <w:szCs w:val="18"/>
              </w:rPr>
              <w:t>5</w:t>
            </w:r>
            <w:r w:rsidRPr="00003484">
              <w:rPr>
                <w:rFonts w:ascii="Tahoma" w:hAnsi="Tahoma" w:cs="Tahoma"/>
                <w:bCs/>
                <w:color w:val="FFFFFF" w:themeColor="background1"/>
                <w:sz w:val="18"/>
                <w:szCs w:val="18"/>
              </w:rPr>
              <w:t>93.077</w:t>
            </w:r>
          </w:p>
        </w:tc>
        <w:tc>
          <w:tcPr>
            <w:tcW w:w="3175" w:type="dxa"/>
            <w:tcBorders>
              <w:top w:val="single" w:sz="8" w:space="0" w:color="BFBFBF"/>
              <w:left w:val="single" w:sz="8" w:space="0" w:color="BFBFBF"/>
              <w:bottom w:val="single" w:sz="8" w:space="0" w:color="BFBFBF"/>
            </w:tcBorders>
            <w:shd w:val="clear" w:color="auto" w:fill="0098BA"/>
            <w:noWrap/>
            <w:tcMar>
              <w:top w:w="0" w:type="dxa"/>
              <w:left w:w="70" w:type="dxa"/>
              <w:bottom w:w="0" w:type="dxa"/>
              <w:right w:w="70" w:type="dxa"/>
            </w:tcMar>
            <w:vAlign w:val="center"/>
          </w:tcPr>
          <w:p w14:paraId="1F0EBDDD" w14:textId="77777777" w:rsidR="000D6D0A" w:rsidRPr="00003484" w:rsidRDefault="00BB0E07">
            <w:pPr>
              <w:jc w:val="right"/>
              <w:rPr>
                <w:bCs/>
                <w:color w:val="FFFFFF" w:themeColor="background1"/>
              </w:rPr>
            </w:pPr>
            <w:r w:rsidRPr="00003484">
              <w:rPr>
                <w:rFonts w:ascii="Tahoma" w:hAnsi="Tahoma" w:cs="Tahoma"/>
                <w:bCs/>
                <w:color w:val="FFFFFF" w:themeColor="background1"/>
                <w:sz w:val="18"/>
                <w:szCs w:val="18"/>
              </w:rPr>
              <w:t>5.451.000</w:t>
            </w:r>
          </w:p>
        </w:tc>
      </w:tr>
    </w:tbl>
    <w:p w14:paraId="1271342A" w14:textId="07F0E23A" w:rsidR="000D6D0A" w:rsidRDefault="00BB0E07">
      <w:pPr>
        <w:jc w:val="both"/>
        <w:rPr>
          <w:rFonts w:ascii="Tahoma" w:hAnsi="Tahoma" w:cs="Tahoma"/>
          <w:bCs/>
          <w:color w:val="000000"/>
          <w:sz w:val="18"/>
          <w:szCs w:val="18"/>
        </w:rPr>
      </w:pPr>
      <w:r w:rsidRPr="00003484">
        <w:rPr>
          <w:rFonts w:ascii="Tahoma" w:hAnsi="Tahoma" w:cs="Tahoma"/>
          <w:b/>
          <w:color w:val="000000"/>
          <w:sz w:val="18"/>
          <w:szCs w:val="18"/>
        </w:rPr>
        <w:t>Dados obtidos em</w:t>
      </w:r>
      <w:r>
        <w:rPr>
          <w:rFonts w:ascii="Tahoma" w:hAnsi="Tahoma" w:cs="Tahoma"/>
          <w:bCs/>
          <w:color w:val="000000"/>
          <w:sz w:val="18"/>
          <w:szCs w:val="18"/>
        </w:rPr>
        <w:t xml:space="preserve">: </w:t>
      </w:r>
      <w:r w:rsidR="00003484">
        <w:rPr>
          <w:rFonts w:ascii="Tahoma" w:hAnsi="Tahoma" w:cs="Tahoma"/>
          <w:bCs/>
          <w:color w:val="000000"/>
          <w:sz w:val="18"/>
          <w:szCs w:val="18"/>
        </w:rPr>
        <w:t>fev</w:t>
      </w:r>
      <w:r>
        <w:rPr>
          <w:rFonts w:ascii="Tahoma" w:hAnsi="Tahoma" w:cs="Tahoma"/>
          <w:bCs/>
          <w:color w:val="000000"/>
          <w:sz w:val="18"/>
          <w:szCs w:val="18"/>
        </w:rPr>
        <w:t>/202</w:t>
      </w:r>
      <w:r w:rsidR="00003484">
        <w:rPr>
          <w:rFonts w:ascii="Tahoma" w:hAnsi="Tahoma" w:cs="Tahoma"/>
          <w:bCs/>
          <w:color w:val="000000"/>
          <w:sz w:val="18"/>
          <w:szCs w:val="18"/>
        </w:rPr>
        <w:t>4</w:t>
      </w:r>
    </w:p>
    <w:p w14:paraId="1BEAF4DE" w14:textId="77777777" w:rsidR="000D6D0A" w:rsidRDefault="000D6D0A">
      <w:pPr>
        <w:jc w:val="both"/>
        <w:rPr>
          <w:rFonts w:ascii="Tahoma" w:hAnsi="Tahoma" w:cs="Tahoma"/>
          <w:bCs/>
          <w:color w:val="000000"/>
          <w:sz w:val="18"/>
          <w:szCs w:val="18"/>
        </w:rPr>
      </w:pPr>
    </w:p>
    <w:p w14:paraId="1FC0B8AD" w14:textId="10F3B822" w:rsidR="000D6D0A" w:rsidRDefault="00BB0E07" w:rsidP="0044520F">
      <w:pPr>
        <w:spacing w:after="120"/>
      </w:pPr>
      <w:r w:rsidRPr="00003484">
        <w:rPr>
          <w:rFonts w:ascii="Tahoma" w:hAnsi="Tahoma" w:cs="Tahoma"/>
          <w:color w:val="000000"/>
          <w:sz w:val="18"/>
          <w:szCs w:val="18"/>
        </w:rPr>
        <w:t>Nota:</w:t>
      </w:r>
      <w:r>
        <w:rPr>
          <w:rFonts w:ascii="Tahoma" w:hAnsi="Tahoma" w:cs="Tahoma"/>
          <w:color w:val="000000"/>
          <w:sz w:val="18"/>
          <w:szCs w:val="18"/>
        </w:rPr>
        <w:t xml:space="preserve"> O número de empresas contratadas pode incluir empresas que eventualmente já tenham sido desinvestidas ou que tenham rescindido o contrato com a Finep.</w:t>
      </w:r>
    </w:p>
    <w:p w14:paraId="67F255D4" w14:textId="77777777" w:rsidR="0044520F" w:rsidRPr="0044520F" w:rsidRDefault="0044520F" w:rsidP="00003484">
      <w:pPr>
        <w:spacing w:before="120" w:after="120" w:line="360" w:lineRule="auto"/>
        <w:rPr>
          <w:rFonts w:ascii="Tahoma" w:hAnsi="Tahoma" w:cs="Tahoma"/>
          <w:sz w:val="19"/>
          <w:szCs w:val="19"/>
        </w:rPr>
      </w:pPr>
    </w:p>
    <w:p w14:paraId="09DD3D36" w14:textId="3EDE0F00" w:rsidR="00003484" w:rsidRPr="00BB7B36" w:rsidRDefault="00003484" w:rsidP="00003484">
      <w:pPr>
        <w:spacing w:before="120" w:after="120" w:line="360" w:lineRule="auto"/>
        <w:rPr>
          <w:rFonts w:ascii="Tahoma" w:hAnsi="Tahoma" w:cs="Tahoma"/>
          <w:color w:val="0098BA"/>
          <w:sz w:val="19"/>
          <w:szCs w:val="19"/>
        </w:rPr>
      </w:pPr>
      <w:r w:rsidRPr="00BB7B36">
        <w:rPr>
          <w:rFonts w:ascii="Tahoma" w:hAnsi="Tahoma" w:cs="Tahoma"/>
          <w:color w:val="0098BA"/>
          <w:sz w:val="19"/>
          <w:szCs w:val="19"/>
        </w:rPr>
        <w:t>Exemplos de projetos</w:t>
      </w:r>
      <w:r>
        <w:rPr>
          <w:rFonts w:ascii="Tahoma" w:hAnsi="Tahoma" w:cs="Tahoma"/>
          <w:color w:val="0098BA"/>
          <w:sz w:val="19"/>
          <w:szCs w:val="19"/>
        </w:rPr>
        <w:t xml:space="preserve"> apoiados</w:t>
      </w:r>
    </w:p>
    <w:p w14:paraId="0EFE424C" w14:textId="6654EEF0" w:rsidR="000D6D0A" w:rsidRDefault="00003484">
      <w:pPr>
        <w:autoSpaceDE w:val="0"/>
        <w:spacing w:before="120" w:after="120" w:line="360" w:lineRule="auto"/>
        <w:textAlignment w:val="center"/>
        <w:rPr>
          <w:rFonts w:ascii="Tahoma" w:hAnsi="Tahoma" w:cs="Tahoma"/>
          <w:sz w:val="19"/>
          <w:szCs w:val="19"/>
        </w:rPr>
      </w:pPr>
      <w:r>
        <w:rPr>
          <w:noProof/>
        </w:rPr>
        <w:drawing>
          <wp:inline distT="0" distB="0" distL="0" distR="0" wp14:anchorId="635F5F4D" wp14:editId="0F8D2CDE">
            <wp:extent cx="5795010" cy="3259455"/>
            <wp:effectExtent l="0" t="0" r="0" b="0"/>
            <wp:docPr id="1092116536"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16536" name=""/>
                    <pic:cNvPicPr/>
                  </pic:nvPicPr>
                  <pic:blipFill>
                    <a:blip r:embed="rId174">
                      <a:extLst>
                        <a:ext uri="{96DAC541-7B7A-43D3-8B79-37D633B846F1}">
                          <asvg:svgBlip xmlns:asvg="http://schemas.microsoft.com/office/drawing/2016/SVG/main" r:embed="rId175"/>
                        </a:ext>
                      </a:extLst>
                    </a:blip>
                    <a:stretch>
                      <a:fillRect/>
                    </a:stretch>
                  </pic:blipFill>
                  <pic:spPr>
                    <a:xfrm>
                      <a:off x="0" y="0"/>
                      <a:ext cx="5795010" cy="3259455"/>
                    </a:xfrm>
                    <a:prstGeom prst="rect">
                      <a:avLst/>
                    </a:prstGeom>
                  </pic:spPr>
                </pic:pic>
              </a:graphicData>
            </a:graphic>
          </wp:inline>
        </w:drawing>
      </w:r>
    </w:p>
    <w:p w14:paraId="4B42179A" w14:textId="77777777" w:rsidR="000D6D0A" w:rsidRDefault="000D6D0A">
      <w:pPr>
        <w:autoSpaceDE w:val="0"/>
        <w:spacing w:before="120" w:after="120" w:line="360" w:lineRule="auto"/>
        <w:textAlignment w:val="center"/>
        <w:rPr>
          <w:rFonts w:ascii="Tahoma" w:hAnsi="Tahoma" w:cs="Tahoma"/>
          <w:sz w:val="19"/>
          <w:szCs w:val="19"/>
        </w:rPr>
      </w:pPr>
    </w:p>
    <w:p w14:paraId="41905F6A" w14:textId="15700F05" w:rsidR="000D6D0A" w:rsidRDefault="00003484">
      <w:pPr>
        <w:autoSpaceDE w:val="0"/>
        <w:spacing w:before="120" w:after="120" w:line="360" w:lineRule="auto"/>
        <w:textAlignment w:val="center"/>
        <w:rPr>
          <w:rFonts w:ascii="Tahoma" w:hAnsi="Tahoma" w:cs="Tahoma"/>
          <w:sz w:val="19"/>
          <w:szCs w:val="19"/>
        </w:rPr>
      </w:pPr>
      <w:r>
        <w:rPr>
          <w:noProof/>
        </w:rPr>
        <w:lastRenderedPageBreak/>
        <w:drawing>
          <wp:inline distT="0" distB="0" distL="0" distR="0" wp14:anchorId="06FCFB0D" wp14:editId="29E1FC10">
            <wp:extent cx="5795010" cy="3259455"/>
            <wp:effectExtent l="0" t="0" r="0" b="0"/>
            <wp:docPr id="1154851452"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51452" name=""/>
                    <pic:cNvPicPr/>
                  </pic:nvPicPr>
                  <pic:blipFill>
                    <a:blip r:embed="rId176">
                      <a:extLst>
                        <a:ext uri="{96DAC541-7B7A-43D3-8B79-37D633B846F1}">
                          <asvg:svgBlip xmlns:asvg="http://schemas.microsoft.com/office/drawing/2016/SVG/main" r:embed="rId177"/>
                        </a:ext>
                      </a:extLst>
                    </a:blip>
                    <a:stretch>
                      <a:fillRect/>
                    </a:stretch>
                  </pic:blipFill>
                  <pic:spPr>
                    <a:xfrm>
                      <a:off x="0" y="0"/>
                      <a:ext cx="5795010" cy="3259455"/>
                    </a:xfrm>
                    <a:prstGeom prst="rect">
                      <a:avLst/>
                    </a:prstGeom>
                  </pic:spPr>
                </pic:pic>
              </a:graphicData>
            </a:graphic>
          </wp:inline>
        </w:drawing>
      </w:r>
    </w:p>
    <w:p w14:paraId="5AA931A2" w14:textId="77777777" w:rsidR="000D6D0A" w:rsidRDefault="000D6D0A">
      <w:pPr>
        <w:autoSpaceDE w:val="0"/>
        <w:spacing w:before="120" w:after="120" w:line="360" w:lineRule="auto"/>
        <w:textAlignment w:val="center"/>
        <w:rPr>
          <w:rFonts w:ascii="Tahoma" w:hAnsi="Tahoma" w:cs="Tahoma"/>
          <w:sz w:val="19"/>
          <w:szCs w:val="19"/>
        </w:rPr>
      </w:pPr>
    </w:p>
    <w:p w14:paraId="27E202AC" w14:textId="1FEA458B" w:rsidR="000D6D0A" w:rsidRPr="00D90F24" w:rsidRDefault="00003484">
      <w:pPr>
        <w:autoSpaceDE w:val="0"/>
        <w:spacing w:before="120" w:after="120" w:line="360" w:lineRule="auto"/>
        <w:textAlignment w:val="center"/>
        <w:rPr>
          <w:rFonts w:ascii="Tahoma" w:hAnsi="Tahoma" w:cs="Tahoma"/>
          <w:sz w:val="19"/>
          <w:szCs w:val="19"/>
        </w:rPr>
      </w:pPr>
      <w:r>
        <w:rPr>
          <w:noProof/>
        </w:rPr>
        <w:drawing>
          <wp:inline distT="0" distB="0" distL="0" distR="0" wp14:anchorId="797A96A3" wp14:editId="67D6E7EE">
            <wp:extent cx="5795010" cy="3259455"/>
            <wp:effectExtent l="0" t="0" r="0" b="0"/>
            <wp:docPr id="82206543"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6543" name=""/>
                    <pic:cNvPicPr/>
                  </pic:nvPicPr>
                  <pic:blipFill>
                    <a:blip r:embed="rId178">
                      <a:extLst>
                        <a:ext uri="{96DAC541-7B7A-43D3-8B79-37D633B846F1}">
                          <asvg:svgBlip xmlns:asvg="http://schemas.microsoft.com/office/drawing/2016/SVG/main" r:embed="rId179"/>
                        </a:ext>
                      </a:extLst>
                    </a:blip>
                    <a:stretch>
                      <a:fillRect/>
                    </a:stretch>
                  </pic:blipFill>
                  <pic:spPr>
                    <a:xfrm>
                      <a:off x="0" y="0"/>
                      <a:ext cx="5795010" cy="3259455"/>
                    </a:xfrm>
                    <a:prstGeom prst="rect">
                      <a:avLst/>
                    </a:prstGeom>
                  </pic:spPr>
                </pic:pic>
              </a:graphicData>
            </a:graphic>
          </wp:inline>
        </w:drawing>
      </w:r>
    </w:p>
    <w:p w14:paraId="390F74AD" w14:textId="77777777" w:rsidR="00003484" w:rsidRPr="00003484" w:rsidRDefault="00003484" w:rsidP="00003484">
      <w:pPr>
        <w:autoSpaceDN w:val="0"/>
        <w:spacing w:before="120" w:after="120" w:line="360" w:lineRule="auto"/>
        <w:textAlignment w:val="baseline"/>
        <w:rPr>
          <w:rFonts w:ascii="Tahoma" w:hAnsi="Tahoma" w:cs="Tahoma"/>
          <w:sz w:val="19"/>
          <w:szCs w:val="19"/>
        </w:rPr>
      </w:pPr>
      <w:bookmarkStart w:id="121" w:name="_Toc131692242"/>
      <w:r w:rsidRPr="00003484">
        <w:rPr>
          <w:rFonts w:ascii="Tahoma" w:hAnsi="Tahoma" w:cs="Tahoma"/>
          <w:sz w:val="19"/>
          <w:szCs w:val="19"/>
        </w:rPr>
        <w:br w:type="page"/>
      </w:r>
    </w:p>
    <w:p w14:paraId="01C1008D" w14:textId="431ECD64" w:rsidR="000D6D0A" w:rsidRPr="0044520F" w:rsidRDefault="00BB0E07" w:rsidP="0044520F">
      <w:pPr>
        <w:pStyle w:val="Ttulo3"/>
        <w:spacing w:before="120" w:after="120" w:line="360" w:lineRule="auto"/>
        <w:rPr>
          <w:rFonts w:ascii="Tahoma" w:hAnsi="Tahoma" w:cs="Tahoma"/>
          <w:color w:val="0098BA"/>
          <w:sz w:val="22"/>
          <w:szCs w:val="22"/>
        </w:rPr>
      </w:pPr>
      <w:bookmarkStart w:id="122" w:name="_Toc163025257"/>
      <w:bookmarkStart w:id="123" w:name="_Toc162512594"/>
      <w:r w:rsidRPr="0044520F">
        <w:rPr>
          <w:rFonts w:ascii="Tahoma" w:hAnsi="Tahoma" w:cs="Tahoma"/>
          <w:color w:val="0098BA"/>
          <w:sz w:val="22"/>
          <w:szCs w:val="22"/>
        </w:rPr>
        <w:lastRenderedPageBreak/>
        <w:t>Capacitação e Premiação</w:t>
      </w:r>
      <w:bookmarkEnd w:id="117"/>
      <w:bookmarkEnd w:id="118"/>
      <w:bookmarkEnd w:id="119"/>
      <w:bookmarkEnd w:id="121"/>
      <w:bookmarkEnd w:id="122"/>
      <w:bookmarkEnd w:id="123"/>
    </w:p>
    <w:p w14:paraId="45DDAC89" w14:textId="77777777" w:rsidR="0044520F" w:rsidRPr="0044520F" w:rsidRDefault="0044520F" w:rsidP="0044520F">
      <w:pPr>
        <w:spacing w:before="120" w:after="120" w:line="360" w:lineRule="auto"/>
        <w:rPr>
          <w:rFonts w:ascii="Tahoma" w:hAnsi="Tahoma" w:cs="Tahoma"/>
          <w:sz w:val="19"/>
          <w:szCs w:val="19"/>
        </w:rPr>
      </w:pPr>
      <w:r w:rsidRPr="0044520F">
        <w:rPr>
          <w:rFonts w:ascii="Tahoma" w:hAnsi="Tahoma" w:cs="Tahoma"/>
          <w:sz w:val="19"/>
          <w:szCs w:val="19"/>
        </w:rPr>
        <w:t xml:space="preserve">A Finep tem executado duas ações de capacitação e premiação: o Programa Mulheres Inovadoras e o Prêmio Espaço Finep. O primeiro tem por objetivo incentivar o empreendedorismo feminino no país por meio da capacitação empresarial. Já o segundo oferece condições e conhecimentos para acelerar o desenvolvimento e o crescimento de </w:t>
      </w:r>
      <w:r w:rsidRPr="00254F4A">
        <w:rPr>
          <w:rFonts w:ascii="Tahoma" w:hAnsi="Tahoma"/>
          <w:i/>
          <w:sz w:val="19"/>
        </w:rPr>
        <w:t>startups</w:t>
      </w:r>
      <w:r w:rsidRPr="0044520F">
        <w:rPr>
          <w:rFonts w:ascii="Tahoma" w:hAnsi="Tahoma" w:cs="Tahoma"/>
          <w:sz w:val="19"/>
          <w:szCs w:val="19"/>
        </w:rPr>
        <w:t>.</w:t>
      </w:r>
    </w:p>
    <w:p w14:paraId="4389E622" w14:textId="0D7C1030" w:rsidR="0044520F" w:rsidRPr="0044520F" w:rsidRDefault="0044520F" w:rsidP="0044520F">
      <w:pPr>
        <w:spacing w:before="120" w:after="120" w:line="360" w:lineRule="auto"/>
        <w:rPr>
          <w:rFonts w:ascii="Tahoma" w:hAnsi="Tahoma" w:cs="Tahoma"/>
          <w:sz w:val="19"/>
          <w:szCs w:val="19"/>
        </w:rPr>
      </w:pPr>
      <w:r w:rsidRPr="0044520F">
        <w:rPr>
          <w:rFonts w:ascii="Tahoma" w:hAnsi="Tahoma" w:cs="Tahoma"/>
          <w:sz w:val="19"/>
          <w:szCs w:val="19"/>
        </w:rPr>
        <w:t xml:space="preserve">Entre 2019 e 2023 foram lançadas e executadas sete edições dos programas de aceleração de </w:t>
      </w:r>
      <w:r w:rsidRPr="00254F4A">
        <w:rPr>
          <w:rFonts w:ascii="Tahoma" w:hAnsi="Tahoma"/>
          <w:i/>
          <w:sz w:val="19"/>
        </w:rPr>
        <w:t>startups</w:t>
      </w:r>
      <w:r>
        <w:rPr>
          <w:rFonts w:ascii="Tahoma" w:hAnsi="Tahoma" w:cs="Tahoma"/>
          <w:sz w:val="19"/>
          <w:szCs w:val="19"/>
        </w:rPr>
        <w:t>: q</w:t>
      </w:r>
      <w:r w:rsidRPr="0044520F">
        <w:rPr>
          <w:rFonts w:ascii="Tahoma" w:hAnsi="Tahoma" w:cs="Tahoma"/>
          <w:sz w:val="19"/>
          <w:szCs w:val="19"/>
        </w:rPr>
        <w:t xml:space="preserve">uatro do </w:t>
      </w:r>
      <w:r>
        <w:rPr>
          <w:rFonts w:ascii="Tahoma" w:hAnsi="Tahoma" w:cs="Tahoma"/>
          <w:sz w:val="19"/>
          <w:szCs w:val="19"/>
        </w:rPr>
        <w:t>p</w:t>
      </w:r>
      <w:r w:rsidRPr="0044520F">
        <w:rPr>
          <w:rFonts w:ascii="Tahoma" w:hAnsi="Tahoma" w:cs="Tahoma"/>
          <w:sz w:val="19"/>
          <w:szCs w:val="19"/>
        </w:rPr>
        <w:t>rograma Mulheres Inovadoras e três do Prêmio Espaço Finep.</w:t>
      </w:r>
    </w:p>
    <w:p w14:paraId="0CBAD0E7" w14:textId="7D8AC824" w:rsidR="0044520F" w:rsidRPr="0044520F" w:rsidRDefault="0044520F" w:rsidP="0044520F">
      <w:pPr>
        <w:spacing w:before="120" w:after="120" w:line="360" w:lineRule="auto"/>
        <w:rPr>
          <w:rFonts w:ascii="Tahoma" w:hAnsi="Tahoma" w:cs="Tahoma"/>
          <w:sz w:val="19"/>
          <w:szCs w:val="19"/>
        </w:rPr>
      </w:pPr>
      <w:r w:rsidRPr="0044520F">
        <w:rPr>
          <w:rFonts w:ascii="Tahoma" w:hAnsi="Tahoma" w:cs="Tahoma"/>
          <w:sz w:val="19"/>
          <w:szCs w:val="19"/>
        </w:rPr>
        <w:t>Como resultado, aceler</w:t>
      </w:r>
      <w:r>
        <w:rPr>
          <w:rFonts w:ascii="Tahoma" w:hAnsi="Tahoma" w:cs="Tahoma"/>
          <w:sz w:val="19"/>
          <w:szCs w:val="19"/>
        </w:rPr>
        <w:t>amos</w:t>
      </w:r>
      <w:r w:rsidRPr="0044520F">
        <w:rPr>
          <w:rFonts w:ascii="Tahoma" w:hAnsi="Tahoma" w:cs="Tahoma"/>
          <w:sz w:val="19"/>
          <w:szCs w:val="19"/>
        </w:rPr>
        <w:t xml:space="preserve"> 144 </w:t>
      </w:r>
      <w:r w:rsidRPr="00254F4A">
        <w:rPr>
          <w:rFonts w:ascii="Tahoma" w:hAnsi="Tahoma"/>
          <w:i/>
          <w:sz w:val="19"/>
        </w:rPr>
        <w:t>startups</w:t>
      </w:r>
      <w:r w:rsidRPr="0044520F">
        <w:rPr>
          <w:rFonts w:ascii="Tahoma" w:hAnsi="Tahoma" w:cs="Tahoma"/>
          <w:sz w:val="19"/>
          <w:szCs w:val="19"/>
        </w:rPr>
        <w:t xml:space="preserve"> n</w:t>
      </w:r>
      <w:r>
        <w:rPr>
          <w:rFonts w:ascii="Tahoma" w:hAnsi="Tahoma" w:cs="Tahoma"/>
          <w:sz w:val="19"/>
          <w:szCs w:val="19"/>
        </w:rPr>
        <w:t>esse</w:t>
      </w:r>
      <w:r w:rsidRPr="0044520F">
        <w:rPr>
          <w:rFonts w:ascii="Tahoma" w:hAnsi="Tahoma" w:cs="Tahoma"/>
          <w:sz w:val="19"/>
          <w:szCs w:val="19"/>
        </w:rPr>
        <w:t xml:space="preserve"> período, premia</w:t>
      </w:r>
      <w:r>
        <w:rPr>
          <w:rFonts w:ascii="Tahoma" w:hAnsi="Tahoma" w:cs="Tahoma"/>
          <w:sz w:val="19"/>
          <w:szCs w:val="19"/>
        </w:rPr>
        <w:t>n</w:t>
      </w:r>
      <w:r w:rsidRPr="0044520F">
        <w:rPr>
          <w:rFonts w:ascii="Tahoma" w:hAnsi="Tahoma" w:cs="Tahoma"/>
          <w:sz w:val="19"/>
          <w:szCs w:val="19"/>
        </w:rPr>
        <w:t>do 92 delas com valores entre R$ 52 mil e R$ 150 mil. Um total de R$ 9,532 milhões foram usados na premiação das aceleradas.</w:t>
      </w:r>
    </w:p>
    <w:p w14:paraId="1EE28B16" w14:textId="7D159F3D" w:rsidR="0044520F" w:rsidRPr="0044520F" w:rsidRDefault="0044520F" w:rsidP="0044520F">
      <w:pPr>
        <w:spacing w:before="120" w:after="120" w:line="360" w:lineRule="auto"/>
        <w:rPr>
          <w:rFonts w:ascii="Tahoma" w:hAnsi="Tahoma" w:cs="Tahoma"/>
          <w:sz w:val="19"/>
          <w:szCs w:val="19"/>
        </w:rPr>
      </w:pPr>
      <w:r w:rsidRPr="0044520F">
        <w:rPr>
          <w:rFonts w:ascii="Tahoma" w:hAnsi="Tahoma" w:cs="Tahoma"/>
          <w:sz w:val="19"/>
          <w:szCs w:val="19"/>
        </w:rPr>
        <w:t xml:space="preserve">Paralelamente ao processo de capacitação e aceleração, </w:t>
      </w:r>
      <w:r>
        <w:rPr>
          <w:rFonts w:ascii="Tahoma" w:hAnsi="Tahoma" w:cs="Tahoma"/>
          <w:sz w:val="19"/>
          <w:szCs w:val="19"/>
        </w:rPr>
        <w:t>realizamos</w:t>
      </w:r>
      <w:r w:rsidRPr="0044520F">
        <w:rPr>
          <w:rFonts w:ascii="Tahoma" w:hAnsi="Tahoma" w:cs="Tahoma"/>
          <w:sz w:val="19"/>
          <w:szCs w:val="19"/>
        </w:rPr>
        <w:t xml:space="preserve"> diversas reuniões e eventos nas quais as empresas participantes dos programas tiveram contato com grandes empresas dos mais diversos setores, visando a formação de parcerias no desenvolvimento de inovações.</w:t>
      </w:r>
    </w:p>
    <w:p w14:paraId="73FE85F5" w14:textId="77777777" w:rsidR="0044520F" w:rsidRPr="0044520F" w:rsidRDefault="0044520F" w:rsidP="0044520F">
      <w:pPr>
        <w:spacing w:before="120" w:after="120" w:line="360" w:lineRule="auto"/>
        <w:rPr>
          <w:rFonts w:ascii="Tahoma" w:hAnsi="Tahoma" w:cs="Tahoma"/>
          <w:sz w:val="19"/>
          <w:szCs w:val="19"/>
        </w:rPr>
      </w:pPr>
    </w:p>
    <w:p w14:paraId="06660656" w14:textId="77777777" w:rsidR="0044520F" w:rsidRPr="0044520F" w:rsidRDefault="0044520F" w:rsidP="0044520F">
      <w:pPr>
        <w:spacing w:before="120" w:after="120" w:line="360" w:lineRule="auto"/>
        <w:rPr>
          <w:rFonts w:ascii="Tahoma" w:hAnsi="Tahoma" w:cs="Tahoma"/>
          <w:color w:val="0098BA"/>
          <w:sz w:val="19"/>
          <w:szCs w:val="19"/>
        </w:rPr>
      </w:pPr>
      <w:r w:rsidRPr="0044520F">
        <w:rPr>
          <w:rFonts w:ascii="Tahoma" w:hAnsi="Tahoma" w:cs="Tahoma"/>
          <w:color w:val="0098BA"/>
          <w:sz w:val="19"/>
          <w:szCs w:val="19"/>
        </w:rPr>
        <w:t>Mulheres Inovadoras</w:t>
      </w:r>
    </w:p>
    <w:p w14:paraId="13B087F7" w14:textId="5E7BA481" w:rsidR="0044520F" w:rsidRPr="0044520F" w:rsidRDefault="0044520F" w:rsidP="0044520F">
      <w:pPr>
        <w:spacing w:before="120" w:after="120" w:line="360" w:lineRule="auto"/>
        <w:rPr>
          <w:rFonts w:ascii="Tahoma" w:hAnsi="Tahoma" w:cs="Tahoma"/>
          <w:sz w:val="19"/>
          <w:szCs w:val="19"/>
        </w:rPr>
      </w:pPr>
      <w:r w:rsidRPr="0044520F">
        <w:rPr>
          <w:rFonts w:ascii="Tahoma" w:hAnsi="Tahoma" w:cs="Tahoma"/>
          <w:sz w:val="19"/>
          <w:szCs w:val="19"/>
        </w:rPr>
        <w:t xml:space="preserve">O </w:t>
      </w:r>
      <w:r>
        <w:rPr>
          <w:rFonts w:ascii="Tahoma" w:hAnsi="Tahoma" w:cs="Tahoma"/>
          <w:sz w:val="19"/>
          <w:szCs w:val="19"/>
        </w:rPr>
        <w:t>p</w:t>
      </w:r>
      <w:r w:rsidRPr="0044520F">
        <w:rPr>
          <w:rFonts w:ascii="Tahoma" w:hAnsi="Tahoma" w:cs="Tahoma"/>
          <w:sz w:val="19"/>
          <w:szCs w:val="19"/>
        </w:rPr>
        <w:t xml:space="preserve">rograma </w:t>
      </w:r>
      <w:hyperlink r:id="rId180" w:history="1">
        <w:r w:rsidRPr="0044520F">
          <w:rPr>
            <w:rStyle w:val="Hyperlink"/>
            <w:rFonts w:ascii="Tahoma" w:hAnsi="Tahoma" w:cs="Tahoma"/>
            <w:sz w:val="19"/>
            <w:szCs w:val="19"/>
          </w:rPr>
          <w:t>Mulheres Inovadoras</w:t>
        </w:r>
      </w:hyperlink>
      <w:r w:rsidRPr="0044520F">
        <w:rPr>
          <w:rFonts w:ascii="Tahoma" w:hAnsi="Tahoma" w:cs="Tahoma"/>
          <w:sz w:val="19"/>
          <w:szCs w:val="19"/>
        </w:rPr>
        <w:t xml:space="preserve"> tem abrangência nacional incluindo todas as regiões do país. Por meio de uma chamada pública</w:t>
      </w:r>
      <w:r>
        <w:rPr>
          <w:rFonts w:ascii="Tahoma" w:hAnsi="Tahoma" w:cs="Tahoma"/>
          <w:sz w:val="19"/>
          <w:szCs w:val="19"/>
        </w:rPr>
        <w:t>,</w:t>
      </w:r>
      <w:r w:rsidRPr="0044520F">
        <w:rPr>
          <w:rFonts w:ascii="Tahoma" w:hAnsi="Tahoma" w:cs="Tahoma"/>
          <w:sz w:val="19"/>
          <w:szCs w:val="19"/>
        </w:rPr>
        <w:t xml:space="preserve"> </w:t>
      </w:r>
      <w:r>
        <w:rPr>
          <w:rFonts w:ascii="Tahoma" w:hAnsi="Tahoma" w:cs="Tahoma"/>
          <w:sz w:val="19"/>
          <w:szCs w:val="19"/>
        </w:rPr>
        <w:t>selecionamos</w:t>
      </w:r>
      <w:r w:rsidRPr="0044520F">
        <w:rPr>
          <w:rFonts w:ascii="Tahoma" w:hAnsi="Tahoma" w:cs="Tahoma"/>
          <w:sz w:val="19"/>
          <w:szCs w:val="19"/>
        </w:rPr>
        <w:t xml:space="preserve"> empresas para participar de uma capacitação empresarial que enfoca os principais desafios para a participação feminina no empreendedorismo. </w:t>
      </w:r>
    </w:p>
    <w:p w14:paraId="60F1ED25" w14:textId="50B034E6" w:rsidR="0044520F" w:rsidRPr="0044520F" w:rsidRDefault="0044520F" w:rsidP="0044520F">
      <w:pPr>
        <w:spacing w:before="120" w:after="120" w:line="360" w:lineRule="auto"/>
        <w:rPr>
          <w:rFonts w:ascii="Tahoma" w:hAnsi="Tahoma" w:cs="Tahoma"/>
          <w:sz w:val="19"/>
          <w:szCs w:val="19"/>
        </w:rPr>
      </w:pPr>
      <w:r w:rsidRPr="0044520F">
        <w:rPr>
          <w:rFonts w:ascii="Tahoma" w:hAnsi="Tahoma" w:cs="Tahoma"/>
          <w:sz w:val="19"/>
          <w:szCs w:val="19"/>
        </w:rPr>
        <w:t xml:space="preserve">Em 2023, a Finep lançou e </w:t>
      </w:r>
      <w:r w:rsidRPr="006827DF">
        <w:rPr>
          <w:rFonts w:ascii="Tahoma" w:hAnsi="Tahoma" w:cs="Tahoma"/>
          <w:sz w:val="19"/>
          <w:szCs w:val="19"/>
        </w:rPr>
        <w:t xml:space="preserve">executou a </w:t>
      </w:r>
      <w:hyperlink r:id="rId181" w:history="1">
        <w:r w:rsidR="006827DF" w:rsidRPr="006827DF">
          <w:rPr>
            <w:rStyle w:val="Hyperlink"/>
            <w:rFonts w:ascii="Tahoma" w:hAnsi="Tahoma" w:cs="Tahoma"/>
            <w:sz w:val="19"/>
            <w:szCs w:val="19"/>
          </w:rPr>
          <w:t>4ª edição do Mulheres Inovadoras</w:t>
        </w:r>
      </w:hyperlink>
      <w:r w:rsidRPr="006827DF">
        <w:rPr>
          <w:rFonts w:ascii="Tahoma" w:hAnsi="Tahoma" w:cs="Tahoma"/>
          <w:sz w:val="19"/>
          <w:szCs w:val="19"/>
        </w:rPr>
        <w:t xml:space="preserve">, acelerando </w:t>
      </w:r>
      <w:hyperlink r:id="rId182" w:history="1">
        <w:r w:rsidR="006827DF" w:rsidRPr="006827DF">
          <w:rPr>
            <w:rStyle w:val="Hyperlink"/>
            <w:rFonts w:ascii="Tahoma" w:hAnsi="Tahoma" w:cs="Tahoma"/>
            <w:sz w:val="19"/>
            <w:szCs w:val="19"/>
          </w:rPr>
          <w:t>31 startups</w:t>
        </w:r>
      </w:hyperlink>
      <w:r w:rsidRPr="006827DF">
        <w:rPr>
          <w:rFonts w:ascii="Tahoma" w:hAnsi="Tahoma" w:cs="Tahoma"/>
          <w:sz w:val="19"/>
          <w:szCs w:val="19"/>
        </w:rPr>
        <w:t>, sendo</w:t>
      </w:r>
      <w:r w:rsidRPr="0044520F">
        <w:rPr>
          <w:rFonts w:ascii="Tahoma" w:hAnsi="Tahoma" w:cs="Tahoma"/>
          <w:sz w:val="19"/>
          <w:szCs w:val="19"/>
        </w:rPr>
        <w:t xml:space="preserve"> sete da região Nordeste e seis de cada uma das outras regiões do Brasil. Ao final, todas as</w:t>
      </w:r>
      <w:r w:rsidRPr="00254F4A">
        <w:rPr>
          <w:rFonts w:ascii="Tahoma" w:hAnsi="Tahoma"/>
          <w:i/>
          <w:sz w:val="19"/>
        </w:rPr>
        <w:t xml:space="preserve"> </w:t>
      </w:r>
      <w:r w:rsidRPr="006827DF">
        <w:rPr>
          <w:rFonts w:ascii="Tahoma" w:hAnsi="Tahoma"/>
          <w:iCs/>
          <w:sz w:val="19"/>
        </w:rPr>
        <w:t>startups</w:t>
      </w:r>
      <w:r w:rsidRPr="006827DF">
        <w:rPr>
          <w:rFonts w:ascii="Tahoma" w:hAnsi="Tahoma" w:cs="Tahoma"/>
          <w:iCs/>
          <w:sz w:val="19"/>
          <w:szCs w:val="19"/>
        </w:rPr>
        <w:t xml:space="preserve"> </w:t>
      </w:r>
      <w:r w:rsidRPr="0044520F">
        <w:rPr>
          <w:rFonts w:ascii="Tahoma" w:hAnsi="Tahoma" w:cs="Tahoma"/>
          <w:sz w:val="19"/>
          <w:szCs w:val="19"/>
        </w:rPr>
        <w:t>foram premiadas.</w:t>
      </w:r>
    </w:p>
    <w:p w14:paraId="3C23A026" w14:textId="77777777" w:rsidR="0044520F" w:rsidRPr="0044520F" w:rsidRDefault="0044520F" w:rsidP="0044520F">
      <w:pPr>
        <w:spacing w:before="120" w:after="120" w:line="360" w:lineRule="auto"/>
        <w:rPr>
          <w:rFonts w:ascii="Tahoma" w:hAnsi="Tahoma" w:cs="Tahoma"/>
          <w:sz w:val="19"/>
          <w:szCs w:val="19"/>
        </w:rPr>
      </w:pPr>
    </w:p>
    <w:p w14:paraId="3DC3A760" w14:textId="77777777" w:rsidR="0044520F" w:rsidRPr="0044520F" w:rsidRDefault="0044520F" w:rsidP="0044520F">
      <w:pPr>
        <w:spacing w:before="120" w:after="120" w:line="360" w:lineRule="auto"/>
        <w:rPr>
          <w:rFonts w:ascii="Tahoma" w:hAnsi="Tahoma" w:cs="Tahoma"/>
          <w:color w:val="0098BA"/>
          <w:sz w:val="19"/>
          <w:szCs w:val="19"/>
        </w:rPr>
      </w:pPr>
      <w:r w:rsidRPr="0044520F">
        <w:rPr>
          <w:rFonts w:ascii="Tahoma" w:hAnsi="Tahoma" w:cs="Tahoma"/>
          <w:color w:val="0098BA"/>
          <w:sz w:val="19"/>
          <w:szCs w:val="19"/>
        </w:rPr>
        <w:t>Espaço Finep</w:t>
      </w:r>
    </w:p>
    <w:p w14:paraId="059C8EA9" w14:textId="09902EFC" w:rsidR="0044520F" w:rsidRPr="0044520F" w:rsidRDefault="0044520F" w:rsidP="0044520F">
      <w:pPr>
        <w:spacing w:before="120" w:after="120" w:line="360" w:lineRule="auto"/>
        <w:rPr>
          <w:rFonts w:ascii="Tahoma" w:hAnsi="Tahoma" w:cs="Tahoma"/>
          <w:sz w:val="19"/>
          <w:szCs w:val="19"/>
        </w:rPr>
      </w:pPr>
      <w:r w:rsidRPr="0044520F">
        <w:rPr>
          <w:rFonts w:ascii="Tahoma" w:hAnsi="Tahoma" w:cs="Tahoma"/>
          <w:sz w:val="19"/>
          <w:szCs w:val="19"/>
        </w:rPr>
        <w:t xml:space="preserve">O </w:t>
      </w:r>
      <w:hyperlink r:id="rId183" w:history="1">
        <w:r w:rsidRPr="006827DF">
          <w:rPr>
            <w:rStyle w:val="Hyperlink"/>
            <w:rFonts w:ascii="Tahoma" w:hAnsi="Tahoma" w:cs="Tahoma"/>
            <w:sz w:val="19"/>
            <w:szCs w:val="19"/>
          </w:rPr>
          <w:t>Espaço Finep</w:t>
        </w:r>
      </w:hyperlink>
      <w:r w:rsidRPr="0044520F">
        <w:rPr>
          <w:rFonts w:ascii="Tahoma" w:hAnsi="Tahoma" w:cs="Tahoma"/>
          <w:sz w:val="19"/>
          <w:szCs w:val="19"/>
        </w:rPr>
        <w:t xml:space="preserve">, localizado no 2º andar da nossa sede no Rio de Janeiro, oferece aceleração a </w:t>
      </w:r>
      <w:r w:rsidRPr="00254F4A">
        <w:rPr>
          <w:rFonts w:ascii="Tahoma" w:hAnsi="Tahoma"/>
          <w:i/>
          <w:sz w:val="19"/>
        </w:rPr>
        <w:t>startups</w:t>
      </w:r>
      <w:r w:rsidRPr="0044520F">
        <w:rPr>
          <w:rFonts w:ascii="Tahoma" w:hAnsi="Tahoma" w:cs="Tahoma"/>
          <w:sz w:val="19"/>
          <w:szCs w:val="19"/>
        </w:rPr>
        <w:t xml:space="preserve"> por meio de capacitações, mentorias e da organização de reuniões de negócios com potenciais parceiros e clientes. A cada edição um conjunto de </w:t>
      </w:r>
      <w:r w:rsidRPr="00254F4A">
        <w:rPr>
          <w:rFonts w:ascii="Tahoma" w:hAnsi="Tahoma"/>
          <w:i/>
          <w:sz w:val="19"/>
        </w:rPr>
        <w:t>startups</w:t>
      </w:r>
      <w:r w:rsidRPr="0044520F">
        <w:rPr>
          <w:rFonts w:ascii="Tahoma" w:hAnsi="Tahoma" w:cs="Tahoma"/>
          <w:sz w:val="19"/>
          <w:szCs w:val="19"/>
        </w:rPr>
        <w:t xml:space="preserve"> é selecionado. Após passar pelas três fases do programa e por uma banca avaliadora, as </w:t>
      </w:r>
      <w:r w:rsidRPr="00254F4A">
        <w:rPr>
          <w:rFonts w:ascii="Tahoma" w:hAnsi="Tahoma"/>
          <w:i/>
          <w:sz w:val="19"/>
        </w:rPr>
        <w:t>startups</w:t>
      </w:r>
      <w:r w:rsidRPr="0044520F">
        <w:rPr>
          <w:rFonts w:ascii="Tahoma" w:hAnsi="Tahoma" w:cs="Tahoma"/>
          <w:sz w:val="19"/>
          <w:szCs w:val="19"/>
        </w:rPr>
        <w:t xml:space="preserve"> podem receber um prêmio.</w:t>
      </w:r>
    </w:p>
    <w:p w14:paraId="25C4D425" w14:textId="0C72DF60" w:rsidR="0044520F" w:rsidRDefault="0044520F" w:rsidP="0044520F">
      <w:pPr>
        <w:spacing w:before="120" w:after="120" w:line="360" w:lineRule="auto"/>
        <w:rPr>
          <w:rFonts w:ascii="Tahoma" w:hAnsi="Tahoma" w:cs="Tahoma"/>
          <w:sz w:val="19"/>
          <w:szCs w:val="19"/>
        </w:rPr>
      </w:pPr>
      <w:r w:rsidRPr="0044520F">
        <w:rPr>
          <w:rFonts w:ascii="Tahoma" w:hAnsi="Tahoma" w:cs="Tahoma"/>
          <w:sz w:val="19"/>
          <w:szCs w:val="19"/>
        </w:rPr>
        <w:t>Todavia, não foi executada uma nova edição do programa em 2023, tendo em vista a reestruturação dos programas de aceleração, visando aumentar o conjunto de empresas apoiadas.</w:t>
      </w:r>
    </w:p>
    <w:p w14:paraId="073EC9EB" w14:textId="77777777" w:rsidR="0044520F" w:rsidRDefault="0044520F" w:rsidP="0044520F">
      <w:pPr>
        <w:spacing w:before="120" w:after="120" w:line="360" w:lineRule="auto"/>
        <w:rPr>
          <w:rFonts w:ascii="Tahoma" w:hAnsi="Tahoma" w:cs="Tahoma"/>
          <w:sz w:val="19"/>
          <w:szCs w:val="19"/>
        </w:rPr>
      </w:pPr>
    </w:p>
    <w:p w14:paraId="1BE9C5EF" w14:textId="70EBAD44" w:rsidR="0044520F" w:rsidRDefault="0044520F">
      <w:pPr>
        <w:autoSpaceDN w:val="0"/>
        <w:spacing w:after="160"/>
        <w:textAlignment w:val="baseline"/>
        <w:rPr>
          <w:rFonts w:ascii="Tahoma" w:hAnsi="Tahoma" w:cs="Tahoma"/>
          <w:sz w:val="19"/>
          <w:szCs w:val="19"/>
        </w:rPr>
      </w:pPr>
      <w:r>
        <w:rPr>
          <w:rFonts w:ascii="Tahoma" w:hAnsi="Tahoma" w:cs="Tahoma"/>
          <w:sz w:val="19"/>
          <w:szCs w:val="19"/>
        </w:rPr>
        <w:br w:type="page"/>
      </w:r>
    </w:p>
    <w:p w14:paraId="725B26E8" w14:textId="77777777" w:rsidR="000D6D0A" w:rsidRPr="00EC66CC" w:rsidRDefault="00BB0E07" w:rsidP="00EC66CC">
      <w:pPr>
        <w:pStyle w:val="Ttulo3"/>
        <w:spacing w:before="120" w:after="120" w:line="360" w:lineRule="auto"/>
        <w:rPr>
          <w:rFonts w:ascii="Tahoma" w:hAnsi="Tahoma" w:cs="Tahoma"/>
          <w:color w:val="0098BA"/>
          <w:sz w:val="22"/>
          <w:szCs w:val="22"/>
        </w:rPr>
      </w:pPr>
      <w:bookmarkStart w:id="124" w:name="_Toc105003788"/>
      <w:bookmarkStart w:id="125" w:name="_Toc105006471"/>
      <w:bookmarkStart w:id="126" w:name="_Toc131692243"/>
      <w:bookmarkStart w:id="127" w:name="_Toc163025258"/>
      <w:bookmarkStart w:id="128" w:name="_Toc162512595"/>
      <w:bookmarkStart w:id="129" w:name="_Hlk126846198"/>
      <w:bookmarkEnd w:id="120"/>
      <w:r w:rsidRPr="00EC66CC">
        <w:rPr>
          <w:rFonts w:ascii="Tahoma" w:hAnsi="Tahoma" w:cs="Tahoma"/>
          <w:color w:val="0098BA"/>
          <w:sz w:val="22"/>
          <w:szCs w:val="22"/>
        </w:rPr>
        <w:lastRenderedPageBreak/>
        <w:t>Investimento em FIPs exclusivos</w:t>
      </w:r>
      <w:bookmarkEnd w:id="124"/>
      <w:bookmarkEnd w:id="125"/>
      <w:bookmarkEnd w:id="126"/>
      <w:bookmarkEnd w:id="127"/>
      <w:bookmarkEnd w:id="128"/>
    </w:p>
    <w:p w14:paraId="50BBAF8C" w14:textId="77777777" w:rsidR="00DB7155" w:rsidRDefault="00DB7155" w:rsidP="00DB7155">
      <w:pPr>
        <w:autoSpaceDE w:val="0"/>
        <w:spacing w:before="120" w:after="120" w:line="360" w:lineRule="auto"/>
        <w:textAlignment w:val="center"/>
        <w:rPr>
          <w:rFonts w:ascii="Tahoma" w:hAnsi="Tahoma" w:cs="Tahoma"/>
          <w:sz w:val="19"/>
          <w:szCs w:val="19"/>
        </w:rPr>
      </w:pPr>
      <w:r>
        <w:rPr>
          <w:rFonts w:ascii="Tahoma" w:hAnsi="Tahoma" w:cs="Tahoma"/>
          <w:sz w:val="19"/>
          <w:szCs w:val="19"/>
        </w:rPr>
        <w:t>Neste instrumento, a Finep é a única cotista em um fundo que investe em empresas inovadoras.</w:t>
      </w:r>
    </w:p>
    <w:p w14:paraId="4B4A8093" w14:textId="77777777" w:rsidR="00DB7155" w:rsidRDefault="00DB7155" w:rsidP="00DB7155">
      <w:pPr>
        <w:autoSpaceDE w:val="0"/>
        <w:spacing w:before="120" w:after="120" w:line="360" w:lineRule="auto"/>
        <w:textAlignment w:val="center"/>
        <w:rPr>
          <w:rFonts w:ascii="Tahoma" w:hAnsi="Tahoma" w:cs="Tahoma"/>
          <w:sz w:val="19"/>
          <w:szCs w:val="19"/>
        </w:rPr>
      </w:pPr>
    </w:p>
    <w:p w14:paraId="043364C4" w14:textId="77777777" w:rsidR="00DB7155" w:rsidRPr="00DB7155" w:rsidRDefault="00DB7155" w:rsidP="00DB7155">
      <w:pPr>
        <w:spacing w:before="120" w:after="120" w:line="360" w:lineRule="auto"/>
        <w:rPr>
          <w:rFonts w:ascii="Tahoma" w:hAnsi="Tahoma" w:cs="Tahoma"/>
          <w:color w:val="0098BA"/>
          <w:sz w:val="19"/>
          <w:szCs w:val="19"/>
        </w:rPr>
      </w:pPr>
      <w:r w:rsidRPr="00DB7155">
        <w:rPr>
          <w:rFonts w:ascii="Tahoma" w:hAnsi="Tahoma" w:cs="Tahoma"/>
          <w:color w:val="0098BA"/>
          <w:sz w:val="19"/>
          <w:szCs w:val="19"/>
        </w:rPr>
        <w:t>FIP Inova Empresa</w:t>
      </w:r>
    </w:p>
    <w:p w14:paraId="42AD731E" w14:textId="24E32FA6" w:rsidR="00DB7155" w:rsidRPr="00F45136" w:rsidRDefault="00DB7155" w:rsidP="00DB7155">
      <w:pPr>
        <w:spacing w:before="120" w:after="120" w:line="360" w:lineRule="auto"/>
        <w:jc w:val="both"/>
        <w:rPr>
          <w:rFonts w:ascii="Tahoma" w:hAnsi="Tahoma" w:cs="Tahoma"/>
          <w:sz w:val="19"/>
          <w:szCs w:val="19"/>
        </w:rPr>
      </w:pPr>
      <w:r w:rsidRPr="00F45136">
        <w:rPr>
          <w:rFonts w:ascii="Tahoma" w:hAnsi="Tahoma" w:cs="Tahoma"/>
          <w:sz w:val="19"/>
          <w:szCs w:val="19"/>
        </w:rPr>
        <w:t>Historicamente, do total de R$ 380 milhões comprometidos, a Finep aportou até o final de 202</w:t>
      </w:r>
      <w:r>
        <w:rPr>
          <w:rFonts w:ascii="Tahoma" w:hAnsi="Tahoma" w:cs="Tahoma"/>
          <w:sz w:val="19"/>
          <w:szCs w:val="19"/>
        </w:rPr>
        <w:t>3</w:t>
      </w:r>
      <w:r w:rsidRPr="00F45136">
        <w:rPr>
          <w:rFonts w:ascii="Tahoma" w:hAnsi="Tahoma" w:cs="Tahoma"/>
          <w:sz w:val="19"/>
          <w:szCs w:val="19"/>
        </w:rPr>
        <w:t>, R$ 1</w:t>
      </w:r>
      <w:r>
        <w:rPr>
          <w:rFonts w:ascii="Tahoma" w:hAnsi="Tahoma" w:cs="Tahoma"/>
          <w:sz w:val="19"/>
          <w:szCs w:val="19"/>
        </w:rPr>
        <w:t>40</w:t>
      </w:r>
      <w:r w:rsidRPr="00F45136">
        <w:rPr>
          <w:rFonts w:ascii="Tahoma" w:hAnsi="Tahoma" w:cs="Tahoma"/>
          <w:sz w:val="19"/>
          <w:szCs w:val="19"/>
        </w:rPr>
        <w:t xml:space="preserve"> milhões com recursos próprios, tendo investido em quatro empresas. No momento, o Fundo está com duas empresas no portfólio</w:t>
      </w:r>
      <w:r>
        <w:rPr>
          <w:rFonts w:ascii="Tahoma" w:hAnsi="Tahoma" w:cs="Tahoma"/>
          <w:sz w:val="19"/>
          <w:szCs w:val="19"/>
        </w:rPr>
        <w:t>,</w:t>
      </w:r>
      <w:r w:rsidRPr="00F45136">
        <w:rPr>
          <w:rFonts w:ascii="Tahoma" w:hAnsi="Tahoma" w:cs="Tahoma"/>
          <w:sz w:val="19"/>
          <w:szCs w:val="19"/>
        </w:rPr>
        <w:t xml:space="preserve"> tendo retornado R$ 58,2 milhões à Finep </w:t>
      </w:r>
      <w:r>
        <w:rPr>
          <w:rFonts w:ascii="Tahoma" w:hAnsi="Tahoma" w:cs="Tahoma"/>
          <w:sz w:val="19"/>
          <w:szCs w:val="19"/>
        </w:rPr>
        <w:t xml:space="preserve">até dezembro de </w:t>
      </w:r>
      <w:r w:rsidRPr="00F45136">
        <w:rPr>
          <w:rFonts w:ascii="Tahoma" w:hAnsi="Tahoma" w:cs="Tahoma"/>
          <w:sz w:val="19"/>
          <w:szCs w:val="19"/>
        </w:rPr>
        <w:t>202</w:t>
      </w:r>
      <w:r>
        <w:rPr>
          <w:rFonts w:ascii="Tahoma" w:hAnsi="Tahoma" w:cs="Tahoma"/>
          <w:sz w:val="19"/>
          <w:szCs w:val="19"/>
        </w:rPr>
        <w:t>3</w:t>
      </w:r>
      <w:r w:rsidRPr="00F45136">
        <w:rPr>
          <w:rFonts w:ascii="Tahoma" w:hAnsi="Tahoma" w:cs="Tahoma"/>
          <w:sz w:val="19"/>
          <w:szCs w:val="19"/>
        </w:rPr>
        <w:t xml:space="preserve"> com a venda de uma das empresas da carteira</w:t>
      </w:r>
      <w:r>
        <w:rPr>
          <w:rFonts w:ascii="Tahoma" w:hAnsi="Tahoma" w:cs="Tahoma"/>
          <w:sz w:val="19"/>
          <w:szCs w:val="19"/>
        </w:rPr>
        <w:t xml:space="preserve"> (ocorrida em 2022)</w:t>
      </w:r>
      <w:r w:rsidRPr="00F45136">
        <w:rPr>
          <w:rFonts w:ascii="Tahoma" w:hAnsi="Tahoma" w:cs="Tahoma"/>
          <w:sz w:val="19"/>
          <w:szCs w:val="19"/>
        </w:rPr>
        <w:t>.</w:t>
      </w:r>
    </w:p>
    <w:p w14:paraId="13261D6B" w14:textId="77777777" w:rsidR="00DB7155" w:rsidRDefault="00DB7155" w:rsidP="00DB7155">
      <w:pPr>
        <w:spacing w:before="120" w:after="120" w:line="360" w:lineRule="auto"/>
        <w:jc w:val="both"/>
        <w:rPr>
          <w:rFonts w:ascii="Tahoma" w:hAnsi="Tahoma" w:cs="Tahoma"/>
          <w:sz w:val="19"/>
          <w:szCs w:val="19"/>
        </w:rPr>
      </w:pPr>
      <w:r w:rsidRPr="00F45136">
        <w:rPr>
          <w:rFonts w:ascii="Tahoma" w:hAnsi="Tahoma" w:cs="Tahoma"/>
          <w:sz w:val="19"/>
          <w:szCs w:val="19"/>
        </w:rPr>
        <w:t>Em uma das empresas o investimento não obteve êxito devido a condições adversas do mercado e, portanto, não houve retorno para o Fundo.</w:t>
      </w:r>
    </w:p>
    <w:p w14:paraId="38434B58" w14:textId="77777777" w:rsidR="00DB7155" w:rsidRDefault="00DB7155" w:rsidP="00DB7155">
      <w:pPr>
        <w:spacing w:before="120" w:after="120" w:line="360" w:lineRule="auto"/>
        <w:jc w:val="both"/>
        <w:rPr>
          <w:rFonts w:ascii="Tahoma" w:hAnsi="Tahoma" w:cs="Tahoma"/>
          <w:sz w:val="19"/>
          <w:szCs w:val="19"/>
        </w:rPr>
      </w:pPr>
      <w:r w:rsidRPr="00AD2DA5">
        <w:rPr>
          <w:rFonts w:ascii="Tahoma" w:hAnsi="Tahoma" w:cs="Tahoma"/>
          <w:sz w:val="19"/>
          <w:szCs w:val="19"/>
        </w:rPr>
        <w:t xml:space="preserve">A gestora do Fundo, Angra Partners, vem trabalhando ativamente na prospecção de empresas para a montagem de um portfólio com cerca seis novos investimentos </w:t>
      </w:r>
      <w:r>
        <w:rPr>
          <w:rFonts w:ascii="Tahoma" w:hAnsi="Tahoma" w:cs="Tahoma"/>
          <w:sz w:val="19"/>
          <w:szCs w:val="19"/>
        </w:rPr>
        <w:t>ao longo d</w:t>
      </w:r>
      <w:r w:rsidRPr="00AD2DA5">
        <w:rPr>
          <w:rFonts w:ascii="Tahoma" w:hAnsi="Tahoma" w:cs="Tahoma"/>
          <w:sz w:val="19"/>
          <w:szCs w:val="19"/>
        </w:rPr>
        <w:t xml:space="preserve">os próximos </w:t>
      </w:r>
      <w:r>
        <w:rPr>
          <w:rFonts w:ascii="Tahoma" w:hAnsi="Tahoma" w:cs="Tahoma"/>
          <w:sz w:val="19"/>
          <w:szCs w:val="19"/>
        </w:rPr>
        <w:t>três</w:t>
      </w:r>
      <w:r w:rsidRPr="00AD2DA5">
        <w:rPr>
          <w:rFonts w:ascii="Tahoma" w:hAnsi="Tahoma" w:cs="Tahoma"/>
          <w:sz w:val="19"/>
          <w:szCs w:val="19"/>
        </w:rPr>
        <w:t xml:space="preserve"> anos.</w:t>
      </w:r>
    </w:p>
    <w:p w14:paraId="08AE2EA9" w14:textId="77777777" w:rsidR="00DB7155" w:rsidRPr="00DB7155" w:rsidRDefault="00DB7155" w:rsidP="00DB7155">
      <w:pPr>
        <w:autoSpaceDE w:val="0"/>
        <w:spacing w:before="120" w:after="120" w:line="360" w:lineRule="auto"/>
        <w:textAlignment w:val="center"/>
        <w:rPr>
          <w:rFonts w:ascii="Tahoma" w:hAnsi="Tahoma" w:cs="Tahoma"/>
          <w:sz w:val="19"/>
          <w:szCs w:val="19"/>
        </w:rPr>
      </w:pPr>
    </w:p>
    <w:p w14:paraId="1D40CC02" w14:textId="77777777" w:rsidR="00DB7155" w:rsidRPr="00DB7155" w:rsidRDefault="00DB7155" w:rsidP="00DB7155">
      <w:pPr>
        <w:spacing w:before="120" w:after="120" w:line="360" w:lineRule="auto"/>
        <w:rPr>
          <w:rFonts w:ascii="Tahoma" w:hAnsi="Tahoma" w:cs="Tahoma"/>
          <w:color w:val="0098BA"/>
          <w:sz w:val="19"/>
          <w:szCs w:val="19"/>
        </w:rPr>
      </w:pPr>
      <w:r w:rsidRPr="00DB7155">
        <w:rPr>
          <w:rFonts w:ascii="Tahoma" w:hAnsi="Tahoma" w:cs="Tahoma"/>
          <w:color w:val="0098BA"/>
          <w:sz w:val="19"/>
          <w:szCs w:val="19"/>
        </w:rPr>
        <w:t>FIP Finep Startup 1</w:t>
      </w:r>
    </w:p>
    <w:p w14:paraId="12B11C01" w14:textId="77777777" w:rsidR="00DB7155" w:rsidRDefault="00DB7155" w:rsidP="00DB7155">
      <w:pPr>
        <w:spacing w:before="120" w:after="120" w:line="360" w:lineRule="auto"/>
        <w:jc w:val="both"/>
        <w:rPr>
          <w:rFonts w:ascii="Tahoma" w:hAnsi="Tahoma" w:cs="Tahoma"/>
          <w:sz w:val="19"/>
          <w:szCs w:val="19"/>
        </w:rPr>
      </w:pPr>
      <w:r w:rsidRPr="004E0A0A">
        <w:rPr>
          <w:rFonts w:ascii="Tahoma" w:hAnsi="Tahoma" w:cs="Tahoma"/>
          <w:sz w:val="19"/>
          <w:szCs w:val="19"/>
        </w:rPr>
        <w:t xml:space="preserve">Em 2023, a Finep lançou uma Chamada Pública para constituição do FIP Finep Startup 1, tendo sido selecionada a KPTL Investimentos como gestora do Fundo e a Lions Trust como administradora. O objetivo é que o Fundo receba os ativos investidos pela Finep no âmbito do Programa Finep </w:t>
      </w:r>
      <w:r w:rsidRPr="00254F4A">
        <w:rPr>
          <w:rFonts w:ascii="Tahoma" w:hAnsi="Tahoma"/>
          <w:sz w:val="19"/>
        </w:rPr>
        <w:t>Startup</w:t>
      </w:r>
      <w:r w:rsidRPr="004E0A0A">
        <w:rPr>
          <w:rFonts w:ascii="Tahoma" w:hAnsi="Tahoma" w:cs="Tahoma"/>
          <w:sz w:val="19"/>
          <w:szCs w:val="19"/>
        </w:rPr>
        <w:t xml:space="preserve">. O capital comprometido pela Finep no FIP é de R$ 45 milhões. </w:t>
      </w:r>
    </w:p>
    <w:p w14:paraId="59DF2E8F" w14:textId="19D44E59" w:rsidR="00DB7155" w:rsidRDefault="00DB7155" w:rsidP="00DB7155">
      <w:pPr>
        <w:spacing w:before="120" w:after="120" w:line="360" w:lineRule="auto"/>
        <w:jc w:val="both"/>
        <w:rPr>
          <w:rFonts w:ascii="Tahoma" w:hAnsi="Tahoma" w:cs="Tahoma"/>
          <w:sz w:val="19"/>
          <w:szCs w:val="19"/>
        </w:rPr>
      </w:pPr>
      <w:r w:rsidRPr="004E0A0A">
        <w:rPr>
          <w:rFonts w:ascii="Tahoma" w:hAnsi="Tahoma" w:cs="Tahoma"/>
          <w:sz w:val="19"/>
          <w:szCs w:val="19"/>
        </w:rPr>
        <w:t xml:space="preserve">O FIP Finep </w:t>
      </w:r>
      <w:r w:rsidRPr="00254F4A">
        <w:rPr>
          <w:rFonts w:ascii="Tahoma" w:hAnsi="Tahoma"/>
          <w:sz w:val="19"/>
        </w:rPr>
        <w:t>Startup</w:t>
      </w:r>
      <w:r w:rsidRPr="004E0A0A">
        <w:rPr>
          <w:rFonts w:ascii="Tahoma" w:hAnsi="Tahoma" w:cs="Tahoma"/>
          <w:sz w:val="19"/>
          <w:szCs w:val="19"/>
        </w:rPr>
        <w:t xml:space="preserve"> 1 foi registrado na </w:t>
      </w:r>
      <w:r>
        <w:rPr>
          <w:rFonts w:ascii="Tahoma" w:hAnsi="Tahoma" w:cs="Tahoma"/>
          <w:sz w:val="19"/>
          <w:szCs w:val="19"/>
        </w:rPr>
        <w:t>Comissão de Valores Mobiliários (</w:t>
      </w:r>
      <w:r w:rsidRPr="004E0A0A">
        <w:rPr>
          <w:rFonts w:ascii="Tahoma" w:hAnsi="Tahoma" w:cs="Tahoma"/>
          <w:sz w:val="19"/>
          <w:szCs w:val="19"/>
        </w:rPr>
        <w:t>CVM</w:t>
      </w:r>
      <w:r>
        <w:rPr>
          <w:rFonts w:ascii="Tahoma" w:hAnsi="Tahoma" w:cs="Tahoma"/>
          <w:sz w:val="19"/>
          <w:szCs w:val="19"/>
        </w:rPr>
        <w:t>)</w:t>
      </w:r>
      <w:r w:rsidRPr="004E0A0A">
        <w:rPr>
          <w:rFonts w:ascii="Tahoma" w:hAnsi="Tahoma" w:cs="Tahoma"/>
          <w:sz w:val="19"/>
          <w:szCs w:val="19"/>
        </w:rPr>
        <w:t xml:space="preserve"> ao final de 2023 e já contava, em 31/12/2023, com quatro ativos integralizados pela Finep. Novas integralizações de ativos deverão ocorrer ao longo dos próximos anos e a gestora terá um papel relevante no apoio ao crescimento das</w:t>
      </w:r>
      <w:r w:rsidRPr="00254F4A">
        <w:rPr>
          <w:rFonts w:ascii="Tahoma" w:hAnsi="Tahoma"/>
          <w:sz w:val="19"/>
        </w:rPr>
        <w:t xml:space="preserve"> startups</w:t>
      </w:r>
      <w:r w:rsidRPr="004E0A0A">
        <w:rPr>
          <w:rFonts w:ascii="Tahoma" w:hAnsi="Tahoma" w:cs="Tahoma"/>
          <w:sz w:val="19"/>
          <w:szCs w:val="19"/>
        </w:rPr>
        <w:t>, inclusive com a possibilidade de investimentos adicionais (</w:t>
      </w:r>
      <w:r w:rsidRPr="00254F4A">
        <w:rPr>
          <w:rFonts w:ascii="Tahoma" w:hAnsi="Tahoma"/>
          <w:sz w:val="19"/>
        </w:rPr>
        <w:t>follow on</w:t>
      </w:r>
      <w:r w:rsidRPr="004E0A0A">
        <w:rPr>
          <w:rFonts w:ascii="Tahoma" w:hAnsi="Tahoma" w:cs="Tahoma"/>
          <w:sz w:val="19"/>
          <w:szCs w:val="19"/>
        </w:rPr>
        <w:t>), e na busca de desinvestimentos visando gerar um resultado positivo ao Fundo.</w:t>
      </w:r>
    </w:p>
    <w:p w14:paraId="089A55BD" w14:textId="77777777" w:rsidR="00DB7155" w:rsidRDefault="00DB7155" w:rsidP="00DB7155">
      <w:pPr>
        <w:spacing w:before="120" w:after="120" w:line="360" w:lineRule="auto"/>
        <w:jc w:val="both"/>
        <w:rPr>
          <w:rFonts w:ascii="Tahoma" w:hAnsi="Tahoma" w:cs="Tahoma"/>
          <w:sz w:val="19"/>
          <w:szCs w:val="19"/>
        </w:rPr>
      </w:pPr>
    </w:p>
    <w:p w14:paraId="03E19A5C" w14:textId="77777777" w:rsidR="00DB7155" w:rsidRPr="00FC4780" w:rsidRDefault="00DB7155" w:rsidP="00DB7155">
      <w:pPr>
        <w:spacing w:before="120" w:after="120" w:line="360" w:lineRule="auto"/>
        <w:jc w:val="both"/>
        <w:rPr>
          <w:rFonts w:ascii="Tahoma" w:hAnsi="Tahoma" w:cs="Tahoma"/>
          <w:sz w:val="19"/>
          <w:szCs w:val="19"/>
        </w:rPr>
      </w:pPr>
    </w:p>
    <w:p w14:paraId="36036CEA" w14:textId="77777777" w:rsidR="00DB7155" w:rsidRPr="00DB7155" w:rsidRDefault="00DB7155" w:rsidP="00DB7155">
      <w:pPr>
        <w:pStyle w:val="Ttulo3"/>
        <w:spacing w:before="120" w:after="120" w:line="360" w:lineRule="auto"/>
        <w:rPr>
          <w:rFonts w:ascii="Tahoma" w:hAnsi="Tahoma" w:cs="Tahoma"/>
          <w:color w:val="0098BA"/>
          <w:sz w:val="22"/>
          <w:szCs w:val="22"/>
        </w:rPr>
      </w:pPr>
      <w:bookmarkStart w:id="130" w:name="_Toc105008219"/>
      <w:bookmarkStart w:id="131" w:name="_Toc163025259"/>
      <w:bookmarkStart w:id="132" w:name="_Toc162512596"/>
      <w:r w:rsidRPr="00DB7155">
        <w:rPr>
          <w:rFonts w:ascii="Tahoma" w:hAnsi="Tahoma" w:cs="Tahoma"/>
          <w:color w:val="0098BA"/>
          <w:sz w:val="22"/>
          <w:szCs w:val="22"/>
        </w:rPr>
        <w:t>Investimento em FIPs não exclusivos</w:t>
      </w:r>
      <w:bookmarkEnd w:id="130"/>
      <w:bookmarkEnd w:id="131"/>
      <w:bookmarkEnd w:id="132"/>
    </w:p>
    <w:p w14:paraId="3C762A4B" w14:textId="5CAFFA93" w:rsidR="00DB7155" w:rsidRDefault="00DB7155" w:rsidP="00DB7155">
      <w:pPr>
        <w:spacing w:before="120" w:after="120" w:line="360" w:lineRule="auto"/>
        <w:jc w:val="both"/>
        <w:rPr>
          <w:rFonts w:ascii="Tahoma" w:hAnsi="Tahoma" w:cs="Tahoma"/>
          <w:sz w:val="19"/>
          <w:szCs w:val="19"/>
        </w:rPr>
      </w:pPr>
      <w:r>
        <w:rPr>
          <w:rFonts w:ascii="Tahoma" w:hAnsi="Tahoma" w:cs="Tahoma"/>
          <w:sz w:val="19"/>
          <w:szCs w:val="19"/>
        </w:rPr>
        <w:t xml:space="preserve">Esta forma de investimento é realizada mediante a aquisição de cotas de FIPs em que há a participação de outros cotistas além da Finep, alavancando o investimento em inovação com recursos de parceiros públicos e privados. Essa estratégia de fomento impulsionou a criação da indústria de </w:t>
      </w:r>
      <w:r w:rsidRPr="00254F4A">
        <w:rPr>
          <w:rFonts w:ascii="Tahoma" w:hAnsi="Tahoma"/>
          <w:i/>
          <w:sz w:val="19"/>
        </w:rPr>
        <w:t>venture capital</w:t>
      </w:r>
      <w:r>
        <w:rPr>
          <w:rFonts w:ascii="Tahoma" w:hAnsi="Tahoma" w:cs="Tahoma"/>
          <w:sz w:val="19"/>
          <w:szCs w:val="19"/>
        </w:rPr>
        <w:t xml:space="preserve"> no Brasil durante os anos 2</w:t>
      </w:r>
      <w:r w:rsidR="00210336">
        <w:rPr>
          <w:rFonts w:ascii="Tahoma" w:hAnsi="Tahoma" w:cs="Tahoma"/>
          <w:sz w:val="19"/>
          <w:szCs w:val="19"/>
        </w:rPr>
        <w:t>.</w:t>
      </w:r>
      <w:r>
        <w:rPr>
          <w:rFonts w:ascii="Tahoma" w:hAnsi="Tahoma" w:cs="Tahoma"/>
          <w:sz w:val="19"/>
          <w:szCs w:val="19"/>
        </w:rPr>
        <w:t>000, por meio da atração de investidores, capacitação de gestores e investimento em empresas inovadoras.</w:t>
      </w:r>
    </w:p>
    <w:p w14:paraId="1C415E8F" w14:textId="551393BA" w:rsidR="00DB7155" w:rsidRDefault="00DB7155" w:rsidP="00DB7155">
      <w:pPr>
        <w:spacing w:before="120" w:after="120" w:line="360" w:lineRule="auto"/>
        <w:jc w:val="both"/>
        <w:rPr>
          <w:rFonts w:ascii="Tahoma" w:hAnsi="Tahoma" w:cs="Tahoma"/>
          <w:sz w:val="19"/>
          <w:szCs w:val="19"/>
        </w:rPr>
      </w:pPr>
      <w:r w:rsidRPr="00340814">
        <w:rPr>
          <w:rFonts w:ascii="Tahoma" w:hAnsi="Tahoma" w:cs="Tahoma"/>
          <w:sz w:val="19"/>
          <w:szCs w:val="19"/>
        </w:rPr>
        <w:t>Em 202</w:t>
      </w:r>
      <w:r>
        <w:rPr>
          <w:rFonts w:ascii="Tahoma" w:hAnsi="Tahoma" w:cs="Tahoma"/>
          <w:sz w:val="19"/>
          <w:szCs w:val="19"/>
        </w:rPr>
        <w:t>3, a partir da venda de empresas dos portifólios dos FIPs,</w:t>
      </w:r>
      <w:r w:rsidRPr="00340814">
        <w:rPr>
          <w:rFonts w:ascii="Tahoma" w:hAnsi="Tahoma" w:cs="Tahoma"/>
          <w:sz w:val="19"/>
          <w:szCs w:val="19"/>
        </w:rPr>
        <w:t xml:space="preserve"> </w:t>
      </w:r>
      <w:r>
        <w:rPr>
          <w:rFonts w:ascii="Tahoma" w:hAnsi="Tahoma" w:cs="Tahoma"/>
          <w:sz w:val="19"/>
          <w:szCs w:val="19"/>
        </w:rPr>
        <w:t xml:space="preserve">a Finep </w:t>
      </w:r>
      <w:r w:rsidRPr="00340814">
        <w:rPr>
          <w:rFonts w:ascii="Tahoma" w:hAnsi="Tahoma" w:cs="Tahoma"/>
          <w:sz w:val="19"/>
          <w:szCs w:val="19"/>
        </w:rPr>
        <w:t xml:space="preserve">retornou </w:t>
      </w:r>
      <w:r w:rsidRPr="00C7797E">
        <w:rPr>
          <w:rFonts w:ascii="Tahoma" w:hAnsi="Tahoma" w:cs="Tahoma"/>
          <w:sz w:val="19"/>
          <w:szCs w:val="19"/>
        </w:rPr>
        <w:t>R$ 65,8 milhões</w:t>
      </w:r>
      <w:r w:rsidRPr="00340814">
        <w:rPr>
          <w:rFonts w:ascii="Tahoma" w:hAnsi="Tahoma" w:cs="Tahoma"/>
          <w:sz w:val="19"/>
          <w:szCs w:val="19"/>
        </w:rPr>
        <w:t xml:space="preserve"> de recursos não reembolsáveis ao FNDCT. </w:t>
      </w:r>
      <w:r w:rsidR="00210336">
        <w:rPr>
          <w:rFonts w:ascii="Tahoma" w:hAnsi="Tahoma" w:cs="Tahoma"/>
          <w:sz w:val="19"/>
          <w:szCs w:val="19"/>
        </w:rPr>
        <w:t>Terminamos</w:t>
      </w:r>
      <w:r w:rsidRPr="00340814">
        <w:rPr>
          <w:rFonts w:ascii="Tahoma" w:hAnsi="Tahoma" w:cs="Tahoma"/>
          <w:sz w:val="19"/>
          <w:szCs w:val="19"/>
        </w:rPr>
        <w:t xml:space="preserve"> 202</w:t>
      </w:r>
      <w:r>
        <w:rPr>
          <w:rFonts w:ascii="Tahoma" w:hAnsi="Tahoma" w:cs="Tahoma"/>
          <w:sz w:val="19"/>
          <w:szCs w:val="19"/>
        </w:rPr>
        <w:t>3</w:t>
      </w:r>
      <w:r w:rsidRPr="00340814">
        <w:rPr>
          <w:rFonts w:ascii="Tahoma" w:hAnsi="Tahoma" w:cs="Tahoma"/>
          <w:sz w:val="19"/>
          <w:szCs w:val="19"/>
        </w:rPr>
        <w:t xml:space="preserve"> com </w:t>
      </w:r>
      <w:r>
        <w:rPr>
          <w:rFonts w:ascii="Tahoma" w:hAnsi="Tahoma" w:cs="Tahoma"/>
          <w:sz w:val="19"/>
          <w:szCs w:val="19"/>
        </w:rPr>
        <w:t>18</w:t>
      </w:r>
      <w:r w:rsidRPr="00340814">
        <w:rPr>
          <w:rFonts w:ascii="Tahoma" w:hAnsi="Tahoma" w:cs="Tahoma"/>
          <w:sz w:val="19"/>
          <w:szCs w:val="19"/>
        </w:rPr>
        <w:t xml:space="preserve"> fundos ativos e </w:t>
      </w:r>
      <w:r>
        <w:rPr>
          <w:rFonts w:ascii="Tahoma" w:hAnsi="Tahoma" w:cs="Tahoma"/>
          <w:sz w:val="19"/>
          <w:szCs w:val="19"/>
        </w:rPr>
        <w:t>90</w:t>
      </w:r>
      <w:r w:rsidRPr="00340814">
        <w:rPr>
          <w:rFonts w:ascii="Tahoma" w:hAnsi="Tahoma" w:cs="Tahoma"/>
          <w:sz w:val="19"/>
          <w:szCs w:val="19"/>
        </w:rPr>
        <w:t xml:space="preserve"> empresas nas carteiras desses fundos</w:t>
      </w:r>
      <w:r>
        <w:rPr>
          <w:rFonts w:ascii="Tahoma" w:hAnsi="Tahoma" w:cs="Tahoma"/>
          <w:sz w:val="19"/>
          <w:szCs w:val="19"/>
        </w:rPr>
        <w:t>, sendo que em 2022 a carteira era formada por 21 fundos e 102 investidas.</w:t>
      </w:r>
    </w:p>
    <w:p w14:paraId="12D5493A" w14:textId="77777777" w:rsidR="00DB7155" w:rsidRDefault="00DB7155" w:rsidP="00DB7155">
      <w:pPr>
        <w:spacing w:before="120" w:after="120" w:line="360" w:lineRule="auto"/>
        <w:rPr>
          <w:rFonts w:ascii="Tahoma" w:hAnsi="Tahoma" w:cs="Tahoma"/>
          <w:sz w:val="19"/>
          <w:szCs w:val="19"/>
        </w:rPr>
      </w:pPr>
    </w:p>
    <w:p w14:paraId="1B66EF2B" w14:textId="42343706" w:rsidR="00DB7155" w:rsidRPr="00210336" w:rsidRDefault="00210336" w:rsidP="00210336">
      <w:pPr>
        <w:rPr>
          <w:rFonts w:ascii="Tahoma" w:hAnsi="Tahoma" w:cs="Tahoma"/>
          <w:color w:val="0098BA"/>
          <w:sz w:val="19"/>
          <w:szCs w:val="19"/>
        </w:rPr>
      </w:pPr>
      <w:r w:rsidRPr="00210336">
        <w:rPr>
          <w:rFonts w:ascii="Tahoma" w:hAnsi="Tahoma" w:cs="Tahoma"/>
          <w:color w:val="0098BA"/>
          <w:sz w:val="19"/>
          <w:szCs w:val="19"/>
        </w:rPr>
        <w:lastRenderedPageBreak/>
        <w:t>FIPs Não-Exclusivos</w:t>
      </w:r>
      <w:r>
        <w:rPr>
          <w:rFonts w:ascii="Tahoma" w:hAnsi="Tahoma" w:cs="Tahoma"/>
          <w:color w:val="0098BA"/>
          <w:sz w:val="19"/>
          <w:szCs w:val="19"/>
        </w:rPr>
        <w:t xml:space="preserve"> - </w:t>
      </w:r>
      <w:r w:rsidR="00DB7155" w:rsidRPr="00210336">
        <w:rPr>
          <w:rFonts w:ascii="Tahoma" w:hAnsi="Tahoma" w:cs="Tahoma"/>
          <w:color w:val="0098BA"/>
          <w:sz w:val="19"/>
          <w:szCs w:val="19"/>
        </w:rPr>
        <w:t>Fundos ativos e empresas da carteira em 2023</w:t>
      </w:r>
    </w:p>
    <w:p w14:paraId="1E234D99" w14:textId="77777777" w:rsidR="00DB7155" w:rsidRDefault="00DB7155" w:rsidP="00DB7155">
      <w:pPr>
        <w:ind w:right="54"/>
        <w:jc w:val="right"/>
        <w:rPr>
          <w:rFonts w:ascii="Tahoma" w:hAnsi="Tahoma" w:cs="Tahoma"/>
          <w:sz w:val="18"/>
          <w:szCs w:val="18"/>
        </w:rPr>
      </w:pPr>
      <w:r w:rsidRPr="005429FB">
        <w:rPr>
          <w:rFonts w:ascii="Tahoma" w:hAnsi="Tahoma" w:cs="Tahoma"/>
          <w:sz w:val="18"/>
          <w:szCs w:val="18"/>
        </w:rPr>
        <w:t>Posição em 31/12/202</w:t>
      </w:r>
      <w:r>
        <w:rPr>
          <w:rFonts w:ascii="Tahoma" w:hAnsi="Tahoma" w:cs="Tahoma"/>
          <w:sz w:val="18"/>
          <w:szCs w:val="18"/>
        </w:rPr>
        <w:t>3</w:t>
      </w:r>
    </w:p>
    <w:tbl>
      <w:tblPr>
        <w:tblW w:w="9060" w:type="dxa"/>
        <w:tblInd w:w="70" w:type="dxa"/>
        <w:tblBorders>
          <w:bottom w:val="single" w:sz="8" w:space="0" w:color="808080" w:themeColor="background1" w:themeShade="80"/>
          <w:insideH w:val="single" w:sz="8" w:space="0" w:color="BFBFBF" w:themeColor="background1" w:themeShade="BF"/>
          <w:insideV w:val="single" w:sz="8" w:space="0" w:color="BFBFBF" w:themeColor="background1" w:themeShade="BF"/>
        </w:tblBorders>
        <w:tblCellMar>
          <w:left w:w="70" w:type="dxa"/>
          <w:right w:w="70" w:type="dxa"/>
        </w:tblCellMar>
        <w:tblLook w:val="04A0" w:firstRow="1" w:lastRow="0" w:firstColumn="1" w:lastColumn="0" w:noHBand="0" w:noVBand="1"/>
      </w:tblPr>
      <w:tblGrid>
        <w:gridCol w:w="2835"/>
        <w:gridCol w:w="1605"/>
        <w:gridCol w:w="2140"/>
        <w:gridCol w:w="2480"/>
      </w:tblGrid>
      <w:tr w:rsidR="00DB7155" w:rsidRPr="00D91368" w14:paraId="0B0E12FF" w14:textId="77777777" w:rsidTr="00145E5A">
        <w:trPr>
          <w:trHeight w:val="454"/>
          <w:tblHeader/>
        </w:trPr>
        <w:tc>
          <w:tcPr>
            <w:tcW w:w="2835" w:type="dxa"/>
            <w:shd w:val="clear" w:color="auto" w:fill="0098BA"/>
            <w:vAlign w:val="center"/>
            <w:hideMark/>
          </w:tcPr>
          <w:p w14:paraId="4B64AA8B" w14:textId="77777777" w:rsidR="00DB7155" w:rsidRPr="00210336" w:rsidRDefault="00DB7155" w:rsidP="00097EE2">
            <w:pPr>
              <w:rPr>
                <w:rFonts w:ascii="Tahoma" w:hAnsi="Tahoma" w:cs="Tahoma"/>
                <w:color w:val="FFFFFF" w:themeColor="background1"/>
                <w:sz w:val="18"/>
                <w:szCs w:val="18"/>
              </w:rPr>
            </w:pPr>
            <w:r w:rsidRPr="00210336">
              <w:rPr>
                <w:rFonts w:ascii="Tahoma" w:hAnsi="Tahoma" w:cs="Tahoma"/>
                <w:color w:val="FFFFFF" w:themeColor="background1"/>
                <w:sz w:val="18"/>
                <w:szCs w:val="18"/>
              </w:rPr>
              <w:t>Fundos ativos</w:t>
            </w:r>
          </w:p>
        </w:tc>
        <w:tc>
          <w:tcPr>
            <w:tcW w:w="1605" w:type="dxa"/>
            <w:shd w:val="clear" w:color="auto" w:fill="0098BA"/>
            <w:vAlign w:val="center"/>
            <w:hideMark/>
          </w:tcPr>
          <w:p w14:paraId="6FEF66AB" w14:textId="77777777" w:rsidR="00DB7155" w:rsidRPr="00210336" w:rsidRDefault="00DB7155" w:rsidP="00097EE2">
            <w:pPr>
              <w:jc w:val="center"/>
              <w:rPr>
                <w:rFonts w:ascii="Tahoma" w:hAnsi="Tahoma" w:cs="Tahoma"/>
                <w:color w:val="FFFFFF" w:themeColor="background1"/>
                <w:sz w:val="18"/>
                <w:szCs w:val="18"/>
              </w:rPr>
            </w:pPr>
            <w:r w:rsidRPr="00210336">
              <w:rPr>
                <w:rFonts w:ascii="Tahoma" w:hAnsi="Tahoma" w:cs="Tahoma"/>
                <w:color w:val="FFFFFF" w:themeColor="background1"/>
                <w:sz w:val="18"/>
                <w:szCs w:val="18"/>
              </w:rPr>
              <w:t>Número de empresas</w:t>
            </w:r>
          </w:p>
        </w:tc>
        <w:tc>
          <w:tcPr>
            <w:tcW w:w="2140" w:type="dxa"/>
            <w:shd w:val="clear" w:color="auto" w:fill="0098BA"/>
            <w:vAlign w:val="center"/>
            <w:hideMark/>
          </w:tcPr>
          <w:p w14:paraId="4E429599" w14:textId="77777777" w:rsidR="00DB7155" w:rsidRPr="00210336" w:rsidRDefault="00DB7155" w:rsidP="00097EE2">
            <w:pPr>
              <w:jc w:val="center"/>
              <w:rPr>
                <w:rFonts w:ascii="Tahoma" w:hAnsi="Tahoma" w:cs="Tahoma"/>
                <w:color w:val="FFFFFF" w:themeColor="background1"/>
                <w:sz w:val="18"/>
                <w:szCs w:val="18"/>
              </w:rPr>
            </w:pPr>
            <w:r w:rsidRPr="00210336">
              <w:rPr>
                <w:rFonts w:ascii="Tahoma" w:hAnsi="Tahoma" w:cs="Tahoma"/>
                <w:color w:val="FFFFFF" w:themeColor="background1"/>
                <w:sz w:val="18"/>
                <w:szCs w:val="18"/>
              </w:rPr>
              <w:t>Capital Comprometido (R$)</w:t>
            </w:r>
          </w:p>
        </w:tc>
        <w:tc>
          <w:tcPr>
            <w:tcW w:w="2480" w:type="dxa"/>
            <w:shd w:val="clear" w:color="auto" w:fill="0098BA"/>
            <w:vAlign w:val="center"/>
            <w:hideMark/>
          </w:tcPr>
          <w:p w14:paraId="6B71E293" w14:textId="77777777" w:rsidR="00DB7155" w:rsidRPr="00210336" w:rsidRDefault="00DB7155" w:rsidP="00097EE2">
            <w:pPr>
              <w:jc w:val="center"/>
              <w:rPr>
                <w:rFonts w:ascii="Tahoma" w:hAnsi="Tahoma" w:cs="Tahoma"/>
                <w:color w:val="FFFFFF" w:themeColor="background1"/>
                <w:sz w:val="18"/>
                <w:szCs w:val="18"/>
              </w:rPr>
            </w:pPr>
            <w:r w:rsidRPr="00210336">
              <w:rPr>
                <w:rFonts w:ascii="Tahoma" w:hAnsi="Tahoma" w:cs="Tahoma"/>
                <w:color w:val="FFFFFF" w:themeColor="background1"/>
                <w:sz w:val="18"/>
                <w:szCs w:val="18"/>
              </w:rPr>
              <w:t>Capital comprometido FINEP (R$)</w:t>
            </w:r>
          </w:p>
        </w:tc>
      </w:tr>
      <w:tr w:rsidR="00DB7155" w:rsidRPr="00D91368" w14:paraId="0693EEC0" w14:textId="77777777" w:rsidTr="00145E5A">
        <w:trPr>
          <w:trHeight w:val="315"/>
        </w:trPr>
        <w:tc>
          <w:tcPr>
            <w:tcW w:w="2835" w:type="dxa"/>
            <w:shd w:val="clear" w:color="auto" w:fill="auto"/>
            <w:noWrap/>
            <w:vAlign w:val="center"/>
            <w:hideMark/>
          </w:tcPr>
          <w:p w14:paraId="35FB8233"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BBI Financial I</w:t>
            </w:r>
          </w:p>
        </w:tc>
        <w:tc>
          <w:tcPr>
            <w:tcW w:w="1605" w:type="dxa"/>
            <w:shd w:val="clear" w:color="auto" w:fill="auto"/>
            <w:noWrap/>
            <w:vAlign w:val="center"/>
            <w:hideMark/>
          </w:tcPr>
          <w:p w14:paraId="0CBEB5E6"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5</w:t>
            </w:r>
          </w:p>
        </w:tc>
        <w:tc>
          <w:tcPr>
            <w:tcW w:w="2140" w:type="dxa"/>
            <w:shd w:val="clear" w:color="auto" w:fill="auto"/>
            <w:noWrap/>
            <w:vAlign w:val="center"/>
            <w:hideMark/>
          </w:tcPr>
          <w:p w14:paraId="0B54E417"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185.</w:t>
            </w:r>
            <w:r>
              <w:rPr>
                <w:rFonts w:ascii="Tahoma" w:hAnsi="Tahoma" w:cs="Tahoma"/>
                <w:color w:val="000000"/>
                <w:sz w:val="18"/>
                <w:szCs w:val="18"/>
              </w:rPr>
              <w:t>060</w:t>
            </w:r>
            <w:r w:rsidRPr="00D91368">
              <w:rPr>
                <w:rFonts w:ascii="Tahoma" w:hAnsi="Tahoma" w:cs="Tahoma"/>
                <w:color w:val="000000"/>
                <w:sz w:val="18"/>
                <w:szCs w:val="18"/>
              </w:rPr>
              <w:t>.000</w:t>
            </w:r>
          </w:p>
        </w:tc>
        <w:tc>
          <w:tcPr>
            <w:tcW w:w="2480" w:type="dxa"/>
            <w:shd w:val="clear" w:color="auto" w:fill="auto"/>
            <w:noWrap/>
            <w:vAlign w:val="center"/>
            <w:hideMark/>
          </w:tcPr>
          <w:p w14:paraId="52BF0E49"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20.000.000</w:t>
            </w:r>
          </w:p>
        </w:tc>
      </w:tr>
      <w:tr w:rsidR="00DB7155" w:rsidRPr="00D91368" w14:paraId="2286D21B" w14:textId="77777777" w:rsidTr="00145E5A">
        <w:trPr>
          <w:trHeight w:val="315"/>
        </w:trPr>
        <w:tc>
          <w:tcPr>
            <w:tcW w:w="2835" w:type="dxa"/>
            <w:shd w:val="clear" w:color="auto" w:fill="auto"/>
            <w:noWrap/>
            <w:vAlign w:val="center"/>
            <w:hideMark/>
          </w:tcPr>
          <w:p w14:paraId="743AE243"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Brasil Agronegócio</w:t>
            </w:r>
          </w:p>
        </w:tc>
        <w:tc>
          <w:tcPr>
            <w:tcW w:w="1605" w:type="dxa"/>
            <w:shd w:val="clear" w:color="auto" w:fill="auto"/>
            <w:noWrap/>
            <w:vAlign w:val="center"/>
            <w:hideMark/>
          </w:tcPr>
          <w:p w14:paraId="12070C1E"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w:t>
            </w:r>
          </w:p>
        </w:tc>
        <w:tc>
          <w:tcPr>
            <w:tcW w:w="2140" w:type="dxa"/>
            <w:shd w:val="clear" w:color="auto" w:fill="auto"/>
            <w:noWrap/>
            <w:vAlign w:val="center"/>
            <w:hideMark/>
          </w:tcPr>
          <w:p w14:paraId="3368A467"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840.000.000</w:t>
            </w:r>
          </w:p>
        </w:tc>
        <w:tc>
          <w:tcPr>
            <w:tcW w:w="2480" w:type="dxa"/>
            <w:shd w:val="clear" w:color="auto" w:fill="auto"/>
            <w:noWrap/>
            <w:vAlign w:val="center"/>
            <w:hideMark/>
          </w:tcPr>
          <w:p w14:paraId="5077E486"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42.000.000</w:t>
            </w:r>
          </w:p>
        </w:tc>
      </w:tr>
      <w:tr w:rsidR="00DB7155" w:rsidRPr="00D91368" w14:paraId="197412AD" w14:textId="77777777" w:rsidTr="00145E5A">
        <w:trPr>
          <w:trHeight w:val="330"/>
        </w:trPr>
        <w:tc>
          <w:tcPr>
            <w:tcW w:w="2835" w:type="dxa"/>
            <w:shd w:val="clear" w:color="auto" w:fill="auto"/>
            <w:noWrap/>
            <w:vAlign w:val="center"/>
            <w:hideMark/>
          </w:tcPr>
          <w:p w14:paraId="29371F17"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Brasil Central</w:t>
            </w:r>
          </w:p>
        </w:tc>
        <w:tc>
          <w:tcPr>
            <w:tcW w:w="1605" w:type="dxa"/>
            <w:shd w:val="clear" w:color="auto" w:fill="auto"/>
            <w:noWrap/>
            <w:vAlign w:val="center"/>
            <w:hideMark/>
          </w:tcPr>
          <w:p w14:paraId="42B0818F"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w:t>
            </w:r>
            <w:r>
              <w:rPr>
                <w:rFonts w:ascii="Tahoma" w:hAnsi="Tahoma" w:cs="Tahoma"/>
                <w:color w:val="000000"/>
                <w:sz w:val="18"/>
                <w:szCs w:val="18"/>
              </w:rPr>
              <w:t>3</w:t>
            </w:r>
          </w:p>
        </w:tc>
        <w:tc>
          <w:tcPr>
            <w:tcW w:w="2140" w:type="dxa"/>
            <w:shd w:val="clear" w:color="auto" w:fill="auto"/>
            <w:noWrap/>
            <w:vAlign w:val="center"/>
            <w:hideMark/>
          </w:tcPr>
          <w:p w14:paraId="08671A60"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62.000.000</w:t>
            </w:r>
          </w:p>
        </w:tc>
        <w:tc>
          <w:tcPr>
            <w:tcW w:w="2480" w:type="dxa"/>
            <w:shd w:val="clear" w:color="auto" w:fill="auto"/>
            <w:noWrap/>
            <w:vAlign w:val="center"/>
            <w:hideMark/>
          </w:tcPr>
          <w:p w14:paraId="766B9D07"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30.000.000</w:t>
            </w:r>
          </w:p>
        </w:tc>
      </w:tr>
      <w:tr w:rsidR="00DB7155" w:rsidRPr="00D91368" w14:paraId="697F5267" w14:textId="77777777" w:rsidTr="00145E5A">
        <w:trPr>
          <w:trHeight w:val="330"/>
        </w:trPr>
        <w:tc>
          <w:tcPr>
            <w:tcW w:w="2835" w:type="dxa"/>
            <w:shd w:val="clear" w:color="auto" w:fill="auto"/>
            <w:noWrap/>
            <w:vAlign w:val="center"/>
            <w:hideMark/>
          </w:tcPr>
          <w:p w14:paraId="14FD3784"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Capital Tech II</w:t>
            </w:r>
          </w:p>
        </w:tc>
        <w:tc>
          <w:tcPr>
            <w:tcW w:w="1605" w:type="dxa"/>
            <w:shd w:val="clear" w:color="auto" w:fill="auto"/>
            <w:noWrap/>
            <w:vAlign w:val="center"/>
            <w:hideMark/>
          </w:tcPr>
          <w:p w14:paraId="51476D10" w14:textId="77777777" w:rsidR="00DB7155" w:rsidRPr="00D91368" w:rsidRDefault="00DB7155" w:rsidP="00097EE2">
            <w:pPr>
              <w:jc w:val="center"/>
              <w:rPr>
                <w:rFonts w:ascii="Tahoma" w:hAnsi="Tahoma" w:cs="Tahoma"/>
                <w:color w:val="000000"/>
                <w:sz w:val="18"/>
                <w:szCs w:val="18"/>
              </w:rPr>
            </w:pPr>
            <w:r>
              <w:rPr>
                <w:rFonts w:ascii="Tahoma" w:hAnsi="Tahoma" w:cs="Tahoma"/>
                <w:color w:val="000000"/>
                <w:sz w:val="18"/>
                <w:szCs w:val="18"/>
              </w:rPr>
              <w:t>1</w:t>
            </w:r>
          </w:p>
        </w:tc>
        <w:tc>
          <w:tcPr>
            <w:tcW w:w="2140" w:type="dxa"/>
            <w:shd w:val="clear" w:color="auto" w:fill="auto"/>
            <w:noWrap/>
            <w:vAlign w:val="center"/>
            <w:hideMark/>
          </w:tcPr>
          <w:p w14:paraId="3C2FDBCD"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209.000.000</w:t>
            </w:r>
          </w:p>
        </w:tc>
        <w:tc>
          <w:tcPr>
            <w:tcW w:w="2480" w:type="dxa"/>
            <w:shd w:val="clear" w:color="auto" w:fill="auto"/>
            <w:noWrap/>
            <w:vAlign w:val="center"/>
            <w:hideMark/>
          </w:tcPr>
          <w:p w14:paraId="13100AE9"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36.000.000</w:t>
            </w:r>
          </w:p>
        </w:tc>
      </w:tr>
      <w:tr w:rsidR="00DB7155" w:rsidRPr="00D91368" w14:paraId="70CADADF" w14:textId="77777777" w:rsidTr="00145E5A">
        <w:trPr>
          <w:trHeight w:val="315"/>
        </w:trPr>
        <w:tc>
          <w:tcPr>
            <w:tcW w:w="2835" w:type="dxa"/>
            <w:shd w:val="clear" w:color="auto" w:fill="auto"/>
            <w:noWrap/>
            <w:vAlign w:val="center"/>
            <w:hideMark/>
          </w:tcPr>
          <w:p w14:paraId="54891761"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Cventures Primus</w:t>
            </w:r>
          </w:p>
        </w:tc>
        <w:tc>
          <w:tcPr>
            <w:tcW w:w="1605" w:type="dxa"/>
            <w:shd w:val="clear" w:color="auto" w:fill="auto"/>
            <w:noWrap/>
            <w:vAlign w:val="center"/>
            <w:hideMark/>
          </w:tcPr>
          <w:p w14:paraId="2A52B58A" w14:textId="77777777" w:rsidR="00DB7155" w:rsidRPr="00D91368" w:rsidRDefault="00DB7155" w:rsidP="00097EE2">
            <w:pPr>
              <w:jc w:val="center"/>
              <w:rPr>
                <w:rFonts w:ascii="Tahoma" w:hAnsi="Tahoma" w:cs="Tahoma"/>
                <w:color w:val="000000"/>
                <w:sz w:val="18"/>
                <w:szCs w:val="18"/>
              </w:rPr>
            </w:pPr>
            <w:r>
              <w:rPr>
                <w:rFonts w:ascii="Tahoma" w:hAnsi="Tahoma" w:cs="Tahoma"/>
                <w:color w:val="000000"/>
                <w:sz w:val="18"/>
                <w:szCs w:val="18"/>
              </w:rPr>
              <w:t>6</w:t>
            </w:r>
          </w:p>
        </w:tc>
        <w:tc>
          <w:tcPr>
            <w:tcW w:w="2140" w:type="dxa"/>
            <w:shd w:val="clear" w:color="auto" w:fill="auto"/>
            <w:noWrap/>
            <w:vAlign w:val="center"/>
            <w:hideMark/>
          </w:tcPr>
          <w:p w14:paraId="420B25AE"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83.440.000</w:t>
            </w:r>
          </w:p>
        </w:tc>
        <w:tc>
          <w:tcPr>
            <w:tcW w:w="2480" w:type="dxa"/>
            <w:shd w:val="clear" w:color="auto" w:fill="auto"/>
            <w:noWrap/>
            <w:vAlign w:val="center"/>
            <w:hideMark/>
          </w:tcPr>
          <w:p w14:paraId="40B1670B"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35.000.000</w:t>
            </w:r>
          </w:p>
        </w:tc>
      </w:tr>
      <w:tr w:rsidR="00DB7155" w:rsidRPr="00D91368" w14:paraId="07572A42" w14:textId="77777777" w:rsidTr="00145E5A">
        <w:trPr>
          <w:trHeight w:val="315"/>
        </w:trPr>
        <w:tc>
          <w:tcPr>
            <w:tcW w:w="2835" w:type="dxa"/>
            <w:shd w:val="clear" w:color="auto" w:fill="auto"/>
            <w:noWrap/>
            <w:vAlign w:val="center"/>
            <w:hideMark/>
          </w:tcPr>
          <w:p w14:paraId="313BA0F6"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DGF Inova</w:t>
            </w:r>
          </w:p>
        </w:tc>
        <w:tc>
          <w:tcPr>
            <w:tcW w:w="1605" w:type="dxa"/>
            <w:shd w:val="clear" w:color="auto" w:fill="auto"/>
            <w:noWrap/>
            <w:vAlign w:val="center"/>
            <w:hideMark/>
          </w:tcPr>
          <w:p w14:paraId="579AD243"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w:t>
            </w:r>
          </w:p>
        </w:tc>
        <w:tc>
          <w:tcPr>
            <w:tcW w:w="2140" w:type="dxa"/>
            <w:shd w:val="clear" w:color="auto" w:fill="auto"/>
            <w:noWrap/>
            <w:vAlign w:val="center"/>
            <w:hideMark/>
          </w:tcPr>
          <w:p w14:paraId="69812676"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50.000.000</w:t>
            </w:r>
          </w:p>
        </w:tc>
        <w:tc>
          <w:tcPr>
            <w:tcW w:w="2480" w:type="dxa"/>
            <w:shd w:val="clear" w:color="auto" w:fill="auto"/>
            <w:noWrap/>
            <w:vAlign w:val="center"/>
            <w:hideMark/>
          </w:tcPr>
          <w:p w14:paraId="1AAD59B5"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35.000.000</w:t>
            </w:r>
          </w:p>
        </w:tc>
      </w:tr>
      <w:tr w:rsidR="00DB7155" w:rsidRPr="00D91368" w14:paraId="207A961A" w14:textId="77777777" w:rsidTr="00145E5A">
        <w:trPr>
          <w:trHeight w:val="315"/>
        </w:trPr>
        <w:tc>
          <w:tcPr>
            <w:tcW w:w="2835" w:type="dxa"/>
            <w:shd w:val="clear" w:color="auto" w:fill="auto"/>
            <w:noWrap/>
            <w:vAlign w:val="center"/>
            <w:hideMark/>
          </w:tcPr>
          <w:p w14:paraId="35FCCD9D"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FIP Aeroespacial</w:t>
            </w:r>
          </w:p>
        </w:tc>
        <w:tc>
          <w:tcPr>
            <w:tcW w:w="1605" w:type="dxa"/>
            <w:shd w:val="clear" w:color="auto" w:fill="auto"/>
            <w:noWrap/>
            <w:vAlign w:val="center"/>
            <w:hideMark/>
          </w:tcPr>
          <w:p w14:paraId="3E68DD3F" w14:textId="77777777" w:rsidR="00DB7155" w:rsidRPr="00D91368" w:rsidRDefault="00DB7155" w:rsidP="00097EE2">
            <w:pPr>
              <w:jc w:val="center"/>
              <w:rPr>
                <w:rFonts w:ascii="Tahoma" w:hAnsi="Tahoma" w:cs="Tahoma"/>
                <w:color w:val="000000"/>
                <w:sz w:val="18"/>
                <w:szCs w:val="18"/>
              </w:rPr>
            </w:pPr>
            <w:r>
              <w:rPr>
                <w:rFonts w:ascii="Tahoma" w:hAnsi="Tahoma" w:cs="Tahoma"/>
                <w:color w:val="000000"/>
                <w:sz w:val="18"/>
                <w:szCs w:val="18"/>
              </w:rPr>
              <w:t>8</w:t>
            </w:r>
          </w:p>
        </w:tc>
        <w:tc>
          <w:tcPr>
            <w:tcW w:w="2140" w:type="dxa"/>
            <w:shd w:val="clear" w:color="auto" w:fill="auto"/>
            <w:noWrap/>
            <w:vAlign w:val="center"/>
            <w:hideMark/>
          </w:tcPr>
          <w:p w14:paraId="57FC923A"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161.300.000</w:t>
            </w:r>
          </w:p>
        </w:tc>
        <w:tc>
          <w:tcPr>
            <w:tcW w:w="2480" w:type="dxa"/>
            <w:shd w:val="clear" w:color="auto" w:fill="auto"/>
            <w:noWrap/>
            <w:vAlign w:val="center"/>
            <w:hideMark/>
          </w:tcPr>
          <w:p w14:paraId="0F829AD5"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40.000.000</w:t>
            </w:r>
          </w:p>
        </w:tc>
      </w:tr>
      <w:tr w:rsidR="00DB7155" w:rsidRPr="00D91368" w14:paraId="4D052F33" w14:textId="77777777" w:rsidTr="00145E5A">
        <w:trPr>
          <w:trHeight w:val="315"/>
        </w:trPr>
        <w:tc>
          <w:tcPr>
            <w:tcW w:w="2835" w:type="dxa"/>
            <w:shd w:val="clear" w:color="auto" w:fill="auto"/>
            <w:noWrap/>
            <w:vAlign w:val="center"/>
            <w:hideMark/>
          </w:tcPr>
          <w:p w14:paraId="19DD2A2E"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FIPAC II</w:t>
            </w:r>
          </w:p>
        </w:tc>
        <w:tc>
          <w:tcPr>
            <w:tcW w:w="1605" w:type="dxa"/>
            <w:shd w:val="clear" w:color="auto" w:fill="auto"/>
            <w:noWrap/>
            <w:vAlign w:val="center"/>
            <w:hideMark/>
          </w:tcPr>
          <w:p w14:paraId="54A7EC2B" w14:textId="77777777" w:rsidR="00DB7155" w:rsidRPr="00D91368" w:rsidRDefault="00DB7155" w:rsidP="00097EE2">
            <w:pPr>
              <w:jc w:val="center"/>
              <w:rPr>
                <w:rFonts w:ascii="Tahoma" w:hAnsi="Tahoma" w:cs="Tahoma"/>
                <w:color w:val="000000"/>
                <w:sz w:val="18"/>
                <w:szCs w:val="18"/>
              </w:rPr>
            </w:pPr>
            <w:r>
              <w:rPr>
                <w:rFonts w:ascii="Tahoma" w:hAnsi="Tahoma" w:cs="Tahoma"/>
                <w:color w:val="000000"/>
                <w:sz w:val="18"/>
                <w:szCs w:val="18"/>
              </w:rPr>
              <w:t>1</w:t>
            </w:r>
          </w:p>
        </w:tc>
        <w:tc>
          <w:tcPr>
            <w:tcW w:w="2140" w:type="dxa"/>
            <w:shd w:val="clear" w:color="auto" w:fill="auto"/>
            <w:noWrap/>
            <w:vAlign w:val="center"/>
            <w:hideMark/>
          </w:tcPr>
          <w:p w14:paraId="491C1612"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362.529.000</w:t>
            </w:r>
          </w:p>
        </w:tc>
        <w:tc>
          <w:tcPr>
            <w:tcW w:w="2480" w:type="dxa"/>
            <w:shd w:val="clear" w:color="auto" w:fill="auto"/>
            <w:noWrap/>
            <w:vAlign w:val="center"/>
            <w:hideMark/>
          </w:tcPr>
          <w:p w14:paraId="55879252"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35.000.000</w:t>
            </w:r>
          </w:p>
        </w:tc>
      </w:tr>
      <w:tr w:rsidR="00DB7155" w:rsidRPr="00D91368" w14:paraId="4D7AEC17" w14:textId="77777777" w:rsidTr="00145E5A">
        <w:trPr>
          <w:trHeight w:val="315"/>
        </w:trPr>
        <w:tc>
          <w:tcPr>
            <w:tcW w:w="2835" w:type="dxa"/>
            <w:shd w:val="clear" w:color="auto" w:fill="auto"/>
            <w:noWrap/>
            <w:vAlign w:val="center"/>
            <w:hideMark/>
          </w:tcPr>
          <w:p w14:paraId="5AF0A871"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Inovação Paulista</w:t>
            </w:r>
          </w:p>
        </w:tc>
        <w:tc>
          <w:tcPr>
            <w:tcW w:w="1605" w:type="dxa"/>
            <w:shd w:val="clear" w:color="auto" w:fill="auto"/>
            <w:noWrap/>
            <w:vAlign w:val="center"/>
            <w:hideMark/>
          </w:tcPr>
          <w:p w14:paraId="5D7AECFD"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17</w:t>
            </w:r>
          </w:p>
        </w:tc>
        <w:tc>
          <w:tcPr>
            <w:tcW w:w="2140" w:type="dxa"/>
            <w:shd w:val="clear" w:color="auto" w:fill="auto"/>
            <w:noWrap/>
            <w:vAlign w:val="center"/>
            <w:hideMark/>
          </w:tcPr>
          <w:p w14:paraId="4FE27C01"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105.000.000</w:t>
            </w:r>
          </w:p>
        </w:tc>
        <w:tc>
          <w:tcPr>
            <w:tcW w:w="2480" w:type="dxa"/>
            <w:shd w:val="clear" w:color="auto" w:fill="auto"/>
            <w:noWrap/>
            <w:vAlign w:val="center"/>
            <w:hideMark/>
          </w:tcPr>
          <w:p w14:paraId="3EBC00E3"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20.000.000</w:t>
            </w:r>
          </w:p>
        </w:tc>
      </w:tr>
      <w:tr w:rsidR="00DB7155" w:rsidRPr="00D91368" w14:paraId="32278BE4" w14:textId="77777777" w:rsidTr="00145E5A">
        <w:trPr>
          <w:trHeight w:val="315"/>
        </w:trPr>
        <w:tc>
          <w:tcPr>
            <w:tcW w:w="2835" w:type="dxa"/>
            <w:shd w:val="clear" w:color="auto" w:fill="auto"/>
            <w:noWrap/>
            <w:vAlign w:val="center"/>
            <w:hideMark/>
          </w:tcPr>
          <w:p w14:paraId="7FC01035"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JB VC I</w:t>
            </w:r>
          </w:p>
        </w:tc>
        <w:tc>
          <w:tcPr>
            <w:tcW w:w="1605" w:type="dxa"/>
            <w:shd w:val="clear" w:color="auto" w:fill="auto"/>
            <w:noWrap/>
            <w:vAlign w:val="center"/>
            <w:hideMark/>
          </w:tcPr>
          <w:p w14:paraId="063ACA00"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w:t>
            </w:r>
          </w:p>
        </w:tc>
        <w:tc>
          <w:tcPr>
            <w:tcW w:w="2140" w:type="dxa"/>
            <w:shd w:val="clear" w:color="auto" w:fill="auto"/>
            <w:noWrap/>
            <w:vAlign w:val="center"/>
            <w:hideMark/>
          </w:tcPr>
          <w:p w14:paraId="18642883"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100.000.000</w:t>
            </w:r>
          </w:p>
        </w:tc>
        <w:tc>
          <w:tcPr>
            <w:tcW w:w="2480" w:type="dxa"/>
            <w:shd w:val="clear" w:color="auto" w:fill="auto"/>
            <w:noWrap/>
            <w:vAlign w:val="center"/>
            <w:hideMark/>
          </w:tcPr>
          <w:p w14:paraId="5572DA24"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10.000.000</w:t>
            </w:r>
          </w:p>
        </w:tc>
      </w:tr>
      <w:tr w:rsidR="00DB7155" w:rsidRPr="00D91368" w14:paraId="7D5428E1" w14:textId="77777777" w:rsidTr="00145E5A">
        <w:trPr>
          <w:trHeight w:val="315"/>
        </w:trPr>
        <w:tc>
          <w:tcPr>
            <w:tcW w:w="2835" w:type="dxa"/>
            <w:shd w:val="clear" w:color="auto" w:fill="auto"/>
            <w:noWrap/>
            <w:vAlign w:val="center"/>
            <w:hideMark/>
          </w:tcPr>
          <w:p w14:paraId="322E8A7D"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NascenTI</w:t>
            </w:r>
          </w:p>
        </w:tc>
        <w:tc>
          <w:tcPr>
            <w:tcW w:w="1605" w:type="dxa"/>
            <w:shd w:val="clear" w:color="auto" w:fill="auto"/>
            <w:noWrap/>
            <w:vAlign w:val="center"/>
            <w:hideMark/>
          </w:tcPr>
          <w:p w14:paraId="3E839D06"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w:t>
            </w:r>
          </w:p>
        </w:tc>
        <w:tc>
          <w:tcPr>
            <w:tcW w:w="2140" w:type="dxa"/>
            <w:shd w:val="clear" w:color="auto" w:fill="auto"/>
            <w:noWrap/>
            <w:vAlign w:val="center"/>
            <w:hideMark/>
          </w:tcPr>
          <w:p w14:paraId="5A2BD12F"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28.000.000</w:t>
            </w:r>
          </w:p>
        </w:tc>
        <w:tc>
          <w:tcPr>
            <w:tcW w:w="2480" w:type="dxa"/>
            <w:shd w:val="clear" w:color="auto" w:fill="auto"/>
            <w:noWrap/>
            <w:vAlign w:val="center"/>
            <w:hideMark/>
          </w:tcPr>
          <w:p w14:paraId="5E04E864"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11.200.000</w:t>
            </w:r>
          </w:p>
        </w:tc>
      </w:tr>
      <w:tr w:rsidR="00DB7155" w:rsidRPr="00D91368" w14:paraId="0B0926A4" w14:textId="77777777" w:rsidTr="00145E5A">
        <w:trPr>
          <w:trHeight w:val="315"/>
        </w:trPr>
        <w:tc>
          <w:tcPr>
            <w:tcW w:w="2835" w:type="dxa"/>
            <w:shd w:val="clear" w:color="auto" w:fill="auto"/>
            <w:noWrap/>
            <w:vAlign w:val="center"/>
            <w:hideMark/>
          </w:tcPr>
          <w:p w14:paraId="20B136CD"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Neo Capital Mezanino II</w:t>
            </w:r>
          </w:p>
        </w:tc>
        <w:tc>
          <w:tcPr>
            <w:tcW w:w="1605" w:type="dxa"/>
            <w:shd w:val="clear" w:color="auto" w:fill="auto"/>
            <w:noWrap/>
            <w:vAlign w:val="center"/>
            <w:hideMark/>
          </w:tcPr>
          <w:p w14:paraId="49902213"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w:t>
            </w:r>
          </w:p>
        </w:tc>
        <w:tc>
          <w:tcPr>
            <w:tcW w:w="2140" w:type="dxa"/>
            <w:shd w:val="clear" w:color="auto" w:fill="auto"/>
            <w:noWrap/>
            <w:vAlign w:val="center"/>
            <w:hideMark/>
          </w:tcPr>
          <w:p w14:paraId="3978174F"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308.800.000</w:t>
            </w:r>
          </w:p>
        </w:tc>
        <w:tc>
          <w:tcPr>
            <w:tcW w:w="2480" w:type="dxa"/>
            <w:shd w:val="clear" w:color="auto" w:fill="auto"/>
            <w:noWrap/>
            <w:vAlign w:val="center"/>
            <w:hideMark/>
          </w:tcPr>
          <w:p w14:paraId="4F22F476"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20.000.000</w:t>
            </w:r>
          </w:p>
        </w:tc>
      </w:tr>
      <w:tr w:rsidR="00DB7155" w:rsidRPr="00D91368" w14:paraId="415A1927" w14:textId="77777777" w:rsidTr="00145E5A">
        <w:trPr>
          <w:trHeight w:val="315"/>
        </w:trPr>
        <w:tc>
          <w:tcPr>
            <w:tcW w:w="2835" w:type="dxa"/>
            <w:shd w:val="clear" w:color="auto" w:fill="auto"/>
            <w:noWrap/>
            <w:vAlign w:val="center"/>
            <w:hideMark/>
          </w:tcPr>
          <w:p w14:paraId="791C17E6"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Ória Tech 1</w:t>
            </w:r>
          </w:p>
        </w:tc>
        <w:tc>
          <w:tcPr>
            <w:tcW w:w="1605" w:type="dxa"/>
            <w:shd w:val="clear" w:color="auto" w:fill="auto"/>
            <w:noWrap/>
            <w:vAlign w:val="center"/>
            <w:hideMark/>
          </w:tcPr>
          <w:p w14:paraId="45CDC6D8" w14:textId="77777777" w:rsidR="00DB7155" w:rsidRPr="00D91368" w:rsidRDefault="00DB7155" w:rsidP="00097EE2">
            <w:pPr>
              <w:jc w:val="center"/>
              <w:rPr>
                <w:rFonts w:ascii="Tahoma" w:hAnsi="Tahoma" w:cs="Tahoma"/>
                <w:color w:val="000000"/>
                <w:sz w:val="18"/>
                <w:szCs w:val="18"/>
              </w:rPr>
            </w:pPr>
            <w:r>
              <w:rPr>
                <w:rFonts w:ascii="Tahoma" w:hAnsi="Tahoma" w:cs="Tahoma"/>
                <w:color w:val="000000"/>
                <w:sz w:val="18"/>
                <w:szCs w:val="18"/>
              </w:rPr>
              <w:t>5</w:t>
            </w:r>
          </w:p>
        </w:tc>
        <w:tc>
          <w:tcPr>
            <w:tcW w:w="2140" w:type="dxa"/>
            <w:shd w:val="clear" w:color="auto" w:fill="auto"/>
            <w:noWrap/>
            <w:vAlign w:val="center"/>
            <w:hideMark/>
          </w:tcPr>
          <w:p w14:paraId="025222B7"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175.500.000</w:t>
            </w:r>
          </w:p>
        </w:tc>
        <w:tc>
          <w:tcPr>
            <w:tcW w:w="2480" w:type="dxa"/>
            <w:shd w:val="clear" w:color="auto" w:fill="auto"/>
            <w:noWrap/>
            <w:vAlign w:val="center"/>
            <w:hideMark/>
          </w:tcPr>
          <w:p w14:paraId="240A7C95"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30.000.000</w:t>
            </w:r>
          </w:p>
        </w:tc>
      </w:tr>
      <w:tr w:rsidR="00DB7155" w:rsidRPr="00D91368" w14:paraId="12F18CDD" w14:textId="77777777" w:rsidTr="00145E5A">
        <w:trPr>
          <w:trHeight w:val="315"/>
        </w:trPr>
        <w:tc>
          <w:tcPr>
            <w:tcW w:w="2835" w:type="dxa"/>
            <w:shd w:val="clear" w:color="auto" w:fill="auto"/>
            <w:noWrap/>
            <w:vAlign w:val="center"/>
            <w:hideMark/>
          </w:tcPr>
          <w:p w14:paraId="3883C06A"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Primatec</w:t>
            </w:r>
          </w:p>
        </w:tc>
        <w:tc>
          <w:tcPr>
            <w:tcW w:w="1605" w:type="dxa"/>
            <w:shd w:val="clear" w:color="auto" w:fill="auto"/>
            <w:noWrap/>
            <w:vAlign w:val="center"/>
            <w:hideMark/>
          </w:tcPr>
          <w:p w14:paraId="317974C8"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14</w:t>
            </w:r>
          </w:p>
        </w:tc>
        <w:tc>
          <w:tcPr>
            <w:tcW w:w="2140" w:type="dxa"/>
            <w:shd w:val="clear" w:color="auto" w:fill="auto"/>
            <w:noWrap/>
            <w:vAlign w:val="center"/>
            <w:hideMark/>
          </w:tcPr>
          <w:p w14:paraId="1B81E111"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100.000.000</w:t>
            </w:r>
          </w:p>
        </w:tc>
        <w:tc>
          <w:tcPr>
            <w:tcW w:w="2480" w:type="dxa"/>
            <w:shd w:val="clear" w:color="auto" w:fill="auto"/>
            <w:noWrap/>
            <w:vAlign w:val="center"/>
            <w:hideMark/>
          </w:tcPr>
          <w:p w14:paraId="60A41CCB"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40.000.000</w:t>
            </w:r>
          </w:p>
        </w:tc>
      </w:tr>
      <w:tr w:rsidR="00DB7155" w:rsidRPr="00D91368" w14:paraId="71A766D0" w14:textId="77777777" w:rsidTr="00145E5A">
        <w:trPr>
          <w:trHeight w:val="315"/>
        </w:trPr>
        <w:tc>
          <w:tcPr>
            <w:tcW w:w="2835" w:type="dxa"/>
            <w:shd w:val="clear" w:color="auto" w:fill="auto"/>
            <w:noWrap/>
            <w:vAlign w:val="center"/>
            <w:hideMark/>
          </w:tcPr>
          <w:p w14:paraId="57B5AA17"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RB Nordeste II</w:t>
            </w:r>
          </w:p>
        </w:tc>
        <w:tc>
          <w:tcPr>
            <w:tcW w:w="1605" w:type="dxa"/>
            <w:shd w:val="clear" w:color="auto" w:fill="auto"/>
            <w:noWrap/>
            <w:vAlign w:val="center"/>
            <w:hideMark/>
          </w:tcPr>
          <w:p w14:paraId="6F4B09D9"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0</w:t>
            </w:r>
          </w:p>
        </w:tc>
        <w:tc>
          <w:tcPr>
            <w:tcW w:w="2140" w:type="dxa"/>
            <w:shd w:val="clear" w:color="auto" w:fill="auto"/>
            <w:noWrap/>
            <w:vAlign w:val="center"/>
            <w:hideMark/>
          </w:tcPr>
          <w:p w14:paraId="2CC5AD57"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131.800.000</w:t>
            </w:r>
          </w:p>
        </w:tc>
        <w:tc>
          <w:tcPr>
            <w:tcW w:w="2480" w:type="dxa"/>
            <w:shd w:val="clear" w:color="auto" w:fill="auto"/>
            <w:noWrap/>
            <w:vAlign w:val="center"/>
            <w:hideMark/>
          </w:tcPr>
          <w:p w14:paraId="36979E79"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15.000.000</w:t>
            </w:r>
          </w:p>
        </w:tc>
      </w:tr>
      <w:tr w:rsidR="00DB7155" w:rsidRPr="00D91368" w14:paraId="3BDB21CD" w14:textId="77777777" w:rsidTr="00145E5A">
        <w:trPr>
          <w:trHeight w:val="315"/>
        </w:trPr>
        <w:tc>
          <w:tcPr>
            <w:tcW w:w="2835" w:type="dxa"/>
            <w:shd w:val="clear" w:color="auto" w:fill="auto"/>
            <w:noWrap/>
            <w:vAlign w:val="center"/>
            <w:hideMark/>
          </w:tcPr>
          <w:p w14:paraId="3E20381E"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Sul Inovação</w:t>
            </w:r>
          </w:p>
        </w:tc>
        <w:tc>
          <w:tcPr>
            <w:tcW w:w="1605" w:type="dxa"/>
            <w:shd w:val="clear" w:color="auto" w:fill="auto"/>
            <w:noWrap/>
            <w:vAlign w:val="center"/>
            <w:hideMark/>
          </w:tcPr>
          <w:p w14:paraId="7515A8CB" w14:textId="77777777" w:rsidR="00DB7155" w:rsidRPr="00D91368" w:rsidRDefault="00DB7155" w:rsidP="00097EE2">
            <w:pPr>
              <w:jc w:val="center"/>
              <w:rPr>
                <w:rFonts w:ascii="Tahoma" w:hAnsi="Tahoma" w:cs="Tahoma"/>
                <w:color w:val="000000"/>
                <w:sz w:val="18"/>
                <w:szCs w:val="18"/>
              </w:rPr>
            </w:pPr>
            <w:r>
              <w:rPr>
                <w:rFonts w:ascii="Tahoma" w:hAnsi="Tahoma" w:cs="Tahoma"/>
                <w:color w:val="000000"/>
                <w:sz w:val="18"/>
                <w:szCs w:val="18"/>
              </w:rPr>
              <w:t>4</w:t>
            </w:r>
          </w:p>
        </w:tc>
        <w:tc>
          <w:tcPr>
            <w:tcW w:w="2140" w:type="dxa"/>
            <w:shd w:val="clear" w:color="auto" w:fill="auto"/>
            <w:noWrap/>
            <w:vAlign w:val="center"/>
            <w:hideMark/>
          </w:tcPr>
          <w:p w14:paraId="5AF9620A"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43.000.000</w:t>
            </w:r>
          </w:p>
        </w:tc>
        <w:tc>
          <w:tcPr>
            <w:tcW w:w="2480" w:type="dxa"/>
            <w:shd w:val="clear" w:color="auto" w:fill="auto"/>
            <w:noWrap/>
            <w:vAlign w:val="center"/>
            <w:hideMark/>
          </w:tcPr>
          <w:p w14:paraId="2C3301DC"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30.000.000</w:t>
            </w:r>
          </w:p>
        </w:tc>
      </w:tr>
      <w:tr w:rsidR="00DB7155" w:rsidRPr="00D91368" w14:paraId="1C0C3CB8" w14:textId="77777777" w:rsidTr="00145E5A">
        <w:trPr>
          <w:trHeight w:val="315"/>
        </w:trPr>
        <w:tc>
          <w:tcPr>
            <w:tcW w:w="2835" w:type="dxa"/>
            <w:shd w:val="clear" w:color="auto" w:fill="auto"/>
            <w:noWrap/>
            <w:vAlign w:val="center"/>
            <w:hideMark/>
          </w:tcPr>
          <w:p w14:paraId="60AC76E2"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Terra Viva</w:t>
            </w:r>
          </w:p>
        </w:tc>
        <w:tc>
          <w:tcPr>
            <w:tcW w:w="1605" w:type="dxa"/>
            <w:shd w:val="clear" w:color="auto" w:fill="auto"/>
            <w:noWrap/>
            <w:vAlign w:val="center"/>
            <w:hideMark/>
          </w:tcPr>
          <w:p w14:paraId="5359ABE5"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w:t>
            </w:r>
          </w:p>
        </w:tc>
        <w:tc>
          <w:tcPr>
            <w:tcW w:w="2140" w:type="dxa"/>
            <w:shd w:val="clear" w:color="auto" w:fill="auto"/>
            <w:noWrap/>
            <w:vAlign w:val="center"/>
            <w:hideMark/>
          </w:tcPr>
          <w:p w14:paraId="32244A55"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296.200.000</w:t>
            </w:r>
          </w:p>
        </w:tc>
        <w:tc>
          <w:tcPr>
            <w:tcW w:w="2480" w:type="dxa"/>
            <w:shd w:val="clear" w:color="auto" w:fill="auto"/>
            <w:noWrap/>
            <w:vAlign w:val="center"/>
            <w:hideMark/>
          </w:tcPr>
          <w:p w14:paraId="35446610"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20.000.000</w:t>
            </w:r>
          </w:p>
        </w:tc>
      </w:tr>
      <w:tr w:rsidR="00DB7155" w:rsidRPr="00D91368" w14:paraId="22016BC2" w14:textId="77777777" w:rsidTr="00145E5A">
        <w:trPr>
          <w:trHeight w:val="315"/>
        </w:trPr>
        <w:tc>
          <w:tcPr>
            <w:tcW w:w="2835" w:type="dxa"/>
            <w:shd w:val="clear" w:color="auto" w:fill="auto"/>
            <w:noWrap/>
            <w:vAlign w:val="center"/>
            <w:hideMark/>
          </w:tcPr>
          <w:p w14:paraId="1C822E92" w14:textId="77777777" w:rsidR="00DB7155" w:rsidRPr="00D91368" w:rsidRDefault="00DB7155" w:rsidP="00097EE2">
            <w:pPr>
              <w:rPr>
                <w:rFonts w:ascii="Tahoma" w:hAnsi="Tahoma" w:cs="Tahoma"/>
                <w:color w:val="000000"/>
                <w:sz w:val="18"/>
                <w:szCs w:val="18"/>
              </w:rPr>
            </w:pPr>
            <w:r w:rsidRPr="00D91368">
              <w:rPr>
                <w:rFonts w:ascii="Tahoma" w:hAnsi="Tahoma" w:cs="Tahoma"/>
                <w:color w:val="000000"/>
                <w:sz w:val="18"/>
                <w:szCs w:val="18"/>
              </w:rPr>
              <w:t>VOX Impact Investing I</w:t>
            </w:r>
          </w:p>
        </w:tc>
        <w:tc>
          <w:tcPr>
            <w:tcW w:w="1605" w:type="dxa"/>
            <w:shd w:val="clear" w:color="auto" w:fill="auto"/>
            <w:noWrap/>
            <w:vAlign w:val="center"/>
            <w:hideMark/>
          </w:tcPr>
          <w:p w14:paraId="494154B4"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3</w:t>
            </w:r>
          </w:p>
        </w:tc>
        <w:tc>
          <w:tcPr>
            <w:tcW w:w="2140" w:type="dxa"/>
            <w:shd w:val="clear" w:color="auto" w:fill="auto"/>
            <w:noWrap/>
            <w:vAlign w:val="center"/>
            <w:hideMark/>
          </w:tcPr>
          <w:p w14:paraId="6A5B6A09"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84.350.000</w:t>
            </w:r>
          </w:p>
        </w:tc>
        <w:tc>
          <w:tcPr>
            <w:tcW w:w="2480" w:type="dxa"/>
            <w:shd w:val="clear" w:color="auto" w:fill="auto"/>
            <w:noWrap/>
            <w:vAlign w:val="center"/>
            <w:hideMark/>
          </w:tcPr>
          <w:p w14:paraId="4FFFC3A5" w14:textId="77777777" w:rsidR="00DB7155" w:rsidRPr="00D91368" w:rsidRDefault="00DB7155" w:rsidP="00097EE2">
            <w:pPr>
              <w:jc w:val="center"/>
              <w:rPr>
                <w:rFonts w:ascii="Tahoma" w:hAnsi="Tahoma" w:cs="Tahoma"/>
                <w:color w:val="000000"/>
                <w:sz w:val="18"/>
                <w:szCs w:val="18"/>
              </w:rPr>
            </w:pPr>
            <w:r w:rsidRPr="00D91368">
              <w:rPr>
                <w:rFonts w:ascii="Tahoma" w:hAnsi="Tahoma" w:cs="Tahoma"/>
                <w:color w:val="000000"/>
                <w:sz w:val="18"/>
                <w:szCs w:val="18"/>
              </w:rPr>
              <w:t>20.000.000</w:t>
            </w:r>
          </w:p>
        </w:tc>
      </w:tr>
      <w:tr w:rsidR="00210336" w:rsidRPr="00210336" w14:paraId="6C3815F1" w14:textId="77777777" w:rsidTr="00145E5A">
        <w:trPr>
          <w:trHeight w:val="315"/>
        </w:trPr>
        <w:tc>
          <w:tcPr>
            <w:tcW w:w="2835" w:type="dxa"/>
            <w:shd w:val="clear" w:color="auto" w:fill="0098BA"/>
            <w:noWrap/>
            <w:vAlign w:val="center"/>
            <w:hideMark/>
          </w:tcPr>
          <w:p w14:paraId="2B8FAAA6" w14:textId="3FF16A46" w:rsidR="00DB7155" w:rsidRPr="00210336" w:rsidRDefault="00DB7155" w:rsidP="00097EE2">
            <w:pPr>
              <w:rPr>
                <w:rFonts w:ascii="Tahoma" w:hAnsi="Tahoma" w:cs="Tahoma"/>
                <w:color w:val="FFFFFF" w:themeColor="background1"/>
                <w:sz w:val="18"/>
                <w:szCs w:val="18"/>
              </w:rPr>
            </w:pPr>
            <w:r w:rsidRPr="00210336">
              <w:rPr>
                <w:rFonts w:ascii="Tahoma" w:hAnsi="Tahoma" w:cs="Tahoma"/>
                <w:color w:val="FFFFFF" w:themeColor="background1"/>
                <w:sz w:val="18"/>
                <w:szCs w:val="18"/>
              </w:rPr>
              <w:t>T</w:t>
            </w:r>
            <w:r w:rsidR="00210336">
              <w:rPr>
                <w:rFonts w:ascii="Tahoma" w:hAnsi="Tahoma" w:cs="Tahoma"/>
                <w:color w:val="FFFFFF" w:themeColor="background1"/>
                <w:sz w:val="18"/>
                <w:szCs w:val="18"/>
              </w:rPr>
              <w:t>otal</w:t>
            </w:r>
          </w:p>
        </w:tc>
        <w:tc>
          <w:tcPr>
            <w:tcW w:w="1605" w:type="dxa"/>
            <w:shd w:val="clear" w:color="auto" w:fill="0098BA"/>
            <w:noWrap/>
            <w:vAlign w:val="center"/>
            <w:hideMark/>
          </w:tcPr>
          <w:p w14:paraId="41926C7C" w14:textId="77777777" w:rsidR="00DB7155" w:rsidRPr="00210336" w:rsidRDefault="00DB7155" w:rsidP="00097EE2">
            <w:pPr>
              <w:jc w:val="center"/>
              <w:rPr>
                <w:rFonts w:ascii="Tahoma" w:hAnsi="Tahoma" w:cs="Tahoma"/>
                <w:color w:val="FFFFFF" w:themeColor="background1"/>
                <w:sz w:val="18"/>
                <w:szCs w:val="18"/>
              </w:rPr>
            </w:pPr>
            <w:r w:rsidRPr="00210336">
              <w:rPr>
                <w:rFonts w:ascii="Tahoma" w:hAnsi="Tahoma" w:cs="Tahoma"/>
                <w:color w:val="FFFFFF" w:themeColor="background1"/>
                <w:sz w:val="18"/>
                <w:szCs w:val="18"/>
              </w:rPr>
              <w:t>90</w:t>
            </w:r>
          </w:p>
        </w:tc>
        <w:tc>
          <w:tcPr>
            <w:tcW w:w="2140" w:type="dxa"/>
            <w:shd w:val="clear" w:color="auto" w:fill="0098BA"/>
            <w:noWrap/>
            <w:vAlign w:val="center"/>
            <w:hideMark/>
          </w:tcPr>
          <w:p w14:paraId="2958A425" w14:textId="77777777" w:rsidR="00DB7155" w:rsidRPr="00210336" w:rsidRDefault="00DB7155" w:rsidP="00097EE2">
            <w:pPr>
              <w:jc w:val="center"/>
              <w:rPr>
                <w:rFonts w:ascii="Tahoma" w:hAnsi="Tahoma" w:cs="Tahoma"/>
                <w:color w:val="FFFFFF" w:themeColor="background1"/>
                <w:sz w:val="18"/>
                <w:szCs w:val="18"/>
              </w:rPr>
            </w:pPr>
            <w:r w:rsidRPr="00210336">
              <w:rPr>
                <w:rFonts w:ascii="Tahoma" w:hAnsi="Tahoma" w:cs="Tahoma"/>
                <w:color w:val="FFFFFF" w:themeColor="background1"/>
                <w:sz w:val="18"/>
                <w:szCs w:val="18"/>
              </w:rPr>
              <w:t>3.325.979.000,00</w:t>
            </w:r>
          </w:p>
        </w:tc>
        <w:tc>
          <w:tcPr>
            <w:tcW w:w="2480" w:type="dxa"/>
            <w:shd w:val="clear" w:color="auto" w:fill="0098BA"/>
            <w:noWrap/>
            <w:vAlign w:val="center"/>
            <w:hideMark/>
          </w:tcPr>
          <w:p w14:paraId="489DE3C7" w14:textId="77777777" w:rsidR="00DB7155" w:rsidRPr="00210336" w:rsidRDefault="00DB7155" w:rsidP="00097EE2">
            <w:pPr>
              <w:jc w:val="center"/>
              <w:rPr>
                <w:rFonts w:ascii="Tahoma" w:hAnsi="Tahoma" w:cs="Tahoma"/>
                <w:color w:val="FFFFFF" w:themeColor="background1"/>
                <w:sz w:val="18"/>
                <w:szCs w:val="18"/>
              </w:rPr>
            </w:pPr>
            <w:r w:rsidRPr="00210336">
              <w:rPr>
                <w:rFonts w:ascii="Tahoma" w:hAnsi="Tahoma" w:cs="Tahoma"/>
                <w:color w:val="FFFFFF" w:themeColor="background1"/>
                <w:sz w:val="18"/>
                <w:szCs w:val="18"/>
              </w:rPr>
              <w:t>489.200.000,00</w:t>
            </w:r>
          </w:p>
        </w:tc>
      </w:tr>
    </w:tbl>
    <w:p w14:paraId="3EAEB7C9" w14:textId="2B86DAB2" w:rsidR="00DB7155" w:rsidRPr="005429FB" w:rsidRDefault="00DB7155" w:rsidP="00B839AF">
      <w:pPr>
        <w:spacing w:before="60"/>
        <w:ind w:left="142"/>
        <w:rPr>
          <w:rFonts w:ascii="Tahoma" w:hAnsi="Tahoma" w:cs="Tahoma"/>
          <w:sz w:val="18"/>
          <w:szCs w:val="18"/>
        </w:rPr>
      </w:pPr>
      <w:r w:rsidRPr="00210336">
        <w:rPr>
          <w:rFonts w:ascii="Tahoma" w:hAnsi="Tahoma" w:cs="Tahoma"/>
          <w:b/>
          <w:bCs/>
          <w:sz w:val="18"/>
          <w:szCs w:val="18"/>
        </w:rPr>
        <w:t>Dados obtidos em</w:t>
      </w:r>
      <w:r w:rsidR="00210336">
        <w:rPr>
          <w:rFonts w:ascii="Tahoma" w:hAnsi="Tahoma" w:cs="Tahoma"/>
          <w:sz w:val="18"/>
          <w:szCs w:val="18"/>
        </w:rPr>
        <w:t>:</w:t>
      </w:r>
      <w:r w:rsidRPr="005429FB">
        <w:rPr>
          <w:rFonts w:ascii="Tahoma" w:hAnsi="Tahoma" w:cs="Tahoma"/>
          <w:sz w:val="18"/>
          <w:szCs w:val="18"/>
        </w:rPr>
        <w:t xml:space="preserve"> </w:t>
      </w:r>
      <w:r>
        <w:rPr>
          <w:rFonts w:ascii="Tahoma" w:hAnsi="Tahoma" w:cs="Tahoma"/>
          <w:sz w:val="18"/>
          <w:szCs w:val="18"/>
        </w:rPr>
        <w:t>24</w:t>
      </w:r>
      <w:r w:rsidRPr="005429FB">
        <w:rPr>
          <w:rFonts w:ascii="Tahoma" w:hAnsi="Tahoma" w:cs="Tahoma"/>
          <w:sz w:val="18"/>
          <w:szCs w:val="18"/>
        </w:rPr>
        <w:t>/0</w:t>
      </w:r>
      <w:r>
        <w:rPr>
          <w:rFonts w:ascii="Tahoma" w:hAnsi="Tahoma" w:cs="Tahoma"/>
          <w:sz w:val="18"/>
          <w:szCs w:val="18"/>
        </w:rPr>
        <w:t>1</w:t>
      </w:r>
      <w:r w:rsidRPr="005429FB">
        <w:rPr>
          <w:rFonts w:ascii="Tahoma" w:hAnsi="Tahoma" w:cs="Tahoma"/>
          <w:sz w:val="18"/>
          <w:szCs w:val="18"/>
        </w:rPr>
        <w:t>/2023</w:t>
      </w:r>
    </w:p>
    <w:p w14:paraId="4FCD6FF6" w14:textId="77777777" w:rsidR="00DB7155" w:rsidRDefault="00DB7155" w:rsidP="00B839AF">
      <w:pPr>
        <w:spacing w:before="120" w:line="360" w:lineRule="auto"/>
        <w:jc w:val="both"/>
        <w:rPr>
          <w:rFonts w:ascii="Tahoma" w:hAnsi="Tahoma" w:cs="Tahoma"/>
          <w:sz w:val="19"/>
          <w:szCs w:val="19"/>
        </w:rPr>
      </w:pPr>
      <w:r>
        <w:rPr>
          <w:rFonts w:ascii="Tahoma" w:hAnsi="Tahoma" w:cs="Tahoma"/>
          <w:sz w:val="19"/>
          <w:szCs w:val="19"/>
        </w:rPr>
        <w:t xml:space="preserve">Destacamos que esses Fundos </w:t>
      </w:r>
      <w:r w:rsidRPr="00340814">
        <w:rPr>
          <w:rFonts w:ascii="Tahoma" w:hAnsi="Tahoma" w:cs="Tahoma"/>
          <w:sz w:val="19"/>
          <w:szCs w:val="19"/>
        </w:rPr>
        <w:t>estão no período de desinvestimento, ou seja, na fase de venda das empresas da carteira e devolução de recurso</w:t>
      </w:r>
      <w:r>
        <w:rPr>
          <w:rFonts w:ascii="Tahoma" w:hAnsi="Tahoma" w:cs="Tahoma"/>
          <w:sz w:val="19"/>
          <w:szCs w:val="19"/>
        </w:rPr>
        <w:t>s</w:t>
      </w:r>
      <w:r w:rsidRPr="00340814">
        <w:rPr>
          <w:rFonts w:ascii="Tahoma" w:hAnsi="Tahoma" w:cs="Tahoma"/>
          <w:sz w:val="19"/>
          <w:szCs w:val="19"/>
        </w:rPr>
        <w:t xml:space="preserve"> aos cotistas. </w:t>
      </w:r>
      <w:r>
        <w:rPr>
          <w:rFonts w:ascii="Tahoma" w:hAnsi="Tahoma" w:cs="Tahoma"/>
          <w:sz w:val="19"/>
          <w:szCs w:val="19"/>
        </w:rPr>
        <w:t>Não houve novos investimentos em 2023.</w:t>
      </w:r>
    </w:p>
    <w:p w14:paraId="6601F3C2" w14:textId="77777777" w:rsidR="00760700" w:rsidRDefault="00760700" w:rsidP="00760700">
      <w:pPr>
        <w:jc w:val="both"/>
        <w:rPr>
          <w:rFonts w:ascii="Tahoma" w:hAnsi="Tahoma" w:cs="Tahoma"/>
          <w:sz w:val="19"/>
          <w:szCs w:val="19"/>
        </w:rPr>
      </w:pPr>
    </w:p>
    <w:p w14:paraId="47B7C84D" w14:textId="3288F547" w:rsidR="000D6D0A" w:rsidRPr="00210336" w:rsidRDefault="00210336" w:rsidP="00B839AF">
      <w:pPr>
        <w:rPr>
          <w:rFonts w:ascii="Tahoma" w:hAnsi="Tahoma" w:cs="Tahoma"/>
          <w:color w:val="0098BA"/>
          <w:sz w:val="19"/>
          <w:szCs w:val="19"/>
        </w:rPr>
      </w:pPr>
      <w:r w:rsidRPr="00210336">
        <w:rPr>
          <w:rFonts w:ascii="Tahoma" w:hAnsi="Tahoma" w:cs="Tahoma"/>
          <w:color w:val="0098BA"/>
          <w:sz w:val="19"/>
          <w:szCs w:val="19"/>
        </w:rPr>
        <w:t>Exemplos de projetos</w:t>
      </w:r>
    </w:p>
    <w:p w14:paraId="0150676C" w14:textId="7E40EFA8" w:rsidR="00210336" w:rsidRDefault="00210336" w:rsidP="00B839AF">
      <w:pPr>
        <w:spacing w:before="120"/>
        <w:rPr>
          <w:rFonts w:ascii="Tahoma" w:hAnsi="Tahoma" w:cs="Tahoma"/>
          <w:sz w:val="19"/>
          <w:szCs w:val="19"/>
        </w:rPr>
      </w:pPr>
      <w:r>
        <w:rPr>
          <w:noProof/>
        </w:rPr>
        <w:drawing>
          <wp:inline distT="0" distB="0" distL="0" distR="0" wp14:anchorId="05C37575" wp14:editId="330DC195">
            <wp:extent cx="5677469" cy="3056890"/>
            <wp:effectExtent l="0" t="0" r="0" b="0"/>
            <wp:docPr id="111801975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19750" name=""/>
                    <pic:cNvPicPr/>
                  </pic:nvPicPr>
                  <pic:blipFill rotWithShape="1">
                    <a:blip r:embed="rId184">
                      <a:extLst>
                        <a:ext uri="{96DAC541-7B7A-43D3-8B79-37D633B846F1}">
                          <asvg:svgBlip xmlns:asvg="http://schemas.microsoft.com/office/drawing/2016/SVG/main" r:embed="rId185"/>
                        </a:ext>
                      </a:extLst>
                    </a:blip>
                    <a:srcRect l="1295" t="3978" r="707" b="2213"/>
                    <a:stretch/>
                  </pic:blipFill>
                  <pic:spPr bwMode="auto">
                    <a:xfrm>
                      <a:off x="0" y="0"/>
                      <a:ext cx="5678972" cy="3057699"/>
                    </a:xfrm>
                    <a:prstGeom prst="rect">
                      <a:avLst/>
                    </a:prstGeom>
                    <a:ln>
                      <a:noFill/>
                    </a:ln>
                    <a:extLst>
                      <a:ext uri="{53640926-AAD7-44D8-BBD7-CCE9431645EC}">
                        <a14:shadowObscured xmlns:a14="http://schemas.microsoft.com/office/drawing/2010/main"/>
                      </a:ext>
                    </a:extLst>
                  </pic:spPr>
                </pic:pic>
              </a:graphicData>
            </a:graphic>
          </wp:inline>
        </w:drawing>
      </w:r>
      <w:bookmarkStart w:id="133" w:name="_Hlk128675296"/>
      <w:bookmarkStart w:id="134" w:name="_Toc93683645"/>
      <w:bookmarkStart w:id="135" w:name="_Toc94256483"/>
      <w:bookmarkStart w:id="136" w:name="_Toc94278208"/>
      <w:bookmarkStart w:id="137" w:name="_Toc97244815"/>
      <w:bookmarkStart w:id="138" w:name="_Toc98429502"/>
      <w:bookmarkStart w:id="139" w:name="_Toc98970146"/>
      <w:bookmarkStart w:id="140" w:name="_Toc105003445"/>
      <w:bookmarkStart w:id="141" w:name="_Toc105003803"/>
      <w:bookmarkStart w:id="142" w:name="_Toc105006486"/>
      <w:bookmarkStart w:id="143" w:name="_Toc105008233"/>
      <w:bookmarkEnd w:id="129"/>
      <w:r>
        <w:rPr>
          <w:rFonts w:ascii="Tahoma" w:hAnsi="Tahoma" w:cs="Tahoma"/>
          <w:sz w:val="19"/>
          <w:szCs w:val="19"/>
        </w:rPr>
        <w:br w:type="page"/>
      </w:r>
    </w:p>
    <w:p w14:paraId="654DCE36" w14:textId="2F834534" w:rsidR="000D6D0A" w:rsidRPr="00BC4AA4" w:rsidRDefault="00210336" w:rsidP="00F028D2">
      <w:pPr>
        <w:pStyle w:val="Ttulo2"/>
        <w:spacing w:before="0" w:after="120" w:line="360" w:lineRule="auto"/>
        <w:ind w:left="862" w:hanging="578"/>
        <w:rPr>
          <w:rFonts w:ascii="Tahoma" w:hAnsi="Tahoma" w:cs="Tahoma"/>
          <w:color w:val="0098BA"/>
          <w:sz w:val="24"/>
          <w:szCs w:val="24"/>
        </w:rPr>
      </w:pPr>
      <w:bookmarkStart w:id="144" w:name="_Toc131692245"/>
      <w:bookmarkStart w:id="145" w:name="_Toc163025260"/>
      <w:bookmarkStart w:id="146" w:name="_Toc162512597"/>
      <w:r>
        <w:rPr>
          <w:rFonts w:ascii="Tahoma" w:hAnsi="Tahoma" w:cs="Tahoma"/>
          <w:color w:val="0098BA"/>
          <w:sz w:val="24"/>
          <w:szCs w:val="24"/>
        </w:rPr>
        <w:lastRenderedPageBreak/>
        <w:t>M</w:t>
      </w:r>
      <w:r w:rsidR="00BB0E07" w:rsidRPr="00BC4AA4">
        <w:rPr>
          <w:rFonts w:ascii="Tahoma" w:hAnsi="Tahoma" w:cs="Tahoma"/>
          <w:color w:val="0098BA"/>
          <w:sz w:val="24"/>
          <w:szCs w:val="24"/>
        </w:rPr>
        <w:t xml:space="preserve">onitoramento e </w:t>
      </w:r>
      <w:r w:rsidR="00F028D2" w:rsidRPr="00BC4AA4">
        <w:rPr>
          <w:rFonts w:ascii="Tahoma" w:hAnsi="Tahoma" w:cs="Tahoma"/>
          <w:color w:val="0098BA"/>
          <w:sz w:val="24"/>
          <w:szCs w:val="24"/>
        </w:rPr>
        <w:t>a</w:t>
      </w:r>
      <w:r w:rsidR="00BB0E07" w:rsidRPr="00BC4AA4">
        <w:rPr>
          <w:rFonts w:ascii="Tahoma" w:hAnsi="Tahoma" w:cs="Tahoma"/>
          <w:color w:val="0098BA"/>
          <w:sz w:val="24"/>
          <w:szCs w:val="24"/>
        </w:rPr>
        <w:t>valiação</w:t>
      </w:r>
      <w:bookmarkEnd w:id="144"/>
      <w:r w:rsidR="00F028D2" w:rsidRPr="00BC4AA4">
        <w:rPr>
          <w:rFonts w:ascii="Tahoma" w:hAnsi="Tahoma" w:cs="Tahoma"/>
          <w:color w:val="0098BA"/>
          <w:sz w:val="24"/>
          <w:szCs w:val="24"/>
        </w:rPr>
        <w:t xml:space="preserve"> de resultados</w:t>
      </w:r>
      <w:bookmarkEnd w:id="145"/>
      <w:bookmarkEnd w:id="146"/>
    </w:p>
    <w:p w14:paraId="77A8DC73" w14:textId="77777777" w:rsidR="00F028D2" w:rsidRPr="00BC4AA4" w:rsidRDefault="00F028D2" w:rsidP="00BC4AA4">
      <w:pPr>
        <w:spacing w:before="120" w:after="120" w:line="360" w:lineRule="auto"/>
        <w:rPr>
          <w:rFonts w:ascii="Tahoma" w:hAnsi="Tahoma" w:cs="Tahoma"/>
          <w:sz w:val="19"/>
          <w:szCs w:val="19"/>
        </w:rPr>
      </w:pPr>
      <w:r w:rsidRPr="00BC4AA4">
        <w:rPr>
          <w:rFonts w:ascii="Tahoma" w:hAnsi="Tahoma" w:cs="Tahoma"/>
          <w:sz w:val="19"/>
          <w:szCs w:val="19"/>
        </w:rPr>
        <w:t>Entendemos a importância de avaliar a eficácia de nossas ações e garantir transparência na utilização dos recursos públicos, principalmente aqueles provenientes do Fundo Nacional de Desenvolvimento Científico e Tecnológico (FNDCT). Para isso, a Finep tem continuamente progredido na implementação da coleta de dados em seus sistemas operacionais e no processo de Monitoramento e Avaliação de resultados (M&amp;A).</w:t>
      </w:r>
    </w:p>
    <w:p w14:paraId="241E22A9" w14:textId="77777777" w:rsidR="00F028D2" w:rsidRPr="00BC4AA4" w:rsidRDefault="00F028D2" w:rsidP="00BC4AA4">
      <w:pPr>
        <w:spacing w:before="120" w:after="120" w:line="360" w:lineRule="auto"/>
        <w:rPr>
          <w:rFonts w:ascii="Tahoma" w:hAnsi="Tahoma" w:cs="Tahoma"/>
          <w:sz w:val="19"/>
          <w:szCs w:val="19"/>
        </w:rPr>
      </w:pPr>
      <w:r w:rsidRPr="00BC4AA4">
        <w:rPr>
          <w:rFonts w:ascii="Tahoma" w:hAnsi="Tahoma" w:cs="Tahoma"/>
          <w:sz w:val="19"/>
          <w:szCs w:val="19"/>
        </w:rPr>
        <w:t>No entanto, o processo de M&amp;A é complexo e requer tempo para amadurecer, pois demanda mudanças na forma como a nossa cultura e a cultura de nosso ambiente institucional lidam com o ciclo de elaboração e a implementação de políticas públicas. Além disso, outro fator a destacar é que parte significativa desse ciclo ocorre antes do momento de nossa atuação.</w:t>
      </w:r>
    </w:p>
    <w:p w14:paraId="3324830A" w14:textId="77777777" w:rsidR="00F028D2" w:rsidRPr="00BC4AA4" w:rsidRDefault="00F028D2" w:rsidP="00BC4AA4">
      <w:pPr>
        <w:spacing w:before="120" w:after="120" w:line="360" w:lineRule="auto"/>
        <w:rPr>
          <w:rFonts w:ascii="Tahoma" w:hAnsi="Tahoma" w:cs="Tahoma"/>
          <w:sz w:val="19"/>
          <w:szCs w:val="19"/>
        </w:rPr>
      </w:pPr>
      <w:r w:rsidRPr="00BC4AA4">
        <w:rPr>
          <w:rFonts w:ascii="Tahoma" w:hAnsi="Tahoma" w:cs="Tahoma"/>
          <w:sz w:val="19"/>
          <w:szCs w:val="19"/>
        </w:rPr>
        <w:t>Com a aprovação do normativo interno que estabeleceu o processo de Monitoramento e Avaliação (M&amp;A) da Finep e a publicação do Plano Trienal de Avaliação em dezembro de 2022, esperamos que se consolidem mudanças importantes nos procedimentos de priorização e nas diretrizes para a aplicação dos recursos do FNDCT, nossa principal fonte de financiamento, iniciadas no Plano de Investimento do Fundo em 2023.</w:t>
      </w:r>
    </w:p>
    <w:p w14:paraId="1AC3E1B7" w14:textId="16C54922" w:rsidR="00F028D2" w:rsidRPr="00BC4AA4" w:rsidRDefault="00BB6F1A" w:rsidP="00BC4AA4">
      <w:pPr>
        <w:spacing w:before="120" w:after="120" w:line="360" w:lineRule="auto"/>
        <w:rPr>
          <w:rFonts w:ascii="Tahoma" w:hAnsi="Tahoma" w:cs="Tahoma"/>
          <w:sz w:val="19"/>
          <w:szCs w:val="19"/>
        </w:rPr>
      </w:pPr>
      <w:r w:rsidRPr="00BC4AA4">
        <w:rPr>
          <w:rFonts w:ascii="Tahoma" w:hAnsi="Tahoma" w:cs="Tahoma"/>
          <w:sz w:val="19"/>
          <w:szCs w:val="19"/>
        </w:rPr>
        <w:t xml:space="preserve">Quanto à organização do FNDCT, em março de 2023, o Conselho Diretor do FNDCT aprovou a </w:t>
      </w:r>
      <w:hyperlink r:id="rId186" w:history="1">
        <w:r w:rsidRPr="00BC4AA4">
          <w:rPr>
            <w:rStyle w:val="Hyperlink"/>
            <w:rFonts w:ascii="Tahoma" w:hAnsi="Tahoma" w:cs="Tahoma"/>
            <w:sz w:val="19"/>
            <w:szCs w:val="19"/>
          </w:rPr>
          <w:t>Resolução do FNDCT 845/23</w:t>
        </w:r>
      </w:hyperlink>
      <w:r w:rsidRPr="00BC4AA4">
        <w:rPr>
          <w:rFonts w:ascii="Tahoma" w:hAnsi="Tahoma" w:cs="Tahoma"/>
          <w:sz w:val="19"/>
          <w:szCs w:val="19"/>
        </w:rPr>
        <w:t>, que atualizou as normas de organização e funcionamento do Fundo. Além disso, a</w:t>
      </w:r>
      <w:r w:rsidR="00F028D2" w:rsidRPr="00BC4AA4">
        <w:rPr>
          <w:rFonts w:ascii="Tahoma" w:hAnsi="Tahoma" w:cs="Tahoma"/>
          <w:sz w:val="19"/>
          <w:szCs w:val="19"/>
        </w:rPr>
        <w:t xml:space="preserve"> alteração da </w:t>
      </w:r>
      <w:hyperlink r:id="rId187" w:history="1">
        <w:r w:rsidR="00F028D2" w:rsidRPr="00BC4AA4">
          <w:rPr>
            <w:rStyle w:val="Hyperlink"/>
            <w:rFonts w:ascii="Tahoma" w:hAnsi="Tahoma" w:cs="Tahoma"/>
            <w:sz w:val="19"/>
            <w:szCs w:val="19"/>
          </w:rPr>
          <w:t>Portaria MCTI 7.252/2019</w:t>
        </w:r>
      </w:hyperlink>
      <w:r w:rsidR="00F028D2" w:rsidRPr="00BC4AA4">
        <w:rPr>
          <w:rFonts w:ascii="Tahoma" w:hAnsi="Tahoma" w:cs="Tahoma"/>
          <w:sz w:val="19"/>
          <w:szCs w:val="19"/>
        </w:rPr>
        <w:t>, em 27/06/2023</w:t>
      </w:r>
      <w:r w:rsidR="00BC4AA4" w:rsidRPr="00BC4AA4">
        <w:rPr>
          <w:rFonts w:ascii="Tahoma" w:hAnsi="Tahoma" w:cs="Tahoma"/>
          <w:sz w:val="19"/>
          <w:szCs w:val="19"/>
        </w:rPr>
        <w:t xml:space="preserve"> (pela Portaria MCTI 7.1/76/2023) e em 18/08/2023, pela Portaria MCTI 7.353/2023)</w:t>
      </w:r>
      <w:r w:rsidR="00F028D2" w:rsidRPr="00BC4AA4">
        <w:rPr>
          <w:rFonts w:ascii="Tahoma" w:hAnsi="Tahoma" w:cs="Tahoma"/>
          <w:sz w:val="19"/>
          <w:szCs w:val="19"/>
        </w:rPr>
        <w:t>, modificou o processo de apresentação de propostas de financiamento ao Fundo e de elaboração dos planos anuais de investimento dos recursos reembolsáveis e não reembolsáveis do FNDCT. Trouxe ainda a obrigatoriedade de criação de Programas de Investimentos, visando evitar a dispersão de recursos e orientar a aplicação dos recursos em temas prioritários de Ciência, Tecnologia e Inovação (CT&amp;I).</w:t>
      </w:r>
    </w:p>
    <w:p w14:paraId="67B6DD1B" w14:textId="14A8BC54" w:rsidR="00F028D2" w:rsidRPr="00BC4AA4" w:rsidRDefault="00BC4AA4" w:rsidP="00BC4AA4">
      <w:pPr>
        <w:spacing w:before="120" w:after="120" w:line="360" w:lineRule="auto"/>
        <w:rPr>
          <w:rFonts w:ascii="Tahoma" w:hAnsi="Tahoma" w:cs="Tahoma"/>
          <w:sz w:val="19"/>
          <w:szCs w:val="19"/>
        </w:rPr>
      </w:pPr>
      <w:r w:rsidRPr="00BC4AA4">
        <w:rPr>
          <w:rFonts w:ascii="Tahoma" w:hAnsi="Tahoma" w:cs="Tahoma"/>
          <w:sz w:val="19"/>
          <w:szCs w:val="19"/>
        </w:rPr>
        <w:t>Estamos nos</w:t>
      </w:r>
      <w:r w:rsidR="00F028D2" w:rsidRPr="00BC4AA4">
        <w:rPr>
          <w:rFonts w:ascii="Tahoma" w:hAnsi="Tahoma" w:cs="Tahoma"/>
          <w:sz w:val="19"/>
          <w:szCs w:val="19"/>
        </w:rPr>
        <w:t xml:space="preserve"> adaptando a esse novo processo e busca</w:t>
      </w:r>
      <w:r w:rsidRPr="00BC4AA4">
        <w:rPr>
          <w:rFonts w:ascii="Tahoma" w:hAnsi="Tahoma" w:cs="Tahoma"/>
          <w:sz w:val="19"/>
          <w:szCs w:val="19"/>
        </w:rPr>
        <w:t>mos</w:t>
      </w:r>
      <w:r w:rsidR="00F028D2" w:rsidRPr="00BC4AA4">
        <w:rPr>
          <w:rFonts w:ascii="Tahoma" w:hAnsi="Tahoma" w:cs="Tahoma"/>
          <w:sz w:val="19"/>
          <w:szCs w:val="19"/>
        </w:rPr>
        <w:t xml:space="preserve"> participar da construção de sua regulação, em colaboração com o MCTI. Continuamos a coletar dados para os indicadores do Modelo de Avaliação Global (MAG) do FNDCT e, conforme nossos sistemas operacionais evoluem, aprimoramos os formulários utilizados para receber propostas e para a análise dos resultados dos projetos apoiados. Desta forma, captaremos informações relevantes das instituições e ações apoiadas de forma cada vez mais eficaz.</w:t>
      </w:r>
    </w:p>
    <w:p w14:paraId="6D4D346A" w14:textId="77777777" w:rsidR="00F028D2" w:rsidRPr="00BC4AA4" w:rsidRDefault="00F028D2" w:rsidP="00BC4AA4">
      <w:pPr>
        <w:spacing w:before="120" w:after="120" w:line="360" w:lineRule="auto"/>
        <w:rPr>
          <w:rFonts w:ascii="Tahoma" w:hAnsi="Tahoma" w:cs="Tahoma"/>
          <w:sz w:val="19"/>
          <w:szCs w:val="19"/>
        </w:rPr>
      </w:pPr>
      <w:r w:rsidRPr="00BC4AA4">
        <w:rPr>
          <w:rFonts w:ascii="Tahoma" w:hAnsi="Tahoma" w:cs="Tahoma"/>
          <w:sz w:val="19"/>
          <w:szCs w:val="19"/>
        </w:rPr>
        <w:t>Em 2023, implementamos a coleta de dados para os indicadores do MAG no formulário de prestação de contas de projetos que contaram com recursos reembolsáveis, o que possibilitará</w:t>
      </w:r>
      <w:r w:rsidRPr="00BC4AA4">
        <w:rPr>
          <w:rFonts w:ascii="Tahoma" w:eastAsia="Calibri" w:hAnsi="Tahoma" w:cs="Tahoma"/>
          <w:sz w:val="19"/>
          <w:szCs w:val="19"/>
        </w:rPr>
        <w:t xml:space="preserve"> a comparação da situação da empresa ao final do apoio em relação ao momento em que submeteu a proposta de financiamento</w:t>
      </w:r>
      <w:r w:rsidRPr="00BC4AA4">
        <w:rPr>
          <w:rFonts w:ascii="Tahoma" w:hAnsi="Tahoma" w:cs="Tahoma"/>
          <w:sz w:val="19"/>
          <w:szCs w:val="19"/>
        </w:rPr>
        <w:t>. Também revisamos o formulário de submissão de propostas para a utilização de recursos não reembolsáveis no apoio à infraestrutura de pesquisa científica e tecnológica. Avançamos ainda na definição dos requisitos para aperfeiçoar o monitoramento dos resultados dos projetos de crédito que apoiamos de forma descentralizada, por meio de agentes financeiros credenciados.</w:t>
      </w:r>
    </w:p>
    <w:p w14:paraId="45E0BE05" w14:textId="284DABA6" w:rsidR="00BC4AA4" w:rsidRPr="00BC4AA4" w:rsidRDefault="00BC4AA4" w:rsidP="00BC4AA4">
      <w:pPr>
        <w:spacing w:before="120" w:after="120" w:line="360" w:lineRule="auto"/>
        <w:textAlignment w:val="baseline"/>
        <w:rPr>
          <w:rFonts w:ascii="Tahoma" w:hAnsi="Tahoma" w:cs="Tahoma"/>
          <w:sz w:val="19"/>
          <w:szCs w:val="19"/>
        </w:rPr>
      </w:pPr>
      <w:r w:rsidRPr="00BC4AA4">
        <w:rPr>
          <w:rFonts w:ascii="Tahoma" w:hAnsi="Tahoma" w:cs="Tahoma"/>
          <w:sz w:val="19"/>
          <w:szCs w:val="19"/>
        </w:rPr>
        <w:br w:type="page"/>
      </w:r>
    </w:p>
    <w:p w14:paraId="192037F6" w14:textId="77777777" w:rsidR="009B6D8A" w:rsidRPr="007523A7" w:rsidRDefault="009B6D8A" w:rsidP="009B6D8A">
      <w:pPr>
        <w:pStyle w:val="Ttulo1"/>
        <w:rPr>
          <w:rFonts w:ascii="Tahoma" w:hAnsi="Tahoma" w:cs="Tahoma"/>
          <w:color w:val="0098BA"/>
          <w:sz w:val="28"/>
          <w:szCs w:val="28"/>
        </w:rPr>
      </w:pPr>
      <w:bookmarkStart w:id="147" w:name="_Toc163025261"/>
      <w:bookmarkStart w:id="148" w:name="_Toc162512598"/>
      <w:r w:rsidRPr="007523A7">
        <w:rPr>
          <w:rFonts w:ascii="Tahoma" w:hAnsi="Tahoma" w:cs="Tahoma"/>
          <w:color w:val="0098BA"/>
          <w:sz w:val="28"/>
          <w:szCs w:val="28"/>
        </w:rPr>
        <w:lastRenderedPageBreak/>
        <w:t>Desempenho econômico-financeiro</w:t>
      </w:r>
      <w:bookmarkEnd w:id="147"/>
      <w:bookmarkEnd w:id="148"/>
    </w:p>
    <w:p w14:paraId="040F9CA1" w14:textId="5D00B556" w:rsidR="009B6D8A" w:rsidRPr="00210336" w:rsidRDefault="009B6D8A" w:rsidP="00437E1F">
      <w:pPr>
        <w:spacing w:before="120" w:after="120" w:line="360" w:lineRule="auto"/>
        <w:rPr>
          <w:rFonts w:ascii="Tahoma" w:hAnsi="Tahoma" w:cs="Tahoma"/>
          <w:sz w:val="19"/>
          <w:szCs w:val="19"/>
        </w:rPr>
      </w:pPr>
      <w:r w:rsidRPr="00210336">
        <w:rPr>
          <w:rFonts w:ascii="Tahoma" w:hAnsi="Tahoma" w:cs="Tahoma"/>
          <w:sz w:val="19"/>
          <w:szCs w:val="19"/>
        </w:rPr>
        <w:t xml:space="preserve">No exercício de 2023, a Finep registrou </w:t>
      </w:r>
      <w:r w:rsidRPr="00210336">
        <w:rPr>
          <w:rFonts w:ascii="Tahoma" w:hAnsi="Tahoma" w:cs="Tahoma"/>
          <w:b/>
          <w:sz w:val="19"/>
          <w:szCs w:val="19"/>
        </w:rPr>
        <w:t>Lucro Líquido</w:t>
      </w:r>
      <w:r w:rsidRPr="00210336">
        <w:rPr>
          <w:rFonts w:ascii="Tahoma" w:hAnsi="Tahoma" w:cs="Tahoma"/>
          <w:sz w:val="19"/>
          <w:szCs w:val="19"/>
        </w:rPr>
        <w:t xml:space="preserve"> de R$ 712,3 milhões, superando em aproximadamente 1,5 vezes, ou R$ 422 milhões, o resultado alcançado no ano anterior. Contribuiu para tal resultado o aumento de sua </w:t>
      </w:r>
      <w:r w:rsidRPr="00210336">
        <w:rPr>
          <w:rFonts w:ascii="Tahoma" w:hAnsi="Tahoma" w:cs="Tahoma"/>
          <w:b/>
          <w:sz w:val="19"/>
          <w:szCs w:val="19"/>
        </w:rPr>
        <w:t>Margem Financeira Líquida</w:t>
      </w:r>
      <w:r w:rsidRPr="00210336">
        <w:rPr>
          <w:rFonts w:ascii="Tahoma" w:hAnsi="Tahoma" w:cs="Tahoma"/>
          <w:sz w:val="19"/>
          <w:szCs w:val="19"/>
        </w:rPr>
        <w:t>, a qual reflete em si o resultado decorrente da atividade de intermediação e de aplicações financeiras.</w:t>
      </w:r>
    </w:p>
    <w:p w14:paraId="65F8922B" w14:textId="2534A39A" w:rsidR="009B6D8A" w:rsidRPr="00210336" w:rsidRDefault="009B6D8A" w:rsidP="00210336">
      <w:pPr>
        <w:spacing w:before="120" w:after="120"/>
        <w:jc w:val="center"/>
        <w:rPr>
          <w:rFonts w:ascii="Tahoma" w:hAnsi="Tahoma" w:cs="Tahoma"/>
          <w:color w:val="0098BA"/>
          <w:sz w:val="19"/>
          <w:szCs w:val="19"/>
        </w:rPr>
      </w:pPr>
      <w:r w:rsidRPr="00210336">
        <w:rPr>
          <w:rFonts w:ascii="Tahoma" w:hAnsi="Tahoma" w:cs="Tahoma"/>
          <w:color w:val="0098BA"/>
          <w:sz w:val="19"/>
          <w:szCs w:val="19"/>
        </w:rPr>
        <w:t>Margem Financeira 2023-2022 – Em R$ milhões</w:t>
      </w:r>
    </w:p>
    <w:p w14:paraId="0C0C78FB" w14:textId="77777777" w:rsidR="009B6D8A" w:rsidRPr="00210336" w:rsidRDefault="009B6D8A" w:rsidP="009B6D8A">
      <w:pPr>
        <w:spacing w:before="120" w:after="120" w:line="360" w:lineRule="auto"/>
        <w:jc w:val="center"/>
        <w:rPr>
          <w:rFonts w:ascii="Tahoma" w:hAnsi="Tahoma" w:cs="Tahoma"/>
          <w:noProof/>
          <w:sz w:val="22"/>
          <w:szCs w:val="22"/>
        </w:rPr>
      </w:pPr>
      <w:r w:rsidRPr="00210336">
        <w:rPr>
          <w:rFonts w:ascii="Tahoma" w:hAnsi="Tahoma" w:cs="Tahoma"/>
          <w:noProof/>
          <w:sz w:val="22"/>
          <w:szCs w:val="22"/>
        </w:rPr>
        <w:drawing>
          <wp:inline distT="0" distB="0" distL="0" distR="0" wp14:anchorId="5B327AAB" wp14:editId="3A98D567">
            <wp:extent cx="6120130" cy="1683385"/>
            <wp:effectExtent l="0" t="0" r="0" b="0"/>
            <wp:docPr id="1365114379" name="Imagem 13651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120130" cy="1683385"/>
                    </a:xfrm>
                    <a:prstGeom prst="rect">
                      <a:avLst/>
                    </a:prstGeom>
                    <a:noFill/>
                    <a:ln>
                      <a:noFill/>
                    </a:ln>
                  </pic:spPr>
                </pic:pic>
              </a:graphicData>
            </a:graphic>
          </wp:inline>
        </w:drawing>
      </w:r>
    </w:p>
    <w:p w14:paraId="5DB7A581" w14:textId="77777777" w:rsidR="00210336" w:rsidRDefault="00210336" w:rsidP="00437E1F">
      <w:pPr>
        <w:spacing w:before="120" w:after="120" w:line="360" w:lineRule="auto"/>
        <w:rPr>
          <w:rFonts w:ascii="Tahoma" w:hAnsi="Tahoma" w:cs="Tahoma"/>
          <w:sz w:val="19"/>
          <w:szCs w:val="19"/>
        </w:rPr>
      </w:pPr>
    </w:p>
    <w:p w14:paraId="48BD9704" w14:textId="6476A523" w:rsidR="009B6D8A" w:rsidRPr="00210336" w:rsidRDefault="009B6D8A" w:rsidP="00437E1F">
      <w:pPr>
        <w:spacing w:before="120" w:after="120" w:line="360" w:lineRule="auto"/>
        <w:rPr>
          <w:rFonts w:ascii="Tahoma" w:hAnsi="Tahoma" w:cs="Tahoma"/>
          <w:sz w:val="19"/>
          <w:szCs w:val="19"/>
        </w:rPr>
      </w:pPr>
      <w:r w:rsidRPr="00210336">
        <w:rPr>
          <w:rFonts w:ascii="Tahoma" w:hAnsi="Tahoma" w:cs="Tahoma"/>
          <w:sz w:val="19"/>
          <w:szCs w:val="19"/>
        </w:rPr>
        <w:t xml:space="preserve">De forma complementar, é importante analisar a evolução da </w:t>
      </w:r>
      <w:r w:rsidRPr="00210336">
        <w:rPr>
          <w:rFonts w:ascii="Tahoma" w:hAnsi="Tahoma" w:cs="Tahoma"/>
          <w:b/>
          <w:bCs/>
          <w:sz w:val="19"/>
          <w:szCs w:val="19"/>
        </w:rPr>
        <w:t xml:space="preserve">Receita de Intermediação Financeira, </w:t>
      </w:r>
      <w:r w:rsidRPr="00210336">
        <w:rPr>
          <w:rFonts w:ascii="Tahoma" w:hAnsi="Tahoma" w:cs="Tahoma"/>
          <w:sz w:val="19"/>
          <w:szCs w:val="19"/>
        </w:rPr>
        <w:t xml:space="preserve">por esta apresentar um recorte mais amplo, incluindo, além daquelas receitas apresentadas na tabela anterior – </w:t>
      </w:r>
      <w:r w:rsidRPr="00210336">
        <w:rPr>
          <w:rFonts w:ascii="Tahoma" w:hAnsi="Tahoma" w:cs="Tahoma"/>
          <w:b/>
          <w:bCs/>
          <w:sz w:val="19"/>
          <w:szCs w:val="19"/>
        </w:rPr>
        <w:t>Operações de Crédito e Repasse</w:t>
      </w:r>
      <w:r w:rsidRPr="00210336">
        <w:rPr>
          <w:rFonts w:ascii="Tahoma" w:hAnsi="Tahoma" w:cs="Tahoma"/>
          <w:sz w:val="19"/>
          <w:szCs w:val="19"/>
        </w:rPr>
        <w:t xml:space="preserve"> e </w:t>
      </w:r>
      <w:r w:rsidRPr="00210336">
        <w:rPr>
          <w:rFonts w:ascii="Tahoma" w:hAnsi="Tahoma" w:cs="Tahoma"/>
          <w:b/>
          <w:bCs/>
          <w:sz w:val="19"/>
          <w:szCs w:val="19"/>
        </w:rPr>
        <w:t>Aplicações Financeiras</w:t>
      </w:r>
      <w:r w:rsidRPr="00210336">
        <w:rPr>
          <w:rFonts w:ascii="Tahoma" w:hAnsi="Tahoma" w:cs="Tahoma"/>
          <w:sz w:val="19"/>
          <w:szCs w:val="19"/>
        </w:rPr>
        <w:t xml:space="preserve"> –, a receita auferida pela Finep decorrente de </w:t>
      </w:r>
      <w:r w:rsidRPr="00210336">
        <w:rPr>
          <w:rFonts w:ascii="Tahoma" w:hAnsi="Tahoma" w:cs="Tahoma"/>
          <w:b/>
          <w:bCs/>
          <w:sz w:val="19"/>
          <w:szCs w:val="19"/>
        </w:rPr>
        <w:t>Outros Resultados de Operações com Títulos e Valores Mobiliários</w:t>
      </w:r>
      <w:r w:rsidRPr="00210336">
        <w:rPr>
          <w:rFonts w:ascii="Tahoma" w:hAnsi="Tahoma" w:cs="Tahoma"/>
          <w:sz w:val="19"/>
          <w:szCs w:val="19"/>
        </w:rPr>
        <w:t xml:space="preserve">, esta última variável resultante da aplicação de recursos em Ações, Fundos de Investimentos e </w:t>
      </w:r>
      <w:r w:rsidRPr="00210336">
        <w:rPr>
          <w:rFonts w:ascii="Tahoma" w:hAnsi="Tahoma" w:cs="Tahoma"/>
          <w:i/>
          <w:iCs/>
          <w:sz w:val="19"/>
          <w:szCs w:val="19"/>
        </w:rPr>
        <w:t>Startups</w:t>
      </w:r>
      <w:r w:rsidRPr="00210336">
        <w:rPr>
          <w:rFonts w:ascii="Tahoma" w:hAnsi="Tahoma" w:cs="Tahoma"/>
          <w:sz w:val="19"/>
          <w:szCs w:val="19"/>
        </w:rPr>
        <w:t xml:space="preserve"> (Opção de Venda).</w:t>
      </w:r>
    </w:p>
    <w:p w14:paraId="2C5752F0" w14:textId="77777777" w:rsidR="009B6D8A" w:rsidRPr="00210336" w:rsidRDefault="009B6D8A" w:rsidP="00437E1F">
      <w:pPr>
        <w:spacing w:before="120" w:after="120" w:line="360" w:lineRule="auto"/>
        <w:rPr>
          <w:rFonts w:ascii="Tahoma" w:hAnsi="Tahoma" w:cs="Tahoma"/>
          <w:sz w:val="19"/>
          <w:szCs w:val="19"/>
        </w:rPr>
      </w:pPr>
      <w:r w:rsidRPr="00210336">
        <w:rPr>
          <w:rFonts w:ascii="Tahoma" w:hAnsi="Tahoma" w:cs="Tahoma"/>
          <w:sz w:val="19"/>
          <w:szCs w:val="19"/>
        </w:rPr>
        <w:t xml:space="preserve">Em 2023, a </w:t>
      </w:r>
      <w:r w:rsidRPr="00210336">
        <w:rPr>
          <w:rFonts w:ascii="Tahoma" w:hAnsi="Tahoma" w:cs="Tahoma"/>
          <w:b/>
          <w:bCs/>
          <w:sz w:val="19"/>
          <w:szCs w:val="19"/>
        </w:rPr>
        <w:t>Receita de Intermediação Financeira</w:t>
      </w:r>
      <w:r w:rsidRPr="00210336">
        <w:rPr>
          <w:rFonts w:ascii="Tahoma" w:hAnsi="Tahoma" w:cs="Tahoma"/>
          <w:sz w:val="19"/>
          <w:szCs w:val="19"/>
        </w:rPr>
        <w:t xml:space="preserve"> apresentou uma variação de 3,5%, ou R$ 54,1 milhões, como reflexo dos fatos geradores apresentados na sequência.</w:t>
      </w:r>
    </w:p>
    <w:p w14:paraId="730D36D3" w14:textId="4550DF07" w:rsidR="00437E1F" w:rsidRPr="00210336" w:rsidRDefault="00437E1F" w:rsidP="00437E1F">
      <w:pPr>
        <w:spacing w:before="120" w:after="120" w:line="360" w:lineRule="auto"/>
        <w:rPr>
          <w:rFonts w:ascii="Tahoma" w:hAnsi="Tahoma" w:cs="Tahoma"/>
          <w:sz w:val="19"/>
          <w:szCs w:val="19"/>
        </w:rPr>
      </w:pPr>
      <w:r w:rsidRPr="00210336">
        <w:rPr>
          <w:rFonts w:ascii="Tahoma" w:hAnsi="Tahoma" w:cs="Tahoma"/>
          <w:noProof/>
          <w:sz w:val="19"/>
          <w:szCs w:val="19"/>
        </w:rPr>
        <mc:AlternateContent>
          <mc:Choice Requires="wps">
            <w:drawing>
              <wp:anchor distT="0" distB="0" distL="114300" distR="114300" simplePos="0" relativeHeight="251800576" behindDoc="0" locked="0" layoutInCell="1" allowOverlap="1" wp14:anchorId="5EC170CA" wp14:editId="47A53502">
                <wp:simplePos x="0" y="0"/>
                <wp:positionH relativeFrom="column">
                  <wp:posOffset>158750</wp:posOffset>
                </wp:positionH>
                <wp:positionV relativeFrom="paragraph">
                  <wp:posOffset>1329055</wp:posOffset>
                </wp:positionV>
                <wp:extent cx="5830214" cy="497433"/>
                <wp:effectExtent l="0" t="0" r="0" b="0"/>
                <wp:wrapNone/>
                <wp:docPr id="835628409" name="Text Box 237"/>
                <wp:cNvGraphicFramePr/>
                <a:graphic xmlns:a="http://schemas.openxmlformats.org/drawingml/2006/main">
                  <a:graphicData uri="http://schemas.microsoft.com/office/word/2010/wordprocessingShape">
                    <wps:wsp>
                      <wps:cNvSpPr txBox="1"/>
                      <wps:spPr>
                        <a:xfrm>
                          <a:off x="0" y="0"/>
                          <a:ext cx="5830214" cy="497433"/>
                        </a:xfrm>
                        <a:prstGeom prst="rect">
                          <a:avLst/>
                        </a:prstGeom>
                        <a:solidFill>
                          <a:srgbClr val="0098BA">
                            <a:alpha val="25098"/>
                          </a:srgbClr>
                        </a:solidFill>
                        <a:ln w="6345">
                          <a:noFill/>
                          <a:prstDash val="dash"/>
                        </a:ln>
                      </wps:spPr>
                      <wps:txbx>
                        <w:txbxContent>
                          <w:p w14:paraId="518FF007" w14:textId="6A1CAF57" w:rsidR="00437E1F" w:rsidRPr="00210336" w:rsidRDefault="00437E1F" w:rsidP="00437E1F">
                            <w:pPr>
                              <w:jc w:val="right"/>
                              <w:rPr>
                                <w:rFonts w:ascii="Tahoma" w:hAnsi="Tahoma" w:cs="Tahoma"/>
                                <w:sz w:val="16"/>
                                <w:szCs w:val="16"/>
                              </w:rPr>
                            </w:pPr>
                            <w:r w:rsidRPr="00210336">
                              <w:rPr>
                                <w:rFonts w:ascii="Tahoma" w:hAnsi="Tahoma" w:cs="Tahoma"/>
                                <w:sz w:val="16"/>
                                <w:szCs w:val="16"/>
                              </w:rPr>
                              <w:t>A taxa equivalente de redução anual da Carteira de Crédito Bruta da Finep, para o período de 2021-2017, foi obtida através da seguinte fórmula: “1 – (R$ 12,4 bilhões / R$ 8,9 bilhões) ^ (1 / (2021-2017-1))”, onde R$ 12,4 bilhões corresponde a Carteira de Crédito Bruta em 2017, e R$ 8,9 bilhões, a Carteira de 2021</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5EC170CA" id="_x0000_s1042" type="#_x0000_t202" style="position:absolute;margin-left:12.5pt;margin-top:104.65pt;width:459.05pt;height:39.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" fillcolor="#0098ba" stroked="f" strokeweight=".17625mm">
                <v:fill opacity="16448f"/>
                <v:stroke dashstyle="dash"/>
                <v:textbox>
                  <w:txbxContent>
                    <w:p w14:paraId="518FF007" w14:textId="6A1CAF57" w:rsidR="00437E1F" w:rsidRPr="00210336" w:rsidRDefault="00437E1F" w:rsidP="00437E1F">
                      <w:pPr>
                        <w:jc w:val="right"/>
                        <w:rPr>
                          <w:rFonts w:ascii="Tahoma" w:hAnsi="Tahoma" w:cs="Tahoma"/>
                          <w:sz w:val="16"/>
                          <w:szCs w:val="16"/>
                        </w:rPr>
                      </w:pPr>
                      <w:r w:rsidRPr="00210336">
                        <w:rPr>
                          <w:rFonts w:ascii="Tahoma" w:hAnsi="Tahoma" w:cs="Tahoma"/>
                          <w:sz w:val="16"/>
                          <w:szCs w:val="16"/>
                        </w:rPr>
                        <w:t>A taxa equivalente de redução anual da Carteira de Crédito Bruta da Finep, para o período de 2021-2017, foi obtida através da seguinte fórmula: “1 – (R$ 12,4 bilhões / R$ 8,9 bilhões) ^ (1 / (2021-2017-1))”, onde R$ 12,4 bilhões corresponde a Carteira de Crédito Bruta em 2017, e R$ 8,9 bilhões, a Carteira de 2021</w:t>
                      </w:r>
                    </w:p>
                  </w:txbxContent>
                </v:textbox>
              </v:shape>
            </w:pict>
          </mc:Fallback>
        </mc:AlternateContent>
      </w:r>
      <w:r w:rsidR="009B6D8A" w:rsidRPr="00210336">
        <w:rPr>
          <w:rFonts w:ascii="Tahoma" w:hAnsi="Tahoma" w:cs="Tahoma"/>
          <w:sz w:val="19"/>
          <w:szCs w:val="19"/>
        </w:rPr>
        <w:t xml:space="preserve">A </w:t>
      </w:r>
      <w:r w:rsidR="009B6D8A" w:rsidRPr="00210336">
        <w:rPr>
          <w:rFonts w:ascii="Tahoma" w:hAnsi="Tahoma" w:cs="Tahoma"/>
          <w:b/>
          <w:sz w:val="19"/>
          <w:szCs w:val="19"/>
        </w:rPr>
        <w:t xml:space="preserve">Receita com Operações de Crédito e Repasses </w:t>
      </w:r>
      <w:r w:rsidR="009B6D8A" w:rsidRPr="00210336">
        <w:rPr>
          <w:rFonts w:ascii="Tahoma" w:hAnsi="Tahoma" w:cs="Tahoma"/>
          <w:bCs/>
          <w:sz w:val="19"/>
          <w:szCs w:val="19"/>
        </w:rPr>
        <w:t>apresentou</w:t>
      </w:r>
      <w:r w:rsidR="009B6D8A" w:rsidRPr="00210336">
        <w:rPr>
          <w:rFonts w:ascii="Tahoma" w:hAnsi="Tahoma" w:cs="Tahoma"/>
          <w:sz w:val="19"/>
          <w:szCs w:val="19"/>
        </w:rPr>
        <w:t xml:space="preserve"> variação de 3,1%, ou R$ 30,5 milhões, comparativamente ano anterior, resultante do crescimento da </w:t>
      </w:r>
      <w:r w:rsidR="009B6D8A" w:rsidRPr="00210336">
        <w:rPr>
          <w:rFonts w:ascii="Tahoma" w:hAnsi="Tahoma" w:cs="Tahoma"/>
          <w:b/>
          <w:sz w:val="19"/>
          <w:szCs w:val="19"/>
        </w:rPr>
        <w:t>Carteira de Crédito Bruta</w:t>
      </w:r>
      <w:r w:rsidR="009B6D8A" w:rsidRPr="00210336">
        <w:rPr>
          <w:rFonts w:ascii="Tahoma" w:hAnsi="Tahoma" w:cs="Tahoma"/>
          <w:sz w:val="19"/>
          <w:szCs w:val="19"/>
        </w:rPr>
        <w:t xml:space="preserve"> de 38,9%, ou R$ 3,6 bilhões, o qual reverteu a tendência de queda observada no período de 2017-2021, então, da ordem de 7,9% </w:t>
      </w:r>
      <w:r w:rsidR="009B6D8A" w:rsidRPr="00210336">
        <w:rPr>
          <w:rFonts w:ascii="Tahoma" w:hAnsi="Tahoma" w:cs="Tahoma"/>
          <w:sz w:val="19"/>
          <w:szCs w:val="19"/>
          <w:vertAlign w:val="superscript"/>
        </w:rPr>
        <w:t>a.a.</w:t>
      </w:r>
      <w:r w:rsidR="009B6D8A" w:rsidRPr="00210336">
        <w:rPr>
          <w:rFonts w:ascii="Tahoma" w:hAnsi="Tahoma" w:cs="Tahoma"/>
          <w:sz w:val="19"/>
          <w:szCs w:val="19"/>
        </w:rPr>
        <w:t xml:space="preserve"> (em termos nominais). Tal crescimento fez frente aos efeitos negativos decorrentes da redução da </w:t>
      </w:r>
      <w:r w:rsidR="009B6D8A" w:rsidRPr="00210336">
        <w:rPr>
          <w:rFonts w:ascii="Tahoma" w:hAnsi="Tahoma" w:cs="Tahoma"/>
          <w:b/>
          <w:bCs/>
          <w:sz w:val="19"/>
          <w:szCs w:val="19"/>
        </w:rPr>
        <w:t>Receita com Recuperação de Crédito</w:t>
      </w:r>
      <w:r w:rsidR="009B6D8A" w:rsidRPr="00210336">
        <w:rPr>
          <w:rFonts w:ascii="Tahoma" w:hAnsi="Tahoma" w:cs="Tahoma"/>
          <w:sz w:val="19"/>
          <w:szCs w:val="19"/>
        </w:rPr>
        <w:t xml:space="preserve"> da ordem de 74,6%, ou R$ 77 milhões.</w:t>
      </w:r>
    </w:p>
    <w:p w14:paraId="7AACC85F" w14:textId="23D711B3" w:rsidR="00437E1F" w:rsidRPr="00210336" w:rsidRDefault="00437E1F" w:rsidP="00437E1F">
      <w:pPr>
        <w:spacing w:before="120" w:after="120" w:line="360" w:lineRule="auto"/>
        <w:jc w:val="both"/>
        <w:rPr>
          <w:rFonts w:ascii="Tahoma" w:hAnsi="Tahoma" w:cs="Tahoma"/>
          <w:sz w:val="22"/>
          <w:szCs w:val="22"/>
        </w:rPr>
      </w:pPr>
    </w:p>
    <w:p w14:paraId="7BC587A7" w14:textId="77777777" w:rsidR="00437E1F" w:rsidRPr="00210336" w:rsidRDefault="00437E1F" w:rsidP="00437E1F">
      <w:pPr>
        <w:spacing w:before="120" w:after="120" w:line="360" w:lineRule="auto"/>
        <w:jc w:val="both"/>
        <w:rPr>
          <w:rFonts w:ascii="Tahoma" w:hAnsi="Tahoma" w:cs="Tahoma"/>
          <w:sz w:val="22"/>
          <w:szCs w:val="22"/>
        </w:rPr>
      </w:pPr>
    </w:p>
    <w:p w14:paraId="313109FC" w14:textId="5CFD40D3" w:rsidR="009B6D8A" w:rsidRPr="00210336" w:rsidRDefault="009B6D8A" w:rsidP="00437E1F">
      <w:pPr>
        <w:spacing w:before="120" w:after="120" w:line="360" w:lineRule="auto"/>
        <w:jc w:val="both"/>
        <w:rPr>
          <w:rFonts w:ascii="Tahoma" w:hAnsi="Tahoma" w:cs="Tahoma"/>
          <w:sz w:val="22"/>
          <w:szCs w:val="22"/>
        </w:rPr>
      </w:pPr>
      <w:r w:rsidRPr="00210336">
        <w:rPr>
          <w:rFonts w:ascii="Tahoma" w:hAnsi="Tahoma" w:cs="Tahoma"/>
          <w:sz w:val="22"/>
          <w:szCs w:val="22"/>
        </w:rPr>
        <w:br w:type="page"/>
      </w:r>
    </w:p>
    <w:p w14:paraId="05EF8FCF" w14:textId="7908FEB7" w:rsidR="009B6D8A" w:rsidRPr="00210336" w:rsidRDefault="009B6D8A" w:rsidP="009B6D8A">
      <w:pPr>
        <w:spacing w:before="120" w:after="120" w:line="360" w:lineRule="auto"/>
        <w:jc w:val="center"/>
        <w:rPr>
          <w:rFonts w:ascii="Tahoma" w:hAnsi="Tahoma" w:cs="Tahoma"/>
          <w:color w:val="0098BA"/>
          <w:sz w:val="19"/>
          <w:szCs w:val="19"/>
        </w:rPr>
      </w:pPr>
      <w:r w:rsidRPr="00210336">
        <w:rPr>
          <w:rFonts w:ascii="Tahoma" w:hAnsi="Tahoma" w:cs="Tahoma"/>
          <w:color w:val="0098BA"/>
          <w:sz w:val="19"/>
          <w:szCs w:val="19"/>
        </w:rPr>
        <w:lastRenderedPageBreak/>
        <w:t>Evolução da Carteira de Crédito Bruta da Finep 2017-2023 – Em R$ milhões</w:t>
      </w:r>
    </w:p>
    <w:p w14:paraId="526CB8A3" w14:textId="77777777" w:rsidR="009B6D8A" w:rsidRPr="00210336" w:rsidRDefault="009B6D8A" w:rsidP="009B6D8A">
      <w:pPr>
        <w:spacing w:before="120" w:after="120" w:line="360" w:lineRule="auto"/>
        <w:jc w:val="center"/>
        <w:rPr>
          <w:rFonts w:ascii="Tahoma" w:hAnsi="Tahoma" w:cs="Tahoma"/>
          <w:sz w:val="19"/>
          <w:szCs w:val="19"/>
        </w:rPr>
      </w:pPr>
      <w:r w:rsidRPr="00210336">
        <w:rPr>
          <w:rFonts w:ascii="Tahoma" w:hAnsi="Tahoma" w:cs="Tahoma"/>
          <w:noProof/>
          <w:sz w:val="22"/>
          <w:szCs w:val="22"/>
        </w:rPr>
        <w:drawing>
          <wp:inline distT="0" distB="0" distL="0" distR="0" wp14:anchorId="143F9DBF" wp14:editId="67936D3E">
            <wp:extent cx="3949256" cy="2336444"/>
            <wp:effectExtent l="19050" t="19050" r="13335" b="26035"/>
            <wp:docPr id="582954281" name="Imagem 58295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980391" cy="2354864"/>
                    </a:xfrm>
                    <a:prstGeom prst="rect">
                      <a:avLst/>
                    </a:prstGeom>
                    <a:noFill/>
                    <a:ln>
                      <a:solidFill>
                        <a:schemeClr val="bg1">
                          <a:lumMod val="85000"/>
                        </a:schemeClr>
                      </a:solidFill>
                    </a:ln>
                  </pic:spPr>
                </pic:pic>
              </a:graphicData>
            </a:graphic>
          </wp:inline>
        </w:drawing>
      </w:r>
    </w:p>
    <w:p w14:paraId="2FF42726" w14:textId="77777777" w:rsidR="009B6D8A" w:rsidRPr="00210336" w:rsidRDefault="009B6D8A" w:rsidP="00210336">
      <w:pPr>
        <w:tabs>
          <w:tab w:val="left" w:pos="9072"/>
        </w:tabs>
        <w:ind w:left="567" w:right="567"/>
        <w:rPr>
          <w:rFonts w:ascii="Tahoma" w:hAnsi="Tahoma" w:cs="Tahoma"/>
          <w:sz w:val="18"/>
          <w:szCs w:val="18"/>
        </w:rPr>
      </w:pPr>
      <w:r w:rsidRPr="00210336">
        <w:rPr>
          <w:rFonts w:ascii="Tahoma" w:hAnsi="Tahoma" w:cs="Tahoma"/>
          <w:sz w:val="18"/>
          <w:szCs w:val="18"/>
        </w:rPr>
        <w:t xml:space="preserve">(*) A Carteira de Crédito Bruta Anual nominal corresponde ao estoque de valores apropriados até o último dia do ano de referência, sem correção monetária. O valor real corresponde àquele atualizado pelo índice de correção, calculado entre o ano mediatamente subsequente (inclusive) e ano de 2023 (inclusive), adotando-se a hipótese simplificadora de que a apropriação de valores se concentrou no último dia do ano de referência. O índice de correção adotado corresponde ao IPCA disponível no </w:t>
      </w:r>
      <w:r w:rsidRPr="00210336">
        <w:rPr>
          <w:rFonts w:ascii="Tahoma" w:hAnsi="Tahoma" w:cs="Tahoma"/>
          <w:b/>
          <w:bCs/>
          <w:i/>
          <w:iCs/>
          <w:sz w:val="18"/>
          <w:szCs w:val="18"/>
        </w:rPr>
        <w:t>Sistema de Séries Temporais do BACEN</w:t>
      </w:r>
      <w:r w:rsidRPr="00210336">
        <w:rPr>
          <w:rFonts w:ascii="Tahoma" w:hAnsi="Tahoma" w:cs="Tahoma"/>
          <w:sz w:val="18"/>
          <w:szCs w:val="18"/>
        </w:rPr>
        <w:t>.</w:t>
      </w:r>
    </w:p>
    <w:p w14:paraId="3492A677" w14:textId="77777777" w:rsidR="00437E1F" w:rsidRPr="00210336" w:rsidRDefault="00437E1F" w:rsidP="00437E1F">
      <w:pPr>
        <w:spacing w:before="120" w:after="120" w:line="360" w:lineRule="auto"/>
        <w:rPr>
          <w:rFonts w:ascii="Tahoma" w:hAnsi="Tahoma" w:cs="Tahoma"/>
          <w:sz w:val="19"/>
          <w:szCs w:val="19"/>
        </w:rPr>
      </w:pPr>
    </w:p>
    <w:p w14:paraId="2E94F10F" w14:textId="25C93F6B" w:rsidR="009B6D8A" w:rsidRDefault="009B6D8A" w:rsidP="00437E1F">
      <w:pPr>
        <w:spacing w:before="120" w:after="120" w:line="360" w:lineRule="auto"/>
        <w:rPr>
          <w:rFonts w:ascii="Tahoma" w:hAnsi="Tahoma" w:cs="Tahoma"/>
          <w:sz w:val="19"/>
          <w:szCs w:val="19"/>
        </w:rPr>
      </w:pPr>
      <w:r w:rsidRPr="00210336">
        <w:rPr>
          <w:rFonts w:ascii="Tahoma" w:hAnsi="Tahoma" w:cs="Tahoma"/>
          <w:sz w:val="19"/>
          <w:szCs w:val="19"/>
        </w:rPr>
        <w:t xml:space="preserve">Merece registro que o aumento das </w:t>
      </w:r>
      <w:r w:rsidRPr="00210336">
        <w:rPr>
          <w:rFonts w:ascii="Tahoma" w:hAnsi="Tahoma" w:cs="Tahoma"/>
          <w:b/>
          <w:bCs/>
          <w:sz w:val="19"/>
          <w:szCs w:val="19"/>
        </w:rPr>
        <w:t xml:space="preserve">Liberações de Recursos para Operações de Crédito e Repasses </w:t>
      </w:r>
      <w:r w:rsidRPr="00210336">
        <w:rPr>
          <w:rFonts w:ascii="Tahoma" w:hAnsi="Tahoma" w:cs="Tahoma"/>
          <w:sz w:val="19"/>
          <w:szCs w:val="19"/>
        </w:rPr>
        <w:t>em 1,2 vezes, ou R$ 3,0 bilhões, contribuiu, sobremaneira, para a ampliação das operações apoiadas.</w:t>
      </w:r>
    </w:p>
    <w:p w14:paraId="37F308B0" w14:textId="77777777" w:rsidR="0082438F" w:rsidRPr="00210336" w:rsidRDefault="0082438F" w:rsidP="00437E1F">
      <w:pPr>
        <w:spacing w:before="120" w:after="120" w:line="360" w:lineRule="auto"/>
        <w:rPr>
          <w:rFonts w:ascii="Tahoma" w:hAnsi="Tahoma" w:cs="Tahoma"/>
          <w:sz w:val="19"/>
          <w:szCs w:val="19"/>
        </w:rPr>
      </w:pPr>
    </w:p>
    <w:p w14:paraId="22F09CC6" w14:textId="5E9C1B1E" w:rsidR="009B6D8A" w:rsidRPr="0082438F" w:rsidRDefault="009B6D8A" w:rsidP="009B6D8A">
      <w:pPr>
        <w:spacing w:before="120" w:after="120" w:line="360" w:lineRule="auto"/>
        <w:jc w:val="center"/>
        <w:rPr>
          <w:rFonts w:ascii="Tahoma" w:hAnsi="Tahoma" w:cs="Tahoma"/>
          <w:color w:val="0098BA"/>
          <w:sz w:val="19"/>
          <w:szCs w:val="19"/>
        </w:rPr>
      </w:pPr>
      <w:r w:rsidRPr="0082438F">
        <w:rPr>
          <w:rFonts w:ascii="Tahoma" w:hAnsi="Tahoma" w:cs="Tahoma"/>
          <w:noProof/>
          <w:color w:val="0098BA"/>
          <w:sz w:val="19"/>
          <w:szCs w:val="19"/>
        </w:rPr>
        <w:drawing>
          <wp:anchor distT="0" distB="0" distL="114300" distR="114300" simplePos="0" relativeHeight="251798528" behindDoc="0" locked="0" layoutInCell="1" allowOverlap="1" wp14:anchorId="1DD2E0F5" wp14:editId="3E0CCD07">
            <wp:simplePos x="0" y="0"/>
            <wp:positionH relativeFrom="column">
              <wp:posOffset>947638</wp:posOffset>
            </wp:positionH>
            <wp:positionV relativeFrom="paragraph">
              <wp:posOffset>247015</wp:posOffset>
            </wp:positionV>
            <wp:extent cx="4276725" cy="2404110"/>
            <wp:effectExtent l="19050" t="19050" r="28575" b="15240"/>
            <wp:wrapTopAndBottom/>
            <wp:docPr id="1513777993" name="Imagem 151377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276725" cy="240411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82438F">
        <w:rPr>
          <w:rFonts w:ascii="Tahoma" w:hAnsi="Tahoma" w:cs="Tahoma"/>
          <w:color w:val="0098BA"/>
          <w:sz w:val="19"/>
          <w:szCs w:val="19"/>
        </w:rPr>
        <w:t>Liberações Anuais para Operações de Crédito e Repasses da Finep 2017-2023 – Em R$ milhões</w:t>
      </w:r>
    </w:p>
    <w:p w14:paraId="7363A93E" w14:textId="77777777" w:rsidR="00210336" w:rsidRPr="00210336" w:rsidRDefault="00210336" w:rsidP="00210336">
      <w:pPr>
        <w:ind w:left="567" w:right="567"/>
        <w:rPr>
          <w:rFonts w:ascii="Tahoma" w:hAnsi="Tahoma" w:cs="Tahoma"/>
          <w:color w:val="000000" w:themeColor="text1"/>
          <w:kern w:val="24"/>
          <w:sz w:val="19"/>
          <w:szCs w:val="19"/>
        </w:rPr>
      </w:pPr>
    </w:p>
    <w:p w14:paraId="03BB26FC" w14:textId="5D00665B" w:rsidR="009B6D8A" w:rsidRPr="00210336" w:rsidRDefault="009B6D8A" w:rsidP="00210336">
      <w:pPr>
        <w:ind w:left="567" w:right="567"/>
        <w:rPr>
          <w:rFonts w:ascii="Tahoma" w:hAnsi="Tahoma" w:cs="Tahoma"/>
          <w:color w:val="000000" w:themeColor="text1"/>
          <w:kern w:val="24"/>
          <w:sz w:val="18"/>
          <w:szCs w:val="18"/>
        </w:rPr>
      </w:pPr>
      <w:r w:rsidRPr="00210336">
        <w:rPr>
          <w:rFonts w:ascii="Tahoma" w:hAnsi="Tahoma" w:cs="Tahoma"/>
          <w:color w:val="000000" w:themeColor="text1"/>
          <w:kern w:val="24"/>
          <w:sz w:val="18"/>
          <w:szCs w:val="18"/>
        </w:rPr>
        <w:t xml:space="preserve">(*) O valor anual de liberação nominal corresponde ao valor de liberações acumuladas no ano, sem incidência de correção monetária. O valor real corresponde àquele atualizado pelo índice de correção, calculado entre o ano mediatamente subsequente (inclusive) e ano de 2023 (inclusive), adotando-se a hipótese simplificadora de que todas as liberações anuais foram realizadas no último dia do ano de referência. O índice de correção adotado corresponde ao IPCA disponível no </w:t>
      </w:r>
      <w:r w:rsidRPr="00210336">
        <w:rPr>
          <w:rFonts w:ascii="Tahoma" w:hAnsi="Tahoma" w:cs="Tahoma"/>
          <w:b/>
          <w:bCs/>
          <w:i/>
          <w:iCs/>
          <w:color w:val="000000" w:themeColor="text1"/>
          <w:kern w:val="24"/>
          <w:sz w:val="18"/>
          <w:szCs w:val="18"/>
        </w:rPr>
        <w:t>Sistema de Séries Temporais do BACEN</w:t>
      </w:r>
      <w:r w:rsidRPr="00210336">
        <w:rPr>
          <w:rFonts w:ascii="Tahoma" w:hAnsi="Tahoma" w:cs="Tahoma"/>
          <w:color w:val="000000" w:themeColor="text1"/>
          <w:kern w:val="24"/>
          <w:sz w:val="18"/>
          <w:szCs w:val="18"/>
        </w:rPr>
        <w:t xml:space="preserve">. </w:t>
      </w:r>
    </w:p>
    <w:p w14:paraId="187BC0B2" w14:textId="77777777" w:rsidR="00437E1F" w:rsidRPr="00210336" w:rsidRDefault="00437E1F" w:rsidP="00437E1F">
      <w:pPr>
        <w:spacing w:before="120" w:after="120" w:line="360" w:lineRule="auto"/>
        <w:rPr>
          <w:rFonts w:ascii="Tahoma" w:hAnsi="Tahoma" w:cs="Tahoma"/>
          <w:sz w:val="19"/>
          <w:szCs w:val="19"/>
        </w:rPr>
      </w:pPr>
    </w:p>
    <w:p w14:paraId="6AEC814B" w14:textId="163AAB71" w:rsidR="009B6D8A" w:rsidRPr="00210336" w:rsidRDefault="009B6D8A" w:rsidP="00437E1F">
      <w:pPr>
        <w:spacing w:before="120" w:after="120" w:line="360" w:lineRule="auto"/>
        <w:rPr>
          <w:rFonts w:ascii="Tahoma" w:hAnsi="Tahoma" w:cs="Tahoma"/>
          <w:sz w:val="19"/>
          <w:szCs w:val="19"/>
        </w:rPr>
      </w:pPr>
      <w:r w:rsidRPr="00210336">
        <w:rPr>
          <w:rFonts w:ascii="Tahoma" w:hAnsi="Tahoma" w:cs="Tahoma"/>
          <w:sz w:val="19"/>
          <w:szCs w:val="19"/>
        </w:rPr>
        <w:lastRenderedPageBreak/>
        <w:t xml:space="preserve">Aspecto corroborado pelo </w:t>
      </w:r>
      <w:r w:rsidRPr="00210336">
        <w:rPr>
          <w:rFonts w:ascii="Tahoma" w:hAnsi="Tahoma" w:cs="Tahoma"/>
          <w:b/>
          <w:bCs/>
          <w:sz w:val="19"/>
          <w:szCs w:val="19"/>
        </w:rPr>
        <w:t>Descontingenciamento do Recursos do FNDCT</w:t>
      </w:r>
      <w:r w:rsidRPr="00210336">
        <w:rPr>
          <w:rFonts w:ascii="Tahoma" w:hAnsi="Tahoma" w:cs="Tahoma"/>
          <w:sz w:val="19"/>
          <w:szCs w:val="19"/>
        </w:rPr>
        <w:t xml:space="preserve">, principal fonte de captação, atualmente, da Finep, associada à significativa redução das </w:t>
      </w:r>
      <w:r w:rsidRPr="00210336">
        <w:rPr>
          <w:rFonts w:ascii="Tahoma" w:hAnsi="Tahoma" w:cs="Tahoma"/>
          <w:b/>
          <w:bCs/>
          <w:sz w:val="19"/>
          <w:szCs w:val="19"/>
        </w:rPr>
        <w:t xml:space="preserve">Taxas Referenciais de Juros </w:t>
      </w:r>
      <w:r w:rsidRPr="00210336">
        <w:rPr>
          <w:rFonts w:ascii="Tahoma" w:hAnsi="Tahoma" w:cs="Tahoma"/>
          <w:sz w:val="19"/>
          <w:szCs w:val="19"/>
        </w:rPr>
        <w:t xml:space="preserve">incidentes sobre os novos empréstimos concedidos por </w:t>
      </w:r>
      <w:r w:rsidR="00281E55" w:rsidRPr="00210336">
        <w:rPr>
          <w:rFonts w:ascii="Tahoma" w:hAnsi="Tahoma" w:cs="Tahoma"/>
          <w:sz w:val="19"/>
          <w:szCs w:val="19"/>
        </w:rPr>
        <w:t>esta financiadora</w:t>
      </w:r>
      <w:r w:rsidRPr="00210336">
        <w:rPr>
          <w:rFonts w:ascii="Tahoma" w:hAnsi="Tahoma" w:cs="Tahoma"/>
          <w:sz w:val="19"/>
          <w:szCs w:val="19"/>
        </w:rPr>
        <w:t xml:space="preserve">, decorrente da substituição da TJLP pela TR sobre os empréstimos contraídos por Finep junto ao Fundo, conforme, assegurado, respectivamente, pela </w:t>
      </w:r>
      <w:r w:rsidRPr="00210336">
        <w:rPr>
          <w:rFonts w:ascii="Tahoma" w:hAnsi="Tahoma" w:cs="Tahoma"/>
          <w:b/>
          <w:bCs/>
          <w:sz w:val="19"/>
          <w:szCs w:val="19"/>
        </w:rPr>
        <w:t>Lei nº 14.577</w:t>
      </w:r>
      <w:r w:rsidRPr="00210336">
        <w:rPr>
          <w:rFonts w:ascii="Tahoma" w:hAnsi="Tahoma" w:cs="Tahoma"/>
          <w:sz w:val="19"/>
          <w:szCs w:val="19"/>
        </w:rPr>
        <w:t xml:space="preserve">, de 10 de maio de 2023 e pela </w:t>
      </w:r>
      <w:r w:rsidRPr="00210336">
        <w:rPr>
          <w:rFonts w:ascii="Tahoma" w:hAnsi="Tahoma" w:cs="Tahoma"/>
          <w:b/>
          <w:bCs/>
          <w:sz w:val="19"/>
          <w:szCs w:val="19"/>
        </w:rPr>
        <w:t>Lei nº 14.554</w:t>
      </w:r>
      <w:r w:rsidRPr="00210336">
        <w:rPr>
          <w:rFonts w:ascii="Tahoma" w:hAnsi="Tahoma" w:cs="Tahoma"/>
          <w:sz w:val="19"/>
          <w:szCs w:val="19"/>
        </w:rPr>
        <w:t>, de 20 de abril de 2023.</w:t>
      </w:r>
    </w:p>
    <w:p w14:paraId="0E28FF41" w14:textId="390F2ECC" w:rsidR="009B6D8A" w:rsidRPr="00210336" w:rsidRDefault="0082438F" w:rsidP="00437E1F">
      <w:pPr>
        <w:spacing w:before="120" w:after="120" w:line="360" w:lineRule="auto"/>
        <w:rPr>
          <w:rFonts w:ascii="Tahoma" w:hAnsi="Tahoma" w:cs="Tahoma"/>
          <w:sz w:val="19"/>
          <w:szCs w:val="19"/>
        </w:rPr>
      </w:pPr>
      <w:r w:rsidRPr="00210336">
        <w:rPr>
          <w:rFonts w:ascii="Tahoma" w:hAnsi="Tahoma" w:cs="Tahoma"/>
          <w:noProof/>
          <w:sz w:val="22"/>
          <w:szCs w:val="22"/>
        </w:rPr>
        <mc:AlternateContent>
          <mc:Choice Requires="wps">
            <w:drawing>
              <wp:anchor distT="0" distB="0" distL="114300" distR="114300" simplePos="0" relativeHeight="251802624" behindDoc="0" locked="0" layoutInCell="1" allowOverlap="1" wp14:anchorId="4BA86B4C" wp14:editId="396295FF">
                <wp:simplePos x="0" y="0"/>
                <wp:positionH relativeFrom="column">
                  <wp:posOffset>0</wp:posOffset>
                </wp:positionH>
                <wp:positionV relativeFrom="paragraph">
                  <wp:posOffset>1071880</wp:posOffset>
                </wp:positionV>
                <wp:extent cx="5829935" cy="814705"/>
                <wp:effectExtent l="0" t="0" r="0" b="4445"/>
                <wp:wrapNone/>
                <wp:docPr id="646758570" name="Text Box 237"/>
                <wp:cNvGraphicFramePr/>
                <a:graphic xmlns:a="http://schemas.openxmlformats.org/drawingml/2006/main">
                  <a:graphicData uri="http://schemas.microsoft.com/office/word/2010/wordprocessingShape">
                    <wps:wsp>
                      <wps:cNvSpPr txBox="1"/>
                      <wps:spPr>
                        <a:xfrm>
                          <a:off x="0" y="0"/>
                          <a:ext cx="5829935" cy="814705"/>
                        </a:xfrm>
                        <a:prstGeom prst="rect">
                          <a:avLst/>
                        </a:prstGeom>
                        <a:solidFill>
                          <a:srgbClr val="0098BA">
                            <a:alpha val="25098"/>
                          </a:srgbClr>
                        </a:solidFill>
                        <a:ln w="6345">
                          <a:noFill/>
                          <a:prstDash val="dash"/>
                        </a:ln>
                      </wps:spPr>
                      <wps:txbx>
                        <w:txbxContent>
                          <w:p w14:paraId="37553414" w14:textId="77777777" w:rsidR="00437E1F" w:rsidRPr="00210336" w:rsidRDefault="00437E1F" w:rsidP="00437E1F">
                            <w:pPr>
                              <w:jc w:val="right"/>
                              <w:rPr>
                                <w:rFonts w:ascii="Tahoma" w:hAnsi="Tahoma" w:cs="Tahoma"/>
                                <w:sz w:val="16"/>
                                <w:szCs w:val="16"/>
                              </w:rPr>
                            </w:pPr>
                            <w:r w:rsidRPr="00210336">
                              <w:rPr>
                                <w:rFonts w:ascii="Tahoma" w:hAnsi="Tahoma" w:cs="Tahoma"/>
                                <w:sz w:val="16"/>
                                <w:szCs w:val="16"/>
                              </w:rPr>
                              <w:t>Para maiores informações sobre os aspectos citados, recomenda-se leitura da Nota Explicativa 1.2, que trata das Medidas Provisórias 1.136/2022 e 1.139/2022, e acompanha as Demonstrações Financeiras da Finep de 2023.</w:t>
                            </w:r>
                          </w:p>
                          <w:p w14:paraId="43D26DF6" w14:textId="4F45ABAB" w:rsidR="00437E1F" w:rsidRPr="00210336" w:rsidRDefault="00437E1F" w:rsidP="00437E1F">
                            <w:pPr>
                              <w:jc w:val="right"/>
                              <w:rPr>
                                <w:rFonts w:ascii="Tahoma" w:hAnsi="Tahoma" w:cs="Tahoma"/>
                                <w:sz w:val="16"/>
                                <w:szCs w:val="16"/>
                              </w:rPr>
                            </w:pPr>
                            <w:r w:rsidRPr="00210336">
                              <w:rPr>
                                <w:rFonts w:ascii="Tahoma" w:hAnsi="Tahoma" w:cs="Tahoma"/>
                                <w:sz w:val="16"/>
                                <w:szCs w:val="16"/>
                              </w:rPr>
                              <w:t>A TJLP – Taxa de Juros de Longo Prazo correspondeu à taxa que originalmente incidiu sobre os empréstimos concedidos pela Finep, com recursos próprios e do FNDCT, ao tomador final, sendo a parcela da TJLP excedente a 6,0% a.a. capitalizada, corrigindo o saldo devedor tomador para com a Finep, e ampliando a Receita com Operações de Crédito e Repasses.</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BA86B4C" id="_x0000_s1043" type="#_x0000_t202" style="position:absolute;margin-left:0;margin-top:84.4pt;width:459.05pt;height:64.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" fillcolor="#0098ba" stroked="f" strokeweight=".17625mm">
                <v:fill opacity="16448f"/>
                <v:stroke dashstyle="dash"/>
                <v:textbox>
                  <w:txbxContent>
                    <w:p w14:paraId="37553414" w14:textId="77777777" w:rsidR="00437E1F" w:rsidRPr="00210336" w:rsidRDefault="00437E1F" w:rsidP="00437E1F">
                      <w:pPr>
                        <w:jc w:val="right"/>
                        <w:rPr>
                          <w:rFonts w:ascii="Tahoma" w:hAnsi="Tahoma" w:cs="Tahoma"/>
                          <w:sz w:val="16"/>
                          <w:szCs w:val="16"/>
                        </w:rPr>
                      </w:pPr>
                      <w:r w:rsidRPr="00210336">
                        <w:rPr>
                          <w:rFonts w:ascii="Tahoma" w:hAnsi="Tahoma" w:cs="Tahoma"/>
                          <w:sz w:val="16"/>
                          <w:szCs w:val="16"/>
                        </w:rPr>
                        <w:t>Para maiores informações sobre os aspectos citados, recomenda-se leitura da Nota Explicativa 1.2, que trata das Medidas Provisórias 1.136/2022 e 1.139/2022, e acompanha as Demonstrações Financeiras da Finep de 2023.</w:t>
                      </w:r>
                    </w:p>
                    <w:p w14:paraId="43D26DF6" w14:textId="4F45ABAB" w:rsidR="00437E1F" w:rsidRPr="00210336" w:rsidRDefault="00437E1F" w:rsidP="00437E1F">
                      <w:pPr>
                        <w:jc w:val="right"/>
                        <w:rPr>
                          <w:rFonts w:ascii="Tahoma" w:hAnsi="Tahoma" w:cs="Tahoma"/>
                          <w:sz w:val="16"/>
                          <w:szCs w:val="16"/>
                        </w:rPr>
                      </w:pPr>
                      <w:r w:rsidRPr="00210336">
                        <w:rPr>
                          <w:rFonts w:ascii="Tahoma" w:hAnsi="Tahoma" w:cs="Tahoma"/>
                          <w:sz w:val="16"/>
                          <w:szCs w:val="16"/>
                        </w:rPr>
                        <w:t>A TJLP – Taxa de Juros de Longo Prazo correspondeu à taxa que originalmente incidiu sobre os empréstimos concedidos pela Finep, com recursos próprios e do FNDCT, ao tomador final, sendo a parcela da TJLP excedente a 6,0% a.a. capitalizada, corrigindo o saldo devedor tomador para com a Finep, e ampliando a Receita com Operações de Crédito e Repasses.</w:t>
                      </w:r>
                    </w:p>
                  </w:txbxContent>
                </v:textbox>
              </v:shape>
            </w:pict>
          </mc:Fallback>
        </mc:AlternateContent>
      </w:r>
      <w:r w:rsidR="009B6D8A" w:rsidRPr="00210336">
        <w:rPr>
          <w:rFonts w:ascii="Tahoma" w:hAnsi="Tahoma" w:cs="Tahoma"/>
          <w:sz w:val="19"/>
          <w:szCs w:val="19"/>
        </w:rPr>
        <w:t>Para os empréstimos concedidos pela Finep, vigentes antes da sanção das referidas leis, que tenham sido apoiados com recursos próprios e/ou do FNDCT, manteve-se a incidência da TJLP, cuja evolução acima do patamar de 6%</w:t>
      </w:r>
      <w:r w:rsidR="009B6D8A" w:rsidRPr="00210336">
        <w:rPr>
          <w:rFonts w:ascii="Tahoma" w:hAnsi="Tahoma" w:cs="Tahoma"/>
          <w:sz w:val="19"/>
          <w:szCs w:val="19"/>
          <w:vertAlign w:val="superscript"/>
        </w:rPr>
        <w:t>a.a.</w:t>
      </w:r>
      <w:r w:rsidR="009B6D8A" w:rsidRPr="00210336">
        <w:rPr>
          <w:rFonts w:ascii="Tahoma" w:hAnsi="Tahoma" w:cs="Tahoma"/>
          <w:sz w:val="19"/>
          <w:szCs w:val="19"/>
        </w:rPr>
        <w:t xml:space="preserve"> contribuiu para o aumento da </w:t>
      </w:r>
      <w:r w:rsidR="009B6D8A" w:rsidRPr="00210336">
        <w:rPr>
          <w:rFonts w:ascii="Tahoma" w:hAnsi="Tahoma" w:cs="Tahoma"/>
          <w:b/>
          <w:bCs/>
          <w:sz w:val="19"/>
          <w:szCs w:val="19"/>
        </w:rPr>
        <w:t>Receita com Atualização Monetária dos Financiamentos</w:t>
      </w:r>
      <w:r w:rsidR="009B6D8A" w:rsidRPr="00210336">
        <w:rPr>
          <w:rFonts w:ascii="Tahoma" w:hAnsi="Tahoma" w:cs="Tahoma"/>
          <w:sz w:val="19"/>
          <w:szCs w:val="19"/>
        </w:rPr>
        <w:t xml:space="preserve"> em 0,4 vezes, ou R$ 30,3 milhões, a qual também compõe a Receita de Operações de Crédito e Repasses.</w:t>
      </w:r>
    </w:p>
    <w:p w14:paraId="0398ED51" w14:textId="7233674F" w:rsidR="00437E1F" w:rsidRPr="00210336" w:rsidRDefault="00437E1F" w:rsidP="009B6D8A">
      <w:pPr>
        <w:spacing w:before="120" w:after="120" w:line="360" w:lineRule="auto"/>
        <w:jc w:val="both"/>
        <w:rPr>
          <w:rFonts w:ascii="Tahoma" w:hAnsi="Tahoma" w:cs="Tahoma"/>
          <w:sz w:val="22"/>
          <w:szCs w:val="22"/>
        </w:rPr>
      </w:pPr>
    </w:p>
    <w:p w14:paraId="317CD1A6" w14:textId="427C85B7" w:rsidR="00437E1F" w:rsidRPr="00210336" w:rsidRDefault="00437E1F" w:rsidP="009B6D8A">
      <w:pPr>
        <w:spacing w:before="120" w:after="120" w:line="360" w:lineRule="auto"/>
        <w:jc w:val="both"/>
        <w:rPr>
          <w:rFonts w:ascii="Tahoma" w:hAnsi="Tahoma" w:cs="Tahoma"/>
          <w:sz w:val="22"/>
          <w:szCs w:val="22"/>
        </w:rPr>
      </w:pPr>
    </w:p>
    <w:p w14:paraId="01346DAE" w14:textId="77777777" w:rsidR="00437E1F" w:rsidRPr="00210336" w:rsidRDefault="00437E1F" w:rsidP="009B6D8A">
      <w:pPr>
        <w:spacing w:before="120" w:after="120" w:line="360" w:lineRule="auto"/>
        <w:jc w:val="both"/>
        <w:rPr>
          <w:rFonts w:ascii="Tahoma" w:hAnsi="Tahoma" w:cs="Tahoma"/>
          <w:sz w:val="22"/>
          <w:szCs w:val="22"/>
        </w:rPr>
      </w:pPr>
    </w:p>
    <w:p w14:paraId="55D50E65" w14:textId="413ECA6E" w:rsidR="009B6D8A" w:rsidRPr="00210336" w:rsidRDefault="009B6D8A" w:rsidP="009B6D8A">
      <w:pPr>
        <w:spacing w:before="120" w:after="120" w:line="360" w:lineRule="auto"/>
        <w:jc w:val="center"/>
        <w:rPr>
          <w:rFonts w:ascii="Tahoma" w:hAnsi="Tahoma" w:cs="Tahoma"/>
          <w:color w:val="0098BA"/>
          <w:sz w:val="19"/>
          <w:szCs w:val="19"/>
        </w:rPr>
      </w:pPr>
      <w:r w:rsidRPr="00210336">
        <w:rPr>
          <w:rFonts w:ascii="Tahoma" w:hAnsi="Tahoma" w:cs="Tahoma"/>
          <w:color w:val="0098BA"/>
          <w:sz w:val="19"/>
          <w:szCs w:val="19"/>
        </w:rPr>
        <w:t xml:space="preserve">Evolução das Taxas Referenciais da Finep, comparativamente a SELIC (% </w:t>
      </w:r>
      <w:r w:rsidRPr="00210336">
        <w:rPr>
          <w:rFonts w:ascii="Tahoma" w:hAnsi="Tahoma" w:cs="Tahoma"/>
          <w:color w:val="0098BA"/>
          <w:sz w:val="19"/>
          <w:szCs w:val="19"/>
          <w:vertAlign w:val="superscript"/>
        </w:rPr>
        <w:t>a. a.)</w:t>
      </w:r>
      <w:r w:rsidRPr="00210336">
        <w:rPr>
          <w:rFonts w:ascii="Tahoma" w:hAnsi="Tahoma" w:cs="Tahoma"/>
          <w:color w:val="0098BA"/>
          <w:sz w:val="19"/>
          <w:szCs w:val="19"/>
        </w:rPr>
        <w:t xml:space="preserve"> - 2018-2023</w:t>
      </w:r>
    </w:p>
    <w:p w14:paraId="699611DB" w14:textId="77777777" w:rsidR="009B6D8A" w:rsidRPr="0082438F" w:rsidRDefault="009B6D8A" w:rsidP="0082438F">
      <w:pPr>
        <w:jc w:val="center"/>
        <w:rPr>
          <w:rFonts w:ascii="Tahoma" w:hAnsi="Tahoma" w:cs="Tahoma"/>
          <w:sz w:val="19"/>
          <w:szCs w:val="19"/>
        </w:rPr>
      </w:pPr>
      <w:r w:rsidRPr="00210336">
        <w:rPr>
          <w:rFonts w:ascii="Tahoma" w:hAnsi="Tahoma" w:cs="Tahoma"/>
          <w:noProof/>
          <w:sz w:val="22"/>
          <w:szCs w:val="22"/>
        </w:rPr>
        <w:drawing>
          <wp:inline distT="0" distB="0" distL="0" distR="0" wp14:anchorId="0C225DF6" wp14:editId="1D7B66BC">
            <wp:extent cx="2991165" cy="1502410"/>
            <wp:effectExtent l="0" t="0" r="0" b="2540"/>
            <wp:docPr id="385971180" name="Imagem 38597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001757" cy="1507730"/>
                    </a:xfrm>
                    <a:prstGeom prst="rect">
                      <a:avLst/>
                    </a:prstGeom>
                    <a:noFill/>
                    <a:ln>
                      <a:noFill/>
                    </a:ln>
                  </pic:spPr>
                </pic:pic>
              </a:graphicData>
            </a:graphic>
          </wp:inline>
        </w:drawing>
      </w:r>
    </w:p>
    <w:p w14:paraId="3D37DE3E" w14:textId="77777777" w:rsidR="009B6D8A" w:rsidRPr="0082438F" w:rsidRDefault="009B6D8A" w:rsidP="009B6D8A">
      <w:pPr>
        <w:spacing w:before="120" w:after="120" w:line="360" w:lineRule="auto"/>
        <w:ind w:left="2832" w:firstLine="708"/>
        <w:rPr>
          <w:rFonts w:ascii="Tahoma" w:hAnsi="Tahoma" w:cs="Tahoma"/>
          <w:sz w:val="18"/>
          <w:szCs w:val="18"/>
        </w:rPr>
      </w:pPr>
      <w:r w:rsidRPr="0082438F">
        <w:rPr>
          <w:rFonts w:ascii="Tahoma" w:hAnsi="Tahoma" w:cs="Tahoma"/>
          <w:sz w:val="18"/>
          <w:szCs w:val="18"/>
        </w:rPr>
        <w:t>Fonte: Séries Temporais - Bacen</w:t>
      </w:r>
    </w:p>
    <w:p w14:paraId="2355C8A4" w14:textId="77777777" w:rsidR="009B6D8A" w:rsidRPr="0082438F" w:rsidRDefault="009B6D8A" w:rsidP="00A24260">
      <w:pPr>
        <w:spacing w:before="120" w:after="120" w:line="360" w:lineRule="auto"/>
        <w:jc w:val="both"/>
        <w:rPr>
          <w:rFonts w:ascii="Tahoma" w:hAnsi="Tahoma" w:cs="Tahoma"/>
          <w:sz w:val="19"/>
          <w:szCs w:val="19"/>
        </w:rPr>
      </w:pPr>
      <w:r w:rsidRPr="0082438F">
        <w:rPr>
          <w:rFonts w:ascii="Tahoma" w:hAnsi="Tahoma" w:cs="Tahoma"/>
          <w:sz w:val="19"/>
          <w:szCs w:val="19"/>
        </w:rPr>
        <w:t xml:space="preserve">Ainda que as taxas referenciais definam tanto a indexação dos </w:t>
      </w:r>
      <w:r w:rsidRPr="0082438F">
        <w:rPr>
          <w:rFonts w:ascii="Tahoma" w:hAnsi="Tahoma" w:cs="Tahoma"/>
          <w:b/>
          <w:bCs/>
          <w:sz w:val="19"/>
          <w:szCs w:val="19"/>
        </w:rPr>
        <w:t>Recebíveis (ou Receitas)</w:t>
      </w:r>
      <w:r w:rsidRPr="0082438F">
        <w:rPr>
          <w:rFonts w:ascii="Tahoma" w:hAnsi="Tahoma" w:cs="Tahoma"/>
          <w:sz w:val="19"/>
          <w:szCs w:val="19"/>
        </w:rPr>
        <w:t xml:space="preserve"> da Finep, quanto a indexação de suas </w:t>
      </w:r>
      <w:r w:rsidRPr="0082438F">
        <w:rPr>
          <w:rFonts w:ascii="Tahoma" w:hAnsi="Tahoma" w:cs="Tahoma"/>
          <w:b/>
          <w:bCs/>
          <w:sz w:val="19"/>
          <w:szCs w:val="19"/>
        </w:rPr>
        <w:t>Obrigações (ou Pagamentos)</w:t>
      </w:r>
      <w:r w:rsidRPr="0082438F">
        <w:rPr>
          <w:rFonts w:ascii="Tahoma" w:hAnsi="Tahoma" w:cs="Tahoma"/>
          <w:sz w:val="19"/>
          <w:szCs w:val="19"/>
        </w:rPr>
        <w:t xml:space="preserve"> junto às fontes credoras, a mudança anunciada impactou as 2 (duas) pontas de formas distintas.</w:t>
      </w:r>
    </w:p>
    <w:p w14:paraId="2CFF066F" w14:textId="6BC7E941" w:rsidR="009B6D8A" w:rsidRPr="0082438F" w:rsidRDefault="00A24260" w:rsidP="00A24260">
      <w:pPr>
        <w:spacing w:before="120" w:after="120" w:line="360" w:lineRule="auto"/>
        <w:rPr>
          <w:rFonts w:ascii="Tahoma" w:hAnsi="Tahoma" w:cs="Tahoma"/>
          <w:sz w:val="19"/>
          <w:szCs w:val="19"/>
        </w:rPr>
      </w:pPr>
      <w:r w:rsidRPr="00210336">
        <w:rPr>
          <w:rFonts w:ascii="Tahoma" w:hAnsi="Tahoma" w:cs="Tahoma"/>
          <w:noProof/>
          <w:sz w:val="22"/>
          <w:szCs w:val="22"/>
        </w:rPr>
        <mc:AlternateContent>
          <mc:Choice Requires="wps">
            <w:drawing>
              <wp:anchor distT="0" distB="0" distL="114300" distR="114300" simplePos="0" relativeHeight="251804672" behindDoc="0" locked="0" layoutInCell="1" allowOverlap="1" wp14:anchorId="10235903" wp14:editId="17A9EEAD">
                <wp:simplePos x="0" y="0"/>
                <wp:positionH relativeFrom="column">
                  <wp:posOffset>35169</wp:posOffset>
                </wp:positionH>
                <wp:positionV relativeFrom="paragraph">
                  <wp:posOffset>1293886</wp:posOffset>
                </wp:positionV>
                <wp:extent cx="6049010" cy="1793631"/>
                <wp:effectExtent l="0" t="0" r="8890" b="0"/>
                <wp:wrapNone/>
                <wp:docPr id="1344565982" name="Text Box 237"/>
                <wp:cNvGraphicFramePr/>
                <a:graphic xmlns:a="http://schemas.openxmlformats.org/drawingml/2006/main">
                  <a:graphicData uri="http://schemas.microsoft.com/office/word/2010/wordprocessingShape">
                    <wps:wsp>
                      <wps:cNvSpPr txBox="1"/>
                      <wps:spPr>
                        <a:xfrm>
                          <a:off x="0" y="0"/>
                          <a:ext cx="6049010" cy="1793631"/>
                        </a:xfrm>
                        <a:prstGeom prst="rect">
                          <a:avLst/>
                        </a:prstGeom>
                        <a:solidFill>
                          <a:srgbClr val="0098BA">
                            <a:alpha val="25098"/>
                          </a:srgbClr>
                        </a:solidFill>
                        <a:ln w="6345">
                          <a:noFill/>
                          <a:prstDash val="dash"/>
                        </a:ln>
                      </wps:spPr>
                      <wps:txbx>
                        <w:txbxContent>
                          <w:p w14:paraId="7029AD04" w14:textId="259BAF26" w:rsidR="00437E1F" w:rsidRPr="0082438F" w:rsidRDefault="00437E1F" w:rsidP="00437E1F">
                            <w:pPr>
                              <w:jc w:val="right"/>
                              <w:rPr>
                                <w:rFonts w:ascii="Tahoma" w:hAnsi="Tahoma" w:cs="Tahoma"/>
                                <w:sz w:val="16"/>
                                <w:szCs w:val="16"/>
                              </w:rPr>
                            </w:pPr>
                            <w:r w:rsidRPr="0082438F">
                              <w:rPr>
                                <w:rFonts w:ascii="Tahoma" w:hAnsi="Tahoma" w:cs="Tahoma"/>
                                <w:sz w:val="16"/>
                                <w:szCs w:val="16"/>
                              </w:rPr>
                              <w:t xml:space="preserve">A Medida Provisória 1.136/2022, publicada em 29 de agosto de 2022, alterou a Lei 11.540 (ou Lei do FNDCT), de 12 de novembro de 2007, propondo a mudança de indexação dos empréstimos do </w:t>
                            </w:r>
                            <w:r w:rsidR="00281E55" w:rsidRPr="0082438F">
                              <w:rPr>
                                <w:rFonts w:ascii="Tahoma" w:hAnsi="Tahoma" w:cs="Tahoma"/>
                                <w:sz w:val="16"/>
                                <w:szCs w:val="16"/>
                              </w:rPr>
                              <w:t>FNDCT de</w:t>
                            </w:r>
                            <w:r w:rsidRPr="0082438F">
                              <w:rPr>
                                <w:rFonts w:ascii="Tahoma" w:hAnsi="Tahoma" w:cs="Tahoma"/>
                                <w:sz w:val="16"/>
                                <w:szCs w:val="16"/>
                              </w:rPr>
                              <w:t xml:space="preserve"> TJLP para TR, dentre outros aspectos, produzindo efeitos jurídicos imediatos a partir de sua publicação, ainda que necessitasse de posterior apreciação pelo Congresso Nacional (Câmara e Senado) para fins de conversão definitiva em lei ordinária. Registra-se que seu prazo inicial de vigência de 60 dias (27 de outubro de 2022) foi prorrogado automaticamente por igual período (até o dia 05 de fevereiro de 2023), pelo fato de não ter sua votação concluída pelo Congresso.</w:t>
                            </w:r>
                          </w:p>
                          <w:p w14:paraId="73B6B608" w14:textId="35EFD7F2" w:rsidR="00437E1F" w:rsidRPr="0082438F" w:rsidRDefault="00437E1F" w:rsidP="00437E1F">
                            <w:pPr>
                              <w:jc w:val="right"/>
                              <w:rPr>
                                <w:rFonts w:ascii="Tahoma" w:hAnsi="Tahoma" w:cs="Tahoma"/>
                                <w:sz w:val="16"/>
                                <w:szCs w:val="16"/>
                              </w:rPr>
                            </w:pPr>
                            <w:r w:rsidRPr="0082438F">
                              <w:rPr>
                                <w:rFonts w:ascii="Tahoma" w:hAnsi="Tahoma" w:cs="Tahoma"/>
                                <w:sz w:val="16"/>
                                <w:szCs w:val="16"/>
                              </w:rPr>
                              <w:t>Como efeito da Medida Provisória 1.136/2022, registra-se em razão da imprevisibilidade acerca da sua conversão em lei ordinária à época, os parâmetros que regeram os financiamentos reembolsáveis (ou operações de crédito) direto e indireto (ou repasses) firmados a partir de 29 de agosto de 2022, contemplaram a indexação pela TR, enquanto aquele dispositivo legal esteve vigente e sob a expectativa de que fosse convertido em lei, prevendo-se conversão imediata para TJLP, quando revogado. Para os financiamentos firmados antes de 29 de agosto de 2022, por sua vez, foi mantida a previsão de indexação pela TJLP. Posteriormente, a Lei 14.554/2023, sancionada em 20 de abril de 2023, restabelecerá os juros remuneratórios equivalentes a TR sobre os empréstimos do FNDCT contraídos pela Finep com repercussões direta sobre a Lei n.º 11.540/2007.</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10235903" id="_x0000_s1044" type="#_x0000_t202" style="position:absolute;margin-left:2.75pt;margin-top:101.9pt;width:476.3pt;height:141.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" fillcolor="#0098ba" stroked="f" strokeweight=".17625mm">
                <v:fill opacity="16448f"/>
                <v:stroke dashstyle="dash"/>
                <v:textbox>
                  <w:txbxContent>
                    <w:p w14:paraId="7029AD04" w14:textId="259BAF26" w:rsidR="00437E1F" w:rsidRPr="0082438F" w:rsidRDefault="00437E1F" w:rsidP="00437E1F">
                      <w:pPr>
                        <w:jc w:val="right"/>
                        <w:rPr>
                          <w:rFonts w:ascii="Tahoma" w:hAnsi="Tahoma" w:cs="Tahoma"/>
                          <w:sz w:val="16"/>
                          <w:szCs w:val="16"/>
                        </w:rPr>
                      </w:pPr>
                      <w:r w:rsidRPr="0082438F">
                        <w:rPr>
                          <w:rFonts w:ascii="Tahoma" w:hAnsi="Tahoma" w:cs="Tahoma"/>
                          <w:sz w:val="16"/>
                          <w:szCs w:val="16"/>
                        </w:rPr>
                        <w:t xml:space="preserve">A Medida Provisória 1.136/2022, publicada em 29 de agosto de 2022, alterou a Lei 11.540 (ou Lei do FNDCT), de 12 de novembro de 2007, propondo a mudança de indexação dos empréstimos do </w:t>
                      </w:r>
                      <w:r w:rsidR="00281E55" w:rsidRPr="0082438F">
                        <w:rPr>
                          <w:rFonts w:ascii="Tahoma" w:hAnsi="Tahoma" w:cs="Tahoma"/>
                          <w:sz w:val="16"/>
                          <w:szCs w:val="16"/>
                        </w:rPr>
                        <w:t>FNDCT de</w:t>
                      </w:r>
                      <w:r w:rsidRPr="0082438F">
                        <w:rPr>
                          <w:rFonts w:ascii="Tahoma" w:hAnsi="Tahoma" w:cs="Tahoma"/>
                          <w:sz w:val="16"/>
                          <w:szCs w:val="16"/>
                        </w:rPr>
                        <w:t xml:space="preserve"> TJLP para TR, dentre outros aspectos, produzindo efeitos jurídicos imediatos a partir de sua publicação, ainda que necessitasse de posterior apreciação pelo Congresso Nacional (Câmara e Senado) para fins de conversão definitiva em lei ordinária. Registra-se que seu prazo inicial de vigência de 60 dias (27 de outubro de 2022) foi prorrogado automaticamente por igual período (até o dia 05 de fevereiro de 2023), pelo fato de não ter sua votação concluída pelo Congresso.</w:t>
                      </w:r>
                    </w:p>
                    <w:p w14:paraId="73B6B608" w14:textId="35EFD7F2" w:rsidR="00437E1F" w:rsidRPr="0082438F" w:rsidRDefault="00437E1F" w:rsidP="00437E1F">
                      <w:pPr>
                        <w:jc w:val="right"/>
                        <w:rPr>
                          <w:rFonts w:ascii="Tahoma" w:hAnsi="Tahoma" w:cs="Tahoma"/>
                          <w:sz w:val="16"/>
                          <w:szCs w:val="16"/>
                        </w:rPr>
                      </w:pPr>
                      <w:r w:rsidRPr="0082438F">
                        <w:rPr>
                          <w:rFonts w:ascii="Tahoma" w:hAnsi="Tahoma" w:cs="Tahoma"/>
                          <w:sz w:val="16"/>
                          <w:szCs w:val="16"/>
                        </w:rPr>
                        <w:t>Como efeito da Medida Provisória 1.136/2022, registra-se em razão da imprevisibilidade acerca da sua conversão em lei ordinária à época, os parâmetros que regeram os financiamentos reembolsáveis (ou operações de crédito) direto e indireto (ou repasses) firmados a partir de 29 de agosto de 2022, contemplaram a indexação pela TR, enquanto aquele dispositivo legal esteve vigente e sob a expectativa de que fosse convertido em lei, prevendo-se conversão imediata para TJLP, quando revogado. Para os financiamentos firmados antes de 29 de agosto de 2022, por sua vez, foi mantida a previsão de indexação pela TJLP. Posteriormente, a Lei 14.554/2023, sancionada em 20 de abril de 2023, restabelecerá os juros remuneratórios equivalentes a TR sobre os empréstimos do FNDCT contraídos pela Finep com repercussões direta sobre a Lei n.º 11.540/2007.</w:t>
                      </w:r>
                    </w:p>
                  </w:txbxContent>
                </v:textbox>
              </v:shape>
            </w:pict>
          </mc:Fallback>
        </mc:AlternateContent>
      </w:r>
      <w:r w:rsidR="009B6D8A" w:rsidRPr="0082438F">
        <w:rPr>
          <w:rFonts w:ascii="Tahoma" w:hAnsi="Tahoma" w:cs="Tahoma"/>
          <w:sz w:val="19"/>
          <w:szCs w:val="19"/>
        </w:rPr>
        <w:t xml:space="preserve">Enquanto para os Recebíveis a mudança de taxas passou a ser válida para as novas operações de créditos concedidas com recursos do FNDCT, para as Obrigações a mudança passou a incidir tanto sobre o saldo devedor dos empréstimos antigos ainda ativos, quanto sobre os saldos dos novos empréstimos que viessem a ser contraídos pela Finep junto ao FNDCT, a partir do último quadrimestre de 2022, quando foi publicada a </w:t>
      </w:r>
      <w:r w:rsidR="009B6D8A" w:rsidRPr="0082438F">
        <w:rPr>
          <w:rFonts w:ascii="Tahoma" w:hAnsi="Tahoma" w:cs="Tahoma"/>
          <w:b/>
          <w:bCs/>
          <w:sz w:val="19"/>
          <w:szCs w:val="19"/>
        </w:rPr>
        <w:t>Medida Provisória 1.136/2022</w:t>
      </w:r>
      <w:r w:rsidR="009B6D8A" w:rsidRPr="0082438F">
        <w:rPr>
          <w:rFonts w:ascii="Tahoma" w:hAnsi="Tahoma" w:cs="Tahoma"/>
          <w:sz w:val="19"/>
          <w:szCs w:val="19"/>
        </w:rPr>
        <w:t>, refletindo a expectativa de que a MP viesse a ser convertida em Lei, algo que foi concretizado apenas ao final do 1º quadrimestre de 2023.</w:t>
      </w:r>
    </w:p>
    <w:p w14:paraId="75B2E756" w14:textId="382B1F4B" w:rsidR="00437E1F" w:rsidRPr="00210336" w:rsidRDefault="00437E1F" w:rsidP="00437E1F">
      <w:pPr>
        <w:spacing w:before="120" w:after="120" w:line="360" w:lineRule="auto"/>
        <w:rPr>
          <w:rFonts w:ascii="Tahoma" w:hAnsi="Tahoma" w:cs="Tahoma"/>
          <w:sz w:val="22"/>
          <w:szCs w:val="22"/>
        </w:rPr>
      </w:pPr>
    </w:p>
    <w:p w14:paraId="21E940C9" w14:textId="020743FD" w:rsidR="00437E1F" w:rsidRPr="00210336" w:rsidRDefault="00437E1F" w:rsidP="00437E1F">
      <w:pPr>
        <w:spacing w:before="120" w:after="120" w:line="360" w:lineRule="auto"/>
        <w:rPr>
          <w:rFonts w:ascii="Tahoma" w:hAnsi="Tahoma" w:cs="Tahoma"/>
          <w:sz w:val="22"/>
          <w:szCs w:val="22"/>
        </w:rPr>
      </w:pPr>
    </w:p>
    <w:p w14:paraId="6A45D7E9" w14:textId="77777777" w:rsidR="00437E1F" w:rsidRPr="00210336" w:rsidRDefault="00437E1F" w:rsidP="00437E1F">
      <w:pPr>
        <w:spacing w:before="120" w:after="120" w:line="360" w:lineRule="auto"/>
        <w:rPr>
          <w:rFonts w:ascii="Tahoma" w:hAnsi="Tahoma" w:cs="Tahoma"/>
          <w:sz w:val="22"/>
          <w:szCs w:val="22"/>
        </w:rPr>
      </w:pPr>
    </w:p>
    <w:p w14:paraId="7CBDA2BB" w14:textId="77777777" w:rsidR="00437E1F" w:rsidRPr="00210336" w:rsidRDefault="00437E1F" w:rsidP="00437E1F">
      <w:pPr>
        <w:spacing w:before="120" w:after="120" w:line="360" w:lineRule="auto"/>
        <w:rPr>
          <w:rFonts w:ascii="Tahoma" w:hAnsi="Tahoma" w:cs="Tahoma"/>
          <w:sz w:val="22"/>
          <w:szCs w:val="22"/>
        </w:rPr>
      </w:pPr>
    </w:p>
    <w:p w14:paraId="4EA69568" w14:textId="77777777" w:rsidR="009B6D8A" w:rsidRPr="0082438F" w:rsidRDefault="009B6D8A" w:rsidP="00437E1F">
      <w:pPr>
        <w:spacing w:before="120" w:after="120" w:line="360" w:lineRule="auto"/>
        <w:rPr>
          <w:rFonts w:ascii="Tahoma" w:hAnsi="Tahoma" w:cs="Tahoma"/>
          <w:sz w:val="19"/>
          <w:szCs w:val="19"/>
        </w:rPr>
      </w:pPr>
      <w:r w:rsidRPr="0082438F">
        <w:rPr>
          <w:rFonts w:ascii="Tahoma" w:hAnsi="Tahoma" w:cs="Tahoma"/>
          <w:sz w:val="19"/>
          <w:szCs w:val="19"/>
        </w:rPr>
        <w:lastRenderedPageBreak/>
        <w:t xml:space="preserve">Na </w:t>
      </w:r>
      <w:r w:rsidRPr="0082438F">
        <w:rPr>
          <w:rFonts w:ascii="Tahoma" w:hAnsi="Tahoma" w:cs="Tahoma"/>
          <w:b/>
          <w:sz w:val="19"/>
          <w:szCs w:val="19"/>
        </w:rPr>
        <w:t>Receita de Aplicação Financeira,</w:t>
      </w:r>
      <w:r w:rsidRPr="0082438F">
        <w:rPr>
          <w:rFonts w:ascii="Tahoma" w:hAnsi="Tahoma" w:cs="Tahoma"/>
          <w:sz w:val="19"/>
          <w:szCs w:val="19"/>
        </w:rPr>
        <w:t xml:space="preserve"> observou-se aumento de 25,9%, ou R$ 134,9 milhões, decorrentes da elevação da rentabilidade média anual acumulada das aplicações financeiras para 11,1% (10,6%</w:t>
      </w:r>
      <w:r w:rsidRPr="0082438F">
        <w:rPr>
          <w:rStyle w:val="Refdecomentrio"/>
          <w:rFonts w:ascii="Tahoma" w:hAnsi="Tahoma" w:cs="Tahoma"/>
          <w:sz w:val="19"/>
          <w:szCs w:val="19"/>
        </w:rPr>
        <w:t>,</w:t>
      </w:r>
      <w:r w:rsidRPr="0082438F">
        <w:rPr>
          <w:rFonts w:ascii="Tahoma" w:hAnsi="Tahoma" w:cs="Tahoma"/>
          <w:sz w:val="19"/>
          <w:szCs w:val="19"/>
        </w:rPr>
        <w:t xml:space="preserve"> em 2022), associada ao aumento do saldo médio mensal do </w:t>
      </w:r>
      <w:r w:rsidRPr="0082438F">
        <w:rPr>
          <w:rFonts w:ascii="Tahoma" w:hAnsi="Tahoma" w:cs="Tahoma"/>
          <w:b/>
          <w:sz w:val="19"/>
          <w:szCs w:val="19"/>
        </w:rPr>
        <w:t>Caixa e Equivalente de Caixa</w:t>
      </w:r>
      <w:r w:rsidRPr="0082438F">
        <w:rPr>
          <w:rFonts w:ascii="Tahoma" w:hAnsi="Tahoma" w:cs="Tahoma"/>
          <w:sz w:val="19"/>
          <w:szCs w:val="19"/>
        </w:rPr>
        <w:t xml:space="preserve"> para R$ 6,1 bilhões (R$ 5,1 bilhões, em 2022). Tal variação compensou, em alguma medida, o </w:t>
      </w:r>
      <w:r w:rsidRPr="0082438F">
        <w:rPr>
          <w:rFonts w:ascii="Tahoma" w:hAnsi="Tahoma" w:cs="Tahoma"/>
          <w:b/>
          <w:bCs/>
          <w:sz w:val="19"/>
          <w:szCs w:val="19"/>
        </w:rPr>
        <w:t>Ajuste (Negativo) a Valor de Mercado dos Fundos de Investimento</w:t>
      </w:r>
      <w:r w:rsidRPr="0082438F">
        <w:rPr>
          <w:rFonts w:ascii="Tahoma" w:hAnsi="Tahoma" w:cs="Tahoma"/>
          <w:sz w:val="19"/>
          <w:szCs w:val="19"/>
        </w:rPr>
        <w:t>, que em 2023 correspondeu a R$ 78,5 milhões (ante ajuste positivo de R$ 37,4 milhões, em 2022).</w:t>
      </w:r>
    </w:p>
    <w:p w14:paraId="67BEA2C0" w14:textId="77777777" w:rsidR="009B6D8A" w:rsidRPr="0082438F" w:rsidRDefault="009B6D8A" w:rsidP="00437E1F">
      <w:pPr>
        <w:spacing w:before="120" w:after="120" w:line="360" w:lineRule="auto"/>
        <w:rPr>
          <w:rFonts w:ascii="Tahoma" w:hAnsi="Tahoma" w:cs="Tahoma"/>
          <w:color w:val="000000" w:themeColor="text1"/>
          <w:sz w:val="19"/>
          <w:szCs w:val="19"/>
        </w:rPr>
      </w:pPr>
      <w:r w:rsidRPr="0082438F">
        <w:rPr>
          <w:rFonts w:ascii="Tahoma" w:hAnsi="Tahoma" w:cs="Tahoma"/>
          <w:sz w:val="19"/>
          <w:szCs w:val="19"/>
        </w:rPr>
        <w:t xml:space="preserve">Em relação às </w:t>
      </w:r>
      <w:r w:rsidRPr="0082438F">
        <w:rPr>
          <w:rFonts w:ascii="Tahoma" w:hAnsi="Tahoma" w:cs="Tahoma"/>
          <w:b/>
          <w:bCs/>
          <w:sz w:val="19"/>
          <w:szCs w:val="19"/>
        </w:rPr>
        <w:t>Despesas com Intermediação Financeira</w:t>
      </w:r>
      <w:r w:rsidRPr="0082438F">
        <w:rPr>
          <w:rFonts w:ascii="Tahoma" w:hAnsi="Tahoma" w:cs="Tahoma"/>
          <w:sz w:val="19"/>
          <w:szCs w:val="19"/>
        </w:rPr>
        <w:t xml:space="preserve">, houve redução de 75,3% (ou R$ 554,2 milhões), na comparação com o ano anterior, no que pese o aumento da </w:t>
      </w:r>
      <w:r w:rsidRPr="0082438F">
        <w:rPr>
          <w:rFonts w:ascii="Tahoma" w:hAnsi="Tahoma" w:cs="Tahoma"/>
          <w:b/>
          <w:bCs/>
          <w:sz w:val="19"/>
          <w:szCs w:val="19"/>
        </w:rPr>
        <w:t>Dívida Onerosa da Finep</w:t>
      </w:r>
      <w:r w:rsidRPr="0082438F">
        <w:rPr>
          <w:rFonts w:ascii="Tahoma" w:hAnsi="Tahoma" w:cs="Tahoma"/>
          <w:sz w:val="19"/>
          <w:szCs w:val="19"/>
        </w:rPr>
        <w:t xml:space="preserve"> em 31,9%, ou R$ 4,4 bilhões, decorrente sobretudo da </w:t>
      </w:r>
      <w:r w:rsidRPr="0082438F">
        <w:rPr>
          <w:rFonts w:ascii="Tahoma" w:hAnsi="Tahoma" w:cs="Tahoma"/>
          <w:b/>
          <w:bCs/>
          <w:sz w:val="19"/>
          <w:szCs w:val="19"/>
        </w:rPr>
        <w:t xml:space="preserve">Reversão do </w:t>
      </w:r>
      <w:r w:rsidRPr="0082438F">
        <w:rPr>
          <w:rFonts w:ascii="Tahoma" w:hAnsi="Tahoma" w:cs="Tahoma"/>
          <w:b/>
          <w:bCs/>
          <w:kern w:val="1"/>
          <w:sz w:val="19"/>
          <w:szCs w:val="19"/>
        </w:rPr>
        <w:t>Provisionamento sobre o diferencial de taxas incidentes sobre o Empréstimo do FNDCT</w:t>
      </w:r>
      <w:r w:rsidRPr="0082438F">
        <w:rPr>
          <w:rFonts w:ascii="Tahoma" w:hAnsi="Tahoma" w:cs="Tahoma"/>
          <w:kern w:val="1"/>
          <w:sz w:val="19"/>
          <w:szCs w:val="19"/>
        </w:rPr>
        <w:t xml:space="preserve"> – TJLP e TR, totalizando R$ 210,0 milhões, reflexo da </w:t>
      </w:r>
      <w:r w:rsidRPr="0082438F">
        <w:rPr>
          <w:rFonts w:ascii="Tahoma" w:hAnsi="Tahoma" w:cs="Tahoma"/>
          <w:sz w:val="19"/>
          <w:szCs w:val="19"/>
        </w:rPr>
        <w:t xml:space="preserve">perda de eficácia da MP 1.136/2022, e, posterior, aprovação da Lei 14.554/23, a qual, dentre outras disposições, estabeleceu a </w:t>
      </w:r>
      <w:r w:rsidRPr="0082438F">
        <w:rPr>
          <w:rFonts w:ascii="Tahoma" w:hAnsi="Tahoma" w:cs="Tahoma"/>
          <w:b/>
          <w:bCs/>
          <w:sz w:val="19"/>
          <w:szCs w:val="19"/>
        </w:rPr>
        <w:t>substituição definitiva da incidência TJLP pela TR sobre os empréstimos contraídos pela Finep junto ao FNDCT</w:t>
      </w:r>
      <w:r w:rsidRPr="0082438F">
        <w:rPr>
          <w:rFonts w:ascii="Tahoma" w:hAnsi="Tahoma" w:cs="Tahoma"/>
          <w:sz w:val="19"/>
          <w:szCs w:val="19"/>
        </w:rPr>
        <w:t>, reduzindo a despesa de juros para R$ 360,8 milhões (R$ 501,6 milhões, em 2022).</w:t>
      </w:r>
    </w:p>
    <w:p w14:paraId="17769624" w14:textId="77777777" w:rsidR="009B6D8A" w:rsidRPr="0082438F" w:rsidRDefault="009B6D8A" w:rsidP="00437E1F">
      <w:pPr>
        <w:spacing w:before="120" w:after="120" w:line="360" w:lineRule="auto"/>
        <w:rPr>
          <w:rFonts w:ascii="Tahoma" w:hAnsi="Tahoma" w:cs="Tahoma"/>
          <w:sz w:val="19"/>
          <w:szCs w:val="19"/>
        </w:rPr>
      </w:pPr>
      <w:r w:rsidRPr="0082438F">
        <w:rPr>
          <w:rFonts w:ascii="Tahoma" w:hAnsi="Tahoma" w:cs="Tahoma"/>
          <w:sz w:val="19"/>
          <w:szCs w:val="19"/>
        </w:rPr>
        <w:t xml:space="preserve">A despesa com </w:t>
      </w:r>
      <w:r w:rsidRPr="0082438F">
        <w:rPr>
          <w:rFonts w:ascii="Tahoma" w:hAnsi="Tahoma" w:cs="Tahoma"/>
          <w:b/>
          <w:sz w:val="19"/>
          <w:szCs w:val="19"/>
        </w:rPr>
        <w:t>Provisão para Perdas associadas ao Risco de Crédito</w:t>
      </w:r>
      <w:r w:rsidRPr="0082438F">
        <w:rPr>
          <w:rFonts w:ascii="Tahoma" w:hAnsi="Tahoma" w:cs="Tahoma"/>
          <w:sz w:val="19"/>
          <w:szCs w:val="19"/>
        </w:rPr>
        <w:t>, por sua vez, correspondeu a R$ 61,6 milhões, sendo derivada do aporte de provisionamento para 2 (duas) empresas em processo judicial, de R$ 76,3 milhões, ante reversão decorrente de extinção de 1 (um) processo judicial, de R$ 10,2 milhões, além do pagamento de 1 (uma) empresa, de R$ 7,8 milhões, face ao plano de renegociação em curso, dentre outros pequenos casos que montam a R$ 3,3 milhões.</w:t>
      </w:r>
    </w:p>
    <w:p w14:paraId="031317C7" w14:textId="1BA26A01" w:rsidR="009B6D8A" w:rsidRPr="0082438F" w:rsidRDefault="0082438F" w:rsidP="0082438F">
      <w:pPr>
        <w:spacing w:before="120" w:after="120" w:line="360" w:lineRule="auto"/>
        <w:jc w:val="center"/>
        <w:rPr>
          <w:rFonts w:ascii="Tahoma" w:hAnsi="Tahoma" w:cs="Tahoma"/>
          <w:noProof/>
          <w:color w:val="0098BA"/>
          <w:sz w:val="19"/>
          <w:szCs w:val="19"/>
        </w:rPr>
      </w:pPr>
      <w:r w:rsidRPr="0082438F">
        <w:rPr>
          <w:rFonts w:ascii="Tahoma" w:hAnsi="Tahoma" w:cs="Tahoma"/>
          <w:color w:val="0098BA"/>
          <w:sz w:val="19"/>
          <w:szCs w:val="19"/>
        </w:rPr>
        <w:t>P</w:t>
      </w:r>
      <w:r w:rsidR="009B6D8A" w:rsidRPr="0082438F">
        <w:rPr>
          <w:rFonts w:ascii="Tahoma" w:hAnsi="Tahoma" w:cs="Tahoma"/>
          <w:color w:val="0098BA"/>
          <w:sz w:val="19"/>
          <w:szCs w:val="19"/>
        </w:rPr>
        <w:t xml:space="preserve">rincipais indicadores econômico-financeiros da Finep </w:t>
      </w:r>
      <w:r w:rsidRPr="0082438F">
        <w:rPr>
          <w:rFonts w:ascii="Tahoma" w:hAnsi="Tahoma" w:cs="Tahoma"/>
          <w:color w:val="0098BA"/>
          <w:sz w:val="19"/>
          <w:szCs w:val="19"/>
        </w:rPr>
        <w:t xml:space="preserve">- </w:t>
      </w:r>
      <w:r w:rsidR="009B6D8A" w:rsidRPr="0082438F">
        <w:rPr>
          <w:rFonts w:ascii="Tahoma" w:hAnsi="Tahoma" w:cs="Tahoma"/>
          <w:color w:val="0098BA"/>
          <w:sz w:val="19"/>
          <w:szCs w:val="19"/>
        </w:rPr>
        <w:t>período de 2023-2022</w:t>
      </w:r>
    </w:p>
    <w:p w14:paraId="76B9DB90" w14:textId="77777777" w:rsidR="009B6D8A" w:rsidRPr="00210336" w:rsidRDefault="009B6D8A" w:rsidP="009B6D8A">
      <w:pPr>
        <w:spacing w:before="120" w:after="120" w:line="360" w:lineRule="auto"/>
        <w:jc w:val="center"/>
        <w:rPr>
          <w:rFonts w:ascii="Tahoma" w:hAnsi="Tahoma" w:cs="Tahoma"/>
          <w:noProof/>
          <w:sz w:val="22"/>
          <w:szCs w:val="22"/>
        </w:rPr>
      </w:pPr>
      <w:r w:rsidRPr="00210336">
        <w:rPr>
          <w:rFonts w:ascii="Tahoma" w:hAnsi="Tahoma" w:cs="Tahoma"/>
          <w:noProof/>
          <w:sz w:val="22"/>
          <w:szCs w:val="22"/>
        </w:rPr>
        <w:drawing>
          <wp:inline distT="0" distB="0" distL="0" distR="0" wp14:anchorId="2220EEE6" wp14:editId="06809137">
            <wp:extent cx="4556768" cy="3967069"/>
            <wp:effectExtent l="0" t="0" r="0" b="0"/>
            <wp:docPr id="1343228826"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575309" cy="3983211"/>
                    </a:xfrm>
                    <a:prstGeom prst="rect">
                      <a:avLst/>
                    </a:prstGeom>
                    <a:noFill/>
                    <a:ln>
                      <a:noFill/>
                    </a:ln>
                  </pic:spPr>
                </pic:pic>
              </a:graphicData>
            </a:graphic>
          </wp:inline>
        </w:drawing>
      </w:r>
    </w:p>
    <w:p w14:paraId="53291427" w14:textId="77777777" w:rsidR="009B6D8A" w:rsidRPr="0082438F" w:rsidRDefault="009B6D8A" w:rsidP="00437E1F">
      <w:pPr>
        <w:ind w:left="142" w:right="140"/>
        <w:jc w:val="both"/>
        <w:rPr>
          <w:rFonts w:ascii="Tahoma" w:hAnsi="Tahoma" w:cs="Tahoma"/>
          <w:sz w:val="18"/>
          <w:szCs w:val="18"/>
        </w:rPr>
      </w:pPr>
      <w:r w:rsidRPr="0082438F">
        <w:rPr>
          <w:rFonts w:ascii="Tahoma" w:hAnsi="Tahoma" w:cs="Tahoma"/>
          <w:color w:val="DD4F05"/>
          <w:sz w:val="18"/>
          <w:szCs w:val="18"/>
        </w:rPr>
        <w:lastRenderedPageBreak/>
        <w:t>1</w:t>
      </w:r>
      <w:r w:rsidRPr="0082438F">
        <w:rPr>
          <w:rFonts w:ascii="Tahoma" w:hAnsi="Tahoma" w:cs="Tahoma"/>
          <w:sz w:val="18"/>
          <w:szCs w:val="18"/>
        </w:rPr>
        <w:t xml:space="preserve"> A rubrica de Despesas com Pessoal e Encargos inclui os dispêndios incorridos com a distribuição de Participação nos Resultados.</w:t>
      </w:r>
    </w:p>
    <w:p w14:paraId="69F70B49" w14:textId="77777777" w:rsidR="009B6D8A" w:rsidRPr="0082438F" w:rsidRDefault="009B6D8A" w:rsidP="00437E1F">
      <w:pPr>
        <w:ind w:left="142" w:right="140"/>
        <w:rPr>
          <w:rFonts w:ascii="Tahoma" w:hAnsi="Tahoma" w:cs="Tahoma"/>
          <w:noProof/>
          <w:sz w:val="18"/>
          <w:szCs w:val="18"/>
        </w:rPr>
      </w:pPr>
      <w:r w:rsidRPr="0082438F">
        <w:rPr>
          <w:rFonts w:ascii="Tahoma" w:hAnsi="Tahoma" w:cs="Tahoma"/>
          <w:noProof/>
          <w:color w:val="C45911" w:themeColor="accent2" w:themeShade="BF"/>
          <w:sz w:val="18"/>
          <w:szCs w:val="18"/>
        </w:rPr>
        <w:t xml:space="preserve">2 </w:t>
      </w:r>
      <w:r w:rsidRPr="0082438F">
        <w:rPr>
          <w:rFonts w:ascii="Tahoma" w:hAnsi="Tahoma" w:cs="Tahoma"/>
          <w:noProof/>
          <w:sz w:val="18"/>
          <w:szCs w:val="18"/>
        </w:rPr>
        <w:t>Inclui PIS, COFINS, IRPJ e CSLL correntes e outros.</w:t>
      </w:r>
    </w:p>
    <w:p w14:paraId="4578D7AB" w14:textId="77777777" w:rsidR="009B6D8A" w:rsidRPr="0082438F" w:rsidRDefault="009B6D8A" w:rsidP="00437E1F">
      <w:pPr>
        <w:ind w:left="142" w:right="140"/>
        <w:rPr>
          <w:rFonts w:ascii="Tahoma" w:hAnsi="Tahoma" w:cs="Tahoma"/>
          <w:noProof/>
          <w:sz w:val="18"/>
          <w:szCs w:val="18"/>
        </w:rPr>
      </w:pPr>
      <w:r w:rsidRPr="0082438F">
        <w:rPr>
          <w:rFonts w:ascii="Tahoma" w:hAnsi="Tahoma" w:cs="Tahoma"/>
          <w:noProof/>
          <w:color w:val="C45911" w:themeColor="accent2" w:themeShade="BF"/>
          <w:sz w:val="18"/>
          <w:szCs w:val="18"/>
        </w:rPr>
        <w:t>3</w:t>
      </w:r>
      <w:r w:rsidRPr="0082438F">
        <w:rPr>
          <w:rFonts w:ascii="Tahoma" w:hAnsi="Tahoma" w:cs="Tahoma"/>
          <w:noProof/>
          <w:sz w:val="18"/>
          <w:szCs w:val="18"/>
        </w:rPr>
        <w:t xml:space="preserve"> Corresponde ao principal das Operações de Crédito e Repasses Interfinanceiros, incluindo Cobrança e Recuperação Judiciais.</w:t>
      </w:r>
    </w:p>
    <w:p w14:paraId="47F6A764" w14:textId="77777777" w:rsidR="009B6D8A" w:rsidRPr="0082438F" w:rsidRDefault="009B6D8A" w:rsidP="00437E1F">
      <w:pPr>
        <w:ind w:left="142" w:right="140"/>
        <w:jc w:val="both"/>
        <w:rPr>
          <w:rFonts w:ascii="Tahoma" w:hAnsi="Tahoma" w:cs="Tahoma"/>
          <w:noProof/>
          <w:sz w:val="18"/>
          <w:szCs w:val="18"/>
        </w:rPr>
      </w:pPr>
      <w:r w:rsidRPr="0082438F">
        <w:rPr>
          <w:rFonts w:ascii="Tahoma" w:hAnsi="Tahoma" w:cs="Tahoma"/>
          <w:noProof/>
          <w:color w:val="C45911" w:themeColor="accent2" w:themeShade="BF"/>
          <w:sz w:val="18"/>
          <w:szCs w:val="18"/>
        </w:rPr>
        <w:t>4</w:t>
      </w:r>
      <w:r w:rsidRPr="0082438F">
        <w:rPr>
          <w:rFonts w:ascii="Tahoma" w:hAnsi="Tahoma" w:cs="Tahoma"/>
          <w:noProof/>
          <w:sz w:val="18"/>
          <w:szCs w:val="18"/>
        </w:rPr>
        <w:t xml:space="preserve"> Conforme conceito da Nota Explicativa 3.3 (que acompanha as Demonstrações Contábeis de dezembro de 2023 da Finep) e Demonstração de Fluxo de Caixa.</w:t>
      </w:r>
    </w:p>
    <w:p w14:paraId="5C809339" w14:textId="77777777" w:rsidR="009B6D8A" w:rsidRPr="0082438F" w:rsidRDefault="009B6D8A" w:rsidP="00437E1F">
      <w:pPr>
        <w:ind w:left="142" w:right="140"/>
        <w:rPr>
          <w:rFonts w:ascii="Tahoma" w:hAnsi="Tahoma" w:cs="Tahoma"/>
          <w:sz w:val="18"/>
          <w:szCs w:val="18"/>
        </w:rPr>
      </w:pPr>
      <w:r w:rsidRPr="0082438F">
        <w:rPr>
          <w:rFonts w:ascii="Tahoma" w:hAnsi="Tahoma" w:cs="Tahoma"/>
          <w:noProof/>
          <w:color w:val="DD4F05"/>
          <w:sz w:val="18"/>
          <w:szCs w:val="18"/>
        </w:rPr>
        <w:t xml:space="preserve">5 </w:t>
      </w:r>
      <w:r w:rsidRPr="0082438F">
        <w:rPr>
          <w:rFonts w:ascii="Tahoma" w:hAnsi="Tahoma" w:cs="Tahoma"/>
          <w:noProof/>
          <w:sz w:val="18"/>
          <w:szCs w:val="18"/>
        </w:rPr>
        <w:t>Corresponde ao Principal e Juros das Dívidas contraídas junto às Fontes Credoras</w:t>
      </w:r>
    </w:p>
    <w:p w14:paraId="2AE2CE36" w14:textId="77777777" w:rsidR="00437E1F" w:rsidRPr="0082438F" w:rsidRDefault="00437E1F" w:rsidP="009B6D8A">
      <w:pPr>
        <w:spacing w:before="120" w:after="120" w:line="360" w:lineRule="auto"/>
        <w:jc w:val="both"/>
        <w:rPr>
          <w:rFonts w:ascii="Tahoma" w:hAnsi="Tahoma" w:cs="Tahoma"/>
          <w:sz w:val="19"/>
          <w:szCs w:val="19"/>
        </w:rPr>
      </w:pPr>
    </w:p>
    <w:p w14:paraId="5C756649" w14:textId="60CDA563" w:rsidR="009B6D8A" w:rsidRPr="0082438F" w:rsidRDefault="00F31895" w:rsidP="009B6D8A">
      <w:pPr>
        <w:spacing w:before="120" w:after="120" w:line="360" w:lineRule="auto"/>
        <w:jc w:val="both"/>
        <w:rPr>
          <w:rFonts w:ascii="Tahoma" w:hAnsi="Tahoma" w:cs="Tahoma"/>
          <w:sz w:val="19"/>
          <w:szCs w:val="19"/>
        </w:rPr>
      </w:pPr>
      <w:r w:rsidRPr="0082438F">
        <w:rPr>
          <w:rFonts w:ascii="Tahoma" w:hAnsi="Tahoma" w:cs="Tahoma"/>
          <w:noProof/>
          <w:sz w:val="19"/>
          <w:szCs w:val="19"/>
        </w:rPr>
        <mc:AlternateContent>
          <mc:Choice Requires="wps">
            <w:drawing>
              <wp:anchor distT="0" distB="0" distL="114300" distR="114300" simplePos="0" relativeHeight="251806720" behindDoc="0" locked="0" layoutInCell="1" allowOverlap="1" wp14:anchorId="3DA71F86" wp14:editId="51738C2A">
                <wp:simplePos x="0" y="0"/>
                <wp:positionH relativeFrom="column">
                  <wp:posOffset>1022350</wp:posOffset>
                </wp:positionH>
                <wp:positionV relativeFrom="paragraph">
                  <wp:posOffset>891540</wp:posOffset>
                </wp:positionV>
                <wp:extent cx="4934585" cy="495300"/>
                <wp:effectExtent l="0" t="0" r="0" b="0"/>
                <wp:wrapNone/>
                <wp:docPr id="1634686686" name="Text Box 237"/>
                <wp:cNvGraphicFramePr/>
                <a:graphic xmlns:a="http://schemas.openxmlformats.org/drawingml/2006/main">
                  <a:graphicData uri="http://schemas.microsoft.com/office/word/2010/wordprocessingShape">
                    <wps:wsp>
                      <wps:cNvSpPr txBox="1"/>
                      <wps:spPr>
                        <a:xfrm>
                          <a:off x="0" y="0"/>
                          <a:ext cx="4934585" cy="495300"/>
                        </a:xfrm>
                        <a:prstGeom prst="rect">
                          <a:avLst/>
                        </a:prstGeom>
                        <a:solidFill>
                          <a:srgbClr val="0098BA">
                            <a:alpha val="25098"/>
                          </a:srgbClr>
                        </a:solidFill>
                        <a:ln w="6345">
                          <a:noFill/>
                          <a:prstDash val="dash"/>
                        </a:ln>
                      </wps:spPr>
                      <wps:txbx>
                        <w:txbxContent>
                          <w:p w14:paraId="06FCF381" w14:textId="1E8AA886" w:rsidR="00F31895" w:rsidRPr="0082438F" w:rsidRDefault="00F31895" w:rsidP="00F31895">
                            <w:pPr>
                              <w:jc w:val="right"/>
                              <w:rPr>
                                <w:rFonts w:ascii="Tahoma" w:hAnsi="Tahoma" w:cs="Tahoma"/>
                                <w:sz w:val="16"/>
                                <w:szCs w:val="16"/>
                              </w:rPr>
                            </w:pPr>
                            <w:r w:rsidRPr="0082438F">
                              <w:rPr>
                                <w:rFonts w:ascii="Tahoma" w:hAnsi="Tahoma" w:cs="Tahoma"/>
                                <w:sz w:val="16"/>
                                <w:szCs w:val="16"/>
                              </w:rPr>
                              <w:t>Dentre as tarifas bancárias comumente incidentes sobre as operações de créditos da Finep, destacam-se: a Tarifa de Inspeção e Acompanhamento, a Tarifa de Reserva de Crédito, a Tarifa de Renegociação de Dívidas, a Tarifa de Alteração de Garantias, dentre outras.</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3DA71F86" id="_x0000_s1045" type="#_x0000_t202" style="position:absolute;left:0;text-align:left;margin-left:80.5pt;margin-top:70.2pt;width:388.55pt;height:39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" fillcolor="#0098ba" stroked="f" strokeweight=".17625mm">
                <v:fill opacity="16448f"/>
                <v:stroke dashstyle="dash"/>
                <v:textbox>
                  <w:txbxContent>
                    <w:p w14:paraId="06FCF381" w14:textId="1E8AA886" w:rsidR="00F31895" w:rsidRPr="0082438F" w:rsidRDefault="00F31895" w:rsidP="00F31895">
                      <w:pPr>
                        <w:jc w:val="right"/>
                        <w:rPr>
                          <w:rFonts w:ascii="Tahoma" w:hAnsi="Tahoma" w:cs="Tahoma"/>
                          <w:sz w:val="16"/>
                          <w:szCs w:val="16"/>
                        </w:rPr>
                      </w:pPr>
                      <w:r w:rsidRPr="0082438F">
                        <w:rPr>
                          <w:rFonts w:ascii="Tahoma" w:hAnsi="Tahoma" w:cs="Tahoma"/>
                          <w:sz w:val="16"/>
                          <w:szCs w:val="16"/>
                        </w:rPr>
                        <w:t>Dentre as tarifas bancárias comumente incidentes sobre as operações de créditos da Finep, destacam-se: a Tarifa de Inspeção e Acompanhamento, a Tarifa de Reserva de Crédito, a Tarifa de Renegociação de Dívidas, a Tarifa de Alteração de Garantias, dentre outras.</w:t>
                      </w:r>
                    </w:p>
                  </w:txbxContent>
                </v:textbox>
              </v:shape>
            </w:pict>
          </mc:Fallback>
        </mc:AlternateContent>
      </w:r>
      <w:r w:rsidR="009B6D8A" w:rsidRPr="0082438F">
        <w:rPr>
          <w:rFonts w:ascii="Tahoma" w:hAnsi="Tahoma" w:cs="Tahoma"/>
          <w:sz w:val="19"/>
          <w:szCs w:val="19"/>
        </w:rPr>
        <w:t xml:space="preserve">Além dos aumentos mencionados no </w:t>
      </w:r>
      <w:r w:rsidR="009B6D8A" w:rsidRPr="0082438F">
        <w:rPr>
          <w:rFonts w:ascii="Tahoma" w:hAnsi="Tahoma" w:cs="Tahoma"/>
          <w:b/>
          <w:bCs/>
          <w:sz w:val="19"/>
          <w:szCs w:val="19"/>
        </w:rPr>
        <w:t>Lucro Líquido</w:t>
      </w:r>
      <w:r w:rsidR="009B6D8A" w:rsidRPr="0082438F">
        <w:rPr>
          <w:rFonts w:ascii="Tahoma" w:hAnsi="Tahoma" w:cs="Tahoma"/>
          <w:sz w:val="19"/>
          <w:szCs w:val="19"/>
        </w:rPr>
        <w:t xml:space="preserve">, na </w:t>
      </w:r>
      <w:r w:rsidR="009B6D8A" w:rsidRPr="0082438F">
        <w:rPr>
          <w:rFonts w:ascii="Tahoma" w:hAnsi="Tahoma" w:cs="Tahoma"/>
          <w:b/>
          <w:bCs/>
          <w:sz w:val="19"/>
          <w:szCs w:val="19"/>
        </w:rPr>
        <w:t>Receita com Operações de Crédito e Repasses</w:t>
      </w:r>
      <w:r w:rsidR="009B6D8A" w:rsidRPr="0082438F">
        <w:rPr>
          <w:rFonts w:ascii="Tahoma" w:hAnsi="Tahoma" w:cs="Tahoma"/>
          <w:sz w:val="19"/>
          <w:szCs w:val="19"/>
        </w:rPr>
        <w:t xml:space="preserve"> e na </w:t>
      </w:r>
      <w:r w:rsidR="009B6D8A" w:rsidRPr="0082438F">
        <w:rPr>
          <w:rFonts w:ascii="Tahoma" w:hAnsi="Tahoma" w:cs="Tahoma"/>
          <w:b/>
          <w:bCs/>
          <w:sz w:val="19"/>
          <w:szCs w:val="19"/>
        </w:rPr>
        <w:t>Receita com Aplicação Financeira</w:t>
      </w:r>
      <w:r w:rsidR="009B6D8A" w:rsidRPr="0082438F">
        <w:rPr>
          <w:rFonts w:ascii="Tahoma" w:hAnsi="Tahoma" w:cs="Tahoma"/>
          <w:sz w:val="19"/>
          <w:szCs w:val="19"/>
        </w:rPr>
        <w:t xml:space="preserve">, houve também aumento de 77,3%, ou R$ 67,9 milhões, da </w:t>
      </w:r>
      <w:r w:rsidR="009B6D8A" w:rsidRPr="0082438F">
        <w:rPr>
          <w:rFonts w:ascii="Tahoma" w:hAnsi="Tahoma" w:cs="Tahoma"/>
          <w:b/>
          <w:sz w:val="19"/>
          <w:szCs w:val="19"/>
        </w:rPr>
        <w:t>Receita de Serviços</w:t>
      </w:r>
      <w:r w:rsidR="009B6D8A" w:rsidRPr="0082438F">
        <w:rPr>
          <w:rFonts w:ascii="Tahoma" w:hAnsi="Tahoma" w:cs="Tahoma"/>
          <w:sz w:val="19"/>
          <w:szCs w:val="19"/>
        </w:rPr>
        <w:t xml:space="preserve">, oriunda de renda auferida com a </w:t>
      </w:r>
      <w:r w:rsidR="009B6D8A" w:rsidRPr="0082438F">
        <w:rPr>
          <w:rFonts w:ascii="Tahoma" w:hAnsi="Tahoma" w:cs="Tahoma"/>
          <w:b/>
          <w:bCs/>
          <w:sz w:val="19"/>
          <w:szCs w:val="19"/>
        </w:rPr>
        <w:t>Administração de Recursos de Terceiros</w:t>
      </w:r>
      <w:r w:rsidR="009B6D8A" w:rsidRPr="0082438F">
        <w:rPr>
          <w:rFonts w:ascii="Tahoma" w:hAnsi="Tahoma" w:cs="Tahoma"/>
          <w:sz w:val="19"/>
          <w:szCs w:val="19"/>
        </w:rPr>
        <w:t xml:space="preserve"> e com </w:t>
      </w:r>
      <w:r w:rsidR="009B6D8A" w:rsidRPr="0082438F">
        <w:rPr>
          <w:rFonts w:ascii="Tahoma" w:hAnsi="Tahoma" w:cs="Tahoma"/>
          <w:b/>
          <w:bCs/>
          <w:sz w:val="19"/>
          <w:szCs w:val="19"/>
        </w:rPr>
        <w:t>Tarifas Bancárias</w:t>
      </w:r>
      <w:r w:rsidR="009B6D8A" w:rsidRPr="0082438F">
        <w:rPr>
          <w:rFonts w:ascii="Tahoma" w:hAnsi="Tahoma" w:cs="Tahoma"/>
          <w:sz w:val="19"/>
          <w:szCs w:val="19"/>
        </w:rPr>
        <w:t>.</w:t>
      </w:r>
    </w:p>
    <w:p w14:paraId="79A05972" w14:textId="3977BB2D" w:rsidR="00F31895" w:rsidRPr="0082438F" w:rsidRDefault="00F31895" w:rsidP="009B6D8A">
      <w:pPr>
        <w:spacing w:before="120" w:after="120" w:line="360" w:lineRule="auto"/>
        <w:jc w:val="both"/>
        <w:rPr>
          <w:rFonts w:ascii="Tahoma" w:hAnsi="Tahoma" w:cs="Tahoma"/>
          <w:sz w:val="19"/>
          <w:szCs w:val="19"/>
        </w:rPr>
      </w:pPr>
    </w:p>
    <w:p w14:paraId="34497B75" w14:textId="77777777" w:rsidR="00F31895" w:rsidRPr="0082438F" w:rsidRDefault="00F31895" w:rsidP="009B6D8A">
      <w:pPr>
        <w:spacing w:before="120" w:after="120" w:line="360" w:lineRule="auto"/>
        <w:jc w:val="both"/>
        <w:rPr>
          <w:rFonts w:ascii="Tahoma" w:hAnsi="Tahoma" w:cs="Tahoma"/>
          <w:sz w:val="19"/>
          <w:szCs w:val="19"/>
        </w:rPr>
      </w:pPr>
    </w:p>
    <w:p w14:paraId="1EE1DA4F" w14:textId="36AA2EDE" w:rsidR="009B6D8A" w:rsidRPr="0082438F" w:rsidRDefault="009B6D8A" w:rsidP="009B6D8A">
      <w:pPr>
        <w:spacing w:before="120" w:after="120" w:line="360" w:lineRule="auto"/>
        <w:jc w:val="both"/>
        <w:rPr>
          <w:rFonts w:ascii="Tahoma" w:hAnsi="Tahoma" w:cs="Tahoma"/>
          <w:sz w:val="19"/>
          <w:szCs w:val="19"/>
        </w:rPr>
      </w:pPr>
      <w:r w:rsidRPr="0082438F">
        <w:rPr>
          <w:rFonts w:ascii="Tahoma" w:hAnsi="Tahoma" w:cs="Tahoma"/>
          <w:sz w:val="19"/>
          <w:szCs w:val="19"/>
        </w:rPr>
        <w:t xml:space="preserve">Houve aumento das </w:t>
      </w:r>
      <w:r w:rsidRPr="0082438F">
        <w:rPr>
          <w:rFonts w:ascii="Tahoma" w:hAnsi="Tahoma" w:cs="Tahoma"/>
          <w:b/>
          <w:sz w:val="19"/>
          <w:szCs w:val="19"/>
        </w:rPr>
        <w:t>Despesas Administrativas e Tributárias Correntes</w:t>
      </w:r>
      <w:r w:rsidRPr="0082438F">
        <w:rPr>
          <w:rFonts w:ascii="Tahoma" w:hAnsi="Tahoma" w:cs="Tahoma"/>
          <w:sz w:val="19"/>
          <w:szCs w:val="19"/>
        </w:rPr>
        <w:t>, de 34,6%, ou R$ 18,6 milhões.</w:t>
      </w:r>
    </w:p>
    <w:p w14:paraId="5980CFBB" w14:textId="547BC96E" w:rsidR="009B6D8A" w:rsidRPr="0082438F" w:rsidRDefault="009B6D8A" w:rsidP="009B6D8A">
      <w:pPr>
        <w:spacing w:before="120" w:after="120" w:line="360" w:lineRule="auto"/>
        <w:jc w:val="both"/>
        <w:rPr>
          <w:rFonts w:ascii="Tahoma" w:hAnsi="Tahoma" w:cs="Tahoma"/>
          <w:color w:val="000000" w:themeColor="text1"/>
          <w:sz w:val="19"/>
          <w:szCs w:val="19"/>
          <w:highlight w:val="cyan"/>
        </w:rPr>
      </w:pPr>
      <w:r w:rsidRPr="0082438F">
        <w:rPr>
          <w:rFonts w:ascii="Tahoma" w:hAnsi="Tahoma" w:cs="Tahoma"/>
          <w:sz w:val="19"/>
          <w:szCs w:val="19"/>
        </w:rPr>
        <w:t xml:space="preserve">Nas </w:t>
      </w:r>
      <w:r w:rsidRPr="0082438F">
        <w:rPr>
          <w:rFonts w:ascii="Tahoma" w:hAnsi="Tahoma" w:cs="Tahoma"/>
          <w:b/>
          <w:sz w:val="19"/>
          <w:szCs w:val="19"/>
        </w:rPr>
        <w:t>Operações de Investimentos</w:t>
      </w:r>
      <w:r w:rsidRPr="0082438F">
        <w:rPr>
          <w:rFonts w:ascii="Tahoma" w:hAnsi="Tahoma" w:cs="Tahoma"/>
          <w:sz w:val="19"/>
          <w:szCs w:val="19"/>
        </w:rPr>
        <w:t xml:space="preserve">, registradas no seu Ativo, houve redução de 9,2%, ou R$ 28,2 milhões. Dentre os eventos que justificam tal variação, citamos alguns de forma não exaustiva, tais como o ajuste negativo a valor de mercado </w:t>
      </w:r>
      <w:r w:rsidRPr="0082438F">
        <w:rPr>
          <w:rFonts w:ascii="Tahoma" w:hAnsi="Tahoma" w:cs="Tahoma"/>
          <w:color w:val="000000" w:themeColor="text1"/>
          <w:sz w:val="19"/>
          <w:szCs w:val="19"/>
        </w:rPr>
        <w:t>dos Fundos de Investimento em Participações (FIPs), de R$ 78,5 milhões e a</w:t>
      </w:r>
      <w:r w:rsidRPr="0082438F">
        <w:rPr>
          <w:rStyle w:val="cf01"/>
          <w:rFonts w:ascii="Tahoma" w:hAnsi="Tahoma" w:cs="Tahoma"/>
          <w:sz w:val="19"/>
          <w:szCs w:val="19"/>
        </w:rPr>
        <w:t xml:space="preserve"> </w:t>
      </w:r>
      <w:r w:rsidRPr="0082438F">
        <w:rPr>
          <w:rFonts w:ascii="Tahoma" w:hAnsi="Tahoma" w:cs="Tahoma"/>
          <w:color w:val="000000" w:themeColor="text1"/>
          <w:sz w:val="19"/>
          <w:szCs w:val="19"/>
        </w:rPr>
        <w:t xml:space="preserve">transferência de 4 empresas </w:t>
      </w:r>
      <w:r w:rsidRPr="0082438F">
        <w:rPr>
          <w:rFonts w:ascii="Tahoma" w:hAnsi="Tahoma" w:cs="Tahoma"/>
          <w:i/>
          <w:color w:val="000000" w:themeColor="text1"/>
          <w:sz w:val="19"/>
          <w:szCs w:val="19"/>
        </w:rPr>
        <w:t>Startups</w:t>
      </w:r>
      <w:r w:rsidRPr="0082438F">
        <w:rPr>
          <w:rFonts w:ascii="Tahoma" w:hAnsi="Tahoma" w:cs="Tahoma"/>
          <w:color w:val="000000" w:themeColor="text1"/>
          <w:sz w:val="19"/>
          <w:szCs w:val="19"/>
        </w:rPr>
        <w:t xml:space="preserve"> no valor de R$ 4,0 milhões para o FIP Finep </w:t>
      </w:r>
      <w:r w:rsidRPr="0082438F">
        <w:rPr>
          <w:rFonts w:ascii="Tahoma" w:hAnsi="Tahoma" w:cs="Tahoma"/>
          <w:i/>
          <w:iCs/>
          <w:color w:val="000000" w:themeColor="text1"/>
          <w:sz w:val="19"/>
          <w:szCs w:val="19"/>
        </w:rPr>
        <w:t>Startup</w:t>
      </w:r>
      <w:r w:rsidRPr="0082438F">
        <w:rPr>
          <w:rFonts w:ascii="Tahoma" w:hAnsi="Tahoma" w:cs="Tahoma"/>
          <w:color w:val="000000" w:themeColor="text1"/>
          <w:sz w:val="19"/>
          <w:szCs w:val="19"/>
        </w:rPr>
        <w:t xml:space="preserve"> 1, ante valorização </w:t>
      </w:r>
      <w:r w:rsidRPr="0082438F">
        <w:rPr>
          <w:rFonts w:ascii="Tahoma" w:hAnsi="Tahoma" w:cs="Tahoma"/>
          <w:sz w:val="19"/>
          <w:szCs w:val="19"/>
        </w:rPr>
        <w:t xml:space="preserve">das Ações de Companhias Abertas – </w:t>
      </w:r>
      <w:r w:rsidRPr="0082438F">
        <w:rPr>
          <w:rFonts w:ascii="Tahoma" w:hAnsi="Tahoma" w:cs="Tahoma"/>
          <w:color w:val="000000" w:themeColor="text1"/>
          <w:sz w:val="19"/>
          <w:szCs w:val="19"/>
        </w:rPr>
        <w:t>Telebras (TELB), Banco do Nordeste do Brasil (BNB) e Estapar – de R$ 52,1 milhões.</w:t>
      </w:r>
    </w:p>
    <w:p w14:paraId="3DAE1A44" w14:textId="77777777" w:rsidR="009B6D8A" w:rsidRPr="0082438F" w:rsidRDefault="009B6D8A" w:rsidP="009B6D8A">
      <w:pPr>
        <w:spacing w:before="120" w:after="120" w:line="360" w:lineRule="auto"/>
        <w:jc w:val="both"/>
        <w:rPr>
          <w:rFonts w:ascii="Tahoma" w:hAnsi="Tahoma" w:cs="Tahoma"/>
          <w:color w:val="000000" w:themeColor="text1"/>
          <w:sz w:val="19"/>
          <w:szCs w:val="19"/>
        </w:rPr>
      </w:pPr>
      <w:r w:rsidRPr="0082438F">
        <w:rPr>
          <w:rFonts w:ascii="Tahoma" w:hAnsi="Tahoma" w:cs="Tahoma"/>
          <w:color w:val="000000" w:themeColor="text1"/>
          <w:sz w:val="19"/>
          <w:szCs w:val="19"/>
        </w:rPr>
        <w:t xml:space="preserve">O </w:t>
      </w:r>
      <w:r w:rsidRPr="0082438F">
        <w:rPr>
          <w:rFonts w:ascii="Tahoma" w:hAnsi="Tahoma" w:cs="Tahoma"/>
          <w:b/>
          <w:color w:val="000000" w:themeColor="text1"/>
          <w:sz w:val="19"/>
          <w:szCs w:val="19"/>
        </w:rPr>
        <w:t>Patrimônio Líquido</w:t>
      </w:r>
      <w:r w:rsidRPr="0082438F">
        <w:rPr>
          <w:rFonts w:ascii="Tahoma" w:hAnsi="Tahoma" w:cs="Tahoma"/>
          <w:color w:val="000000" w:themeColor="text1"/>
          <w:sz w:val="19"/>
          <w:szCs w:val="19"/>
        </w:rPr>
        <w:t>, por sua vez, apresentou acréscimo de 2,8%, ou R$ 70,8 milhões, movimento decorrente do resultado apurado no período.</w:t>
      </w:r>
    </w:p>
    <w:p w14:paraId="660BB02F" w14:textId="23269078" w:rsidR="000D6D0A" w:rsidRPr="0082438F" w:rsidRDefault="00F31895" w:rsidP="009B6D8A">
      <w:pPr>
        <w:spacing w:before="120" w:after="120" w:line="360" w:lineRule="auto"/>
        <w:textAlignment w:val="baseline"/>
        <w:rPr>
          <w:rFonts w:ascii="Tahoma" w:hAnsi="Tahoma" w:cs="Tahoma"/>
          <w:sz w:val="19"/>
          <w:szCs w:val="19"/>
        </w:rPr>
      </w:pPr>
      <w:r w:rsidRPr="00210336">
        <w:rPr>
          <w:rFonts w:ascii="Tahoma" w:hAnsi="Tahoma" w:cs="Tahoma"/>
          <w:noProof/>
          <w:sz w:val="22"/>
          <w:szCs w:val="22"/>
        </w:rPr>
        <mc:AlternateContent>
          <mc:Choice Requires="wps">
            <w:drawing>
              <wp:anchor distT="0" distB="0" distL="114300" distR="114300" simplePos="0" relativeHeight="251808768" behindDoc="0" locked="0" layoutInCell="1" allowOverlap="1" wp14:anchorId="19812223" wp14:editId="754BCA18">
                <wp:simplePos x="0" y="0"/>
                <wp:positionH relativeFrom="column">
                  <wp:posOffset>1384300</wp:posOffset>
                </wp:positionH>
                <wp:positionV relativeFrom="paragraph">
                  <wp:posOffset>2540</wp:posOffset>
                </wp:positionV>
                <wp:extent cx="4413885" cy="1117600"/>
                <wp:effectExtent l="0" t="0" r="5715" b="6350"/>
                <wp:wrapNone/>
                <wp:docPr id="317388755" name="Text Box 237"/>
                <wp:cNvGraphicFramePr/>
                <a:graphic xmlns:a="http://schemas.openxmlformats.org/drawingml/2006/main">
                  <a:graphicData uri="http://schemas.microsoft.com/office/word/2010/wordprocessingShape">
                    <wps:wsp>
                      <wps:cNvSpPr txBox="1"/>
                      <wps:spPr>
                        <a:xfrm>
                          <a:off x="0" y="0"/>
                          <a:ext cx="4413885" cy="1117600"/>
                        </a:xfrm>
                        <a:prstGeom prst="rect">
                          <a:avLst/>
                        </a:prstGeom>
                        <a:solidFill>
                          <a:srgbClr val="0098BA">
                            <a:alpha val="25098"/>
                          </a:srgbClr>
                        </a:solidFill>
                        <a:ln w="6345">
                          <a:noFill/>
                          <a:prstDash val="dash"/>
                        </a:ln>
                      </wps:spPr>
                      <wps:txbx>
                        <w:txbxContent>
                          <w:p w14:paraId="176BF1C3" w14:textId="0B44E28B" w:rsidR="00F31895" w:rsidRPr="0082438F" w:rsidRDefault="00F31895" w:rsidP="00F31895">
                            <w:pPr>
                              <w:jc w:val="right"/>
                              <w:rPr>
                                <w:rFonts w:ascii="Tahoma" w:hAnsi="Tahoma" w:cs="Tahoma"/>
                                <w:sz w:val="16"/>
                                <w:szCs w:val="16"/>
                              </w:rPr>
                            </w:pPr>
                            <w:r w:rsidRPr="0082438F">
                              <w:rPr>
                                <w:rFonts w:ascii="Tahoma" w:hAnsi="Tahoma" w:cs="Tahoma"/>
                                <w:sz w:val="16"/>
                                <w:szCs w:val="16"/>
                              </w:rPr>
                              <w:t>As participações nas empresas Telebras (TELB) e Banco do Nordeste do Brasil (BNB) foram adquiridas mediante aporte de capital do Tesouro, conforme Portaria do Ministério da Fazenda nº 603, de 24/12/2013, através da transferência à Finep de 32.316.006 ações da TELEBRAS, ao valor de R$ 158,3 milhões, e 1.449.254 ações do BNB, ao valor de R$ 41,7 milhões, totalizando o aporte de R$ 200,0 milhões. Ademais a Finep recebeu ações ordinárias da Allpark (ALPK3), administradora de estacionamentos, proprietária da rede Estapar, esta última apoiada pelo Fundo Brasil Governança Corporativa – FBGC, fundo já encerrado, cujas cotas foram adquiridas através da atividade de investimento</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19812223" id="_x0000_s1046" type="#_x0000_t202" style="position:absolute;margin-left:109pt;margin-top:.2pt;width:347.55pt;height:8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" fillcolor="#0098ba" stroked="f" strokeweight=".17625mm">
                <v:fill opacity="16448f"/>
                <v:stroke dashstyle="dash"/>
                <v:textbox>
                  <w:txbxContent>
                    <w:p w14:paraId="176BF1C3" w14:textId="0B44E28B" w:rsidR="00F31895" w:rsidRPr="0082438F" w:rsidRDefault="00F31895" w:rsidP="00F31895">
                      <w:pPr>
                        <w:jc w:val="right"/>
                        <w:rPr>
                          <w:rFonts w:ascii="Tahoma" w:hAnsi="Tahoma" w:cs="Tahoma"/>
                          <w:sz w:val="16"/>
                          <w:szCs w:val="16"/>
                        </w:rPr>
                      </w:pPr>
                      <w:r w:rsidRPr="0082438F">
                        <w:rPr>
                          <w:rFonts w:ascii="Tahoma" w:hAnsi="Tahoma" w:cs="Tahoma"/>
                          <w:sz w:val="16"/>
                          <w:szCs w:val="16"/>
                        </w:rPr>
                        <w:t>As participações nas empresas Telebras (TELB) e Banco do Nordeste do Brasil (BNB) foram adquiridas mediante aporte de capital do Tesouro, conforme Portaria do Ministério da Fazenda nº 603, de 24/12/2013, através da transferência à Finep de 32.316.006 ações da TELEBRAS, ao valor de R$ 158,3 milhões, e 1.449.254 ações do BNB, ao valor de R$ 41,7 milhões, totalizando o aporte de R$ 200,0 milhões. Ademais a Finep recebeu ações ordinárias da Allpark (ALPK3), administradora de estacionamentos, proprietária da rede Estapar, esta última apoiada pelo Fundo Brasil Governança Corporativa – FBGC, fundo já encerrado, cujas cotas foram adquiridas através da atividade de investimento</w:t>
                      </w:r>
                    </w:p>
                  </w:txbxContent>
                </v:textbox>
              </v:shape>
            </w:pict>
          </mc:Fallback>
        </mc:AlternateContent>
      </w:r>
    </w:p>
    <w:p w14:paraId="6972E3E6" w14:textId="77777777" w:rsidR="000D6D0A" w:rsidRPr="0082438F" w:rsidRDefault="000D6D0A" w:rsidP="009B6D8A">
      <w:pPr>
        <w:spacing w:before="120" w:after="120" w:line="360" w:lineRule="auto"/>
        <w:textAlignment w:val="baseline"/>
        <w:rPr>
          <w:rFonts w:ascii="Tahoma" w:hAnsi="Tahoma" w:cs="Tahoma"/>
          <w:sz w:val="19"/>
          <w:szCs w:val="19"/>
        </w:rPr>
      </w:pPr>
    </w:p>
    <w:p w14:paraId="779DCCD0" w14:textId="77777777" w:rsidR="000D6D0A" w:rsidRPr="0082438F" w:rsidRDefault="000D6D0A" w:rsidP="009B6D8A">
      <w:pPr>
        <w:spacing w:before="120" w:after="120" w:line="360" w:lineRule="auto"/>
        <w:textAlignment w:val="baseline"/>
        <w:rPr>
          <w:rFonts w:ascii="Tahoma" w:hAnsi="Tahoma" w:cs="Tahoma"/>
          <w:sz w:val="19"/>
          <w:szCs w:val="19"/>
        </w:rPr>
      </w:pPr>
    </w:p>
    <w:p w14:paraId="7BC734BB" w14:textId="77777777" w:rsidR="000D6D0A" w:rsidRPr="0082438F" w:rsidRDefault="000D6D0A" w:rsidP="009B6D8A">
      <w:pPr>
        <w:spacing w:before="120" w:after="120" w:line="360" w:lineRule="auto"/>
        <w:textAlignment w:val="baseline"/>
        <w:rPr>
          <w:rFonts w:ascii="Tahoma" w:hAnsi="Tahoma" w:cs="Tahoma"/>
          <w:sz w:val="19"/>
          <w:szCs w:val="19"/>
        </w:rPr>
      </w:pPr>
    </w:p>
    <w:p w14:paraId="399F34AA" w14:textId="77777777" w:rsidR="0082438F" w:rsidRDefault="0082438F" w:rsidP="008F4409">
      <w:pPr>
        <w:spacing w:before="120" w:after="120" w:line="360" w:lineRule="auto"/>
        <w:textAlignment w:val="baseline"/>
        <w:rPr>
          <w:rFonts w:ascii="Tahoma" w:hAnsi="Tahoma" w:cs="Tahoma"/>
          <w:sz w:val="19"/>
          <w:szCs w:val="19"/>
        </w:rPr>
      </w:pPr>
    </w:p>
    <w:p w14:paraId="73E13036" w14:textId="18E8E4D3" w:rsidR="008F4409" w:rsidRPr="0082438F" w:rsidRDefault="008F4409" w:rsidP="008F4409">
      <w:pPr>
        <w:spacing w:before="120" w:after="120" w:line="360" w:lineRule="auto"/>
        <w:textAlignment w:val="baseline"/>
        <w:rPr>
          <w:rFonts w:ascii="Tahoma" w:hAnsi="Tahoma" w:cs="Tahoma"/>
          <w:sz w:val="19"/>
          <w:szCs w:val="19"/>
        </w:rPr>
      </w:pPr>
      <w:r w:rsidRPr="0082438F">
        <w:rPr>
          <w:rFonts w:ascii="Tahoma" w:hAnsi="Tahoma" w:cs="Tahoma"/>
          <w:sz w:val="19"/>
          <w:szCs w:val="19"/>
        </w:rPr>
        <w:t xml:space="preserve">As Demonstrações Contábeis 2023 da Finep, acompanhadas do Relatório do Auditor Independente, dos Pareceres do Conselho de Administração e do Conselho Fiscal, da Manifestação e Relatório do Comitê de Auditoria podem ser encontradas em </w:t>
      </w:r>
      <w:hyperlink r:id="rId193" w:history="1">
        <w:r w:rsidRPr="0082438F">
          <w:rPr>
            <w:rStyle w:val="Hyperlink"/>
            <w:rFonts w:ascii="Tahoma" w:hAnsi="Tahoma" w:cs="Tahoma"/>
            <w:sz w:val="19"/>
            <w:szCs w:val="19"/>
          </w:rPr>
          <w:t>http://www.finep.gov.br/acesso-informacao/116-transparencia/balanco-finep/6580-balanco-finep-2023</w:t>
        </w:r>
      </w:hyperlink>
      <w:r w:rsidRPr="0082438F">
        <w:rPr>
          <w:rFonts w:ascii="Tahoma" w:hAnsi="Tahoma" w:cs="Tahoma"/>
          <w:sz w:val="19"/>
          <w:szCs w:val="19"/>
        </w:rPr>
        <w:t>. Os assuntos destacados no Relatório do Auditor Independente são fonte de análise e aperfeiçoamentos dos processos e atividades mencionados.</w:t>
      </w:r>
    </w:p>
    <w:p w14:paraId="6B6B64ED" w14:textId="072210EE" w:rsidR="008F4409" w:rsidRPr="0082438F" w:rsidRDefault="008F4409" w:rsidP="008F4409">
      <w:pPr>
        <w:spacing w:before="120" w:after="120" w:line="360" w:lineRule="auto"/>
        <w:textAlignment w:val="baseline"/>
        <w:rPr>
          <w:rFonts w:ascii="Tahoma" w:hAnsi="Tahoma" w:cs="Tahoma"/>
          <w:sz w:val="19"/>
          <w:szCs w:val="19"/>
        </w:rPr>
      </w:pPr>
      <w:r w:rsidRPr="0082438F">
        <w:rPr>
          <w:rFonts w:ascii="Tahoma" w:hAnsi="Tahoma" w:cs="Tahoma"/>
          <w:sz w:val="19"/>
          <w:szCs w:val="19"/>
        </w:rPr>
        <w:t xml:space="preserve">O Relatório da Administração 2023 está publicado em </w:t>
      </w:r>
      <w:hyperlink r:id="rId194" w:history="1">
        <w:r w:rsidRPr="0082438F">
          <w:rPr>
            <w:rStyle w:val="Hyperlink"/>
            <w:rFonts w:ascii="Tahoma" w:hAnsi="Tahoma" w:cs="Tahoma"/>
            <w:sz w:val="19"/>
            <w:szCs w:val="19"/>
          </w:rPr>
          <w:t>http://www.finep.gov.br/transparencia-finep/relatorios-do-fndct/relatorio-da-administracao</w:t>
        </w:r>
      </w:hyperlink>
      <w:r w:rsidRPr="0082438F">
        <w:rPr>
          <w:rFonts w:ascii="Tahoma" w:hAnsi="Tahoma" w:cs="Tahoma"/>
          <w:sz w:val="19"/>
          <w:szCs w:val="19"/>
        </w:rPr>
        <w:t>.</w:t>
      </w:r>
    </w:p>
    <w:p w14:paraId="5985C759" w14:textId="2BB43893" w:rsidR="0082438F" w:rsidRDefault="0082438F">
      <w:pPr>
        <w:autoSpaceDN w:val="0"/>
        <w:spacing w:after="160"/>
        <w:textAlignment w:val="baseline"/>
        <w:rPr>
          <w:rFonts w:ascii="Tahoma" w:hAnsi="Tahoma" w:cs="Tahoma"/>
          <w:sz w:val="19"/>
          <w:szCs w:val="19"/>
        </w:rPr>
      </w:pPr>
      <w:r>
        <w:rPr>
          <w:rFonts w:ascii="Tahoma" w:hAnsi="Tahoma" w:cs="Tahoma"/>
          <w:sz w:val="19"/>
          <w:szCs w:val="19"/>
        </w:rPr>
        <w:br w:type="page"/>
      </w:r>
    </w:p>
    <w:p w14:paraId="7C1275EA" w14:textId="77777777" w:rsidR="000D6D0A" w:rsidRPr="00603796" w:rsidRDefault="00BB0E07" w:rsidP="00603796">
      <w:pPr>
        <w:pStyle w:val="Ttulo1"/>
        <w:spacing w:line="259" w:lineRule="auto"/>
        <w:ind w:left="432" w:hanging="432"/>
        <w:rPr>
          <w:rFonts w:ascii="Tahoma" w:eastAsiaTheme="majorEastAsia" w:hAnsi="Tahoma" w:cs="Tahoma"/>
          <w:color w:val="0098BA"/>
          <w:sz w:val="28"/>
          <w:szCs w:val="28"/>
          <w:lang w:eastAsia="en-US"/>
        </w:rPr>
      </w:pPr>
      <w:bookmarkStart w:id="149" w:name="_Toc65256090"/>
      <w:bookmarkStart w:id="150" w:name="_Toc65494329"/>
      <w:bookmarkStart w:id="151" w:name="_Toc93683634"/>
      <w:bookmarkStart w:id="152" w:name="_Toc94256473"/>
      <w:bookmarkStart w:id="153" w:name="_Toc94278198"/>
      <w:bookmarkStart w:id="154" w:name="_Toc97244805"/>
      <w:bookmarkStart w:id="155" w:name="_Toc105003793"/>
      <w:bookmarkStart w:id="156" w:name="_Toc105006476"/>
      <w:bookmarkStart w:id="157" w:name="_Toc131692248"/>
      <w:bookmarkStart w:id="158" w:name="_Toc163025262"/>
      <w:bookmarkStart w:id="159" w:name="_Toc162512599"/>
      <w:bookmarkEnd w:id="103"/>
      <w:bookmarkEnd w:id="104"/>
      <w:bookmarkEnd w:id="105"/>
      <w:bookmarkEnd w:id="106"/>
      <w:bookmarkEnd w:id="133"/>
      <w:bookmarkEnd w:id="134"/>
      <w:bookmarkEnd w:id="135"/>
      <w:bookmarkEnd w:id="136"/>
      <w:bookmarkEnd w:id="137"/>
      <w:bookmarkEnd w:id="138"/>
      <w:bookmarkEnd w:id="139"/>
      <w:bookmarkEnd w:id="140"/>
      <w:bookmarkEnd w:id="141"/>
      <w:bookmarkEnd w:id="142"/>
      <w:bookmarkEnd w:id="143"/>
      <w:r w:rsidRPr="00603796">
        <w:rPr>
          <w:rFonts w:ascii="Tahoma" w:eastAsiaTheme="majorEastAsia" w:hAnsi="Tahoma" w:cs="Tahoma"/>
          <w:color w:val="0098BA"/>
          <w:sz w:val="28"/>
          <w:szCs w:val="28"/>
          <w:lang w:eastAsia="en-US"/>
        </w:rPr>
        <w:lastRenderedPageBreak/>
        <w:t>Como nos organizamos</w:t>
      </w:r>
      <w:bookmarkEnd w:id="149"/>
      <w:bookmarkEnd w:id="150"/>
      <w:bookmarkEnd w:id="151"/>
      <w:bookmarkEnd w:id="152"/>
      <w:bookmarkEnd w:id="153"/>
      <w:bookmarkEnd w:id="154"/>
      <w:bookmarkEnd w:id="155"/>
      <w:bookmarkEnd w:id="156"/>
      <w:bookmarkEnd w:id="157"/>
      <w:bookmarkEnd w:id="158"/>
      <w:bookmarkEnd w:id="159"/>
    </w:p>
    <w:p w14:paraId="5A0F5437" w14:textId="3347CA6C" w:rsidR="002C5D1A" w:rsidRPr="00640044" w:rsidRDefault="002C5D1A" w:rsidP="002C5D1A">
      <w:pPr>
        <w:pBdr>
          <w:top w:val="single" w:sz="4" w:space="1" w:color="0098BA"/>
          <w:left w:val="single" w:sz="4" w:space="4" w:color="0098BA"/>
          <w:bottom w:val="single" w:sz="4" w:space="1" w:color="0098BA"/>
          <w:right w:val="single" w:sz="4" w:space="4" w:color="0098BA"/>
        </w:pBdr>
        <w:spacing w:before="120" w:after="120"/>
        <w:rPr>
          <w:rFonts w:ascii="Tahoma" w:hAnsi="Tahoma" w:cs="Tahoma"/>
          <w:color w:val="0098BA"/>
          <w:sz w:val="19"/>
          <w:szCs w:val="19"/>
        </w:rPr>
      </w:pPr>
      <w:r w:rsidRPr="00640044">
        <w:rPr>
          <w:rFonts w:ascii="Tahoma" w:hAnsi="Tahoma" w:cs="Tahoma"/>
          <w:color w:val="0098BA"/>
          <w:sz w:val="19"/>
          <w:szCs w:val="19"/>
        </w:rPr>
        <w:t>GRI 2-</w:t>
      </w:r>
      <w:r w:rsidR="001C00F8">
        <w:rPr>
          <w:rFonts w:ascii="Tahoma" w:hAnsi="Tahoma" w:cs="Tahoma"/>
          <w:color w:val="0098BA"/>
          <w:sz w:val="19"/>
          <w:szCs w:val="19"/>
        </w:rPr>
        <w:t>9</w:t>
      </w:r>
      <w:r w:rsidR="002A0EA6">
        <w:rPr>
          <w:rFonts w:ascii="Tahoma" w:hAnsi="Tahoma" w:cs="Tahoma"/>
          <w:color w:val="0098BA"/>
          <w:sz w:val="19"/>
          <w:szCs w:val="19"/>
        </w:rPr>
        <w:t>; GRI 2-11</w:t>
      </w:r>
    </w:p>
    <w:p w14:paraId="6B427BCE" w14:textId="79E88B7C" w:rsidR="000D6D0A" w:rsidRDefault="00BB0E07">
      <w:pPr>
        <w:spacing w:before="120" w:after="120" w:line="360" w:lineRule="auto"/>
        <w:rPr>
          <w:rFonts w:ascii="Tahoma" w:hAnsi="Tahoma" w:cs="Tahoma"/>
          <w:sz w:val="19"/>
          <w:szCs w:val="19"/>
        </w:rPr>
      </w:pPr>
      <w:r>
        <w:rPr>
          <w:rFonts w:ascii="Tahoma" w:hAnsi="Tahoma" w:cs="Tahoma"/>
          <w:sz w:val="19"/>
          <w:szCs w:val="19"/>
        </w:rPr>
        <w:t>As unidades que compõem nossa estrutura organizacional estão concentradas na cidade do Rio de Janeiro – RJ, onde ficam a Presidência e as Diretorias.</w:t>
      </w:r>
    </w:p>
    <w:p w14:paraId="709479F4" w14:textId="77777777" w:rsidR="000D6D0A" w:rsidRDefault="00BB0E07">
      <w:pPr>
        <w:spacing w:before="120" w:after="120" w:line="360" w:lineRule="auto"/>
        <w:rPr>
          <w:rFonts w:ascii="Tahoma" w:hAnsi="Tahoma" w:cs="Tahoma"/>
          <w:sz w:val="19"/>
          <w:szCs w:val="19"/>
        </w:rPr>
      </w:pPr>
      <w:r>
        <w:rPr>
          <w:rFonts w:ascii="Tahoma" w:hAnsi="Tahoma" w:cs="Tahoma"/>
          <w:sz w:val="19"/>
          <w:szCs w:val="19"/>
        </w:rPr>
        <w:t>A Diretoria de Inovação conta com departamentos regionais, localizados em outras unidades da federação, que desenvolvem atividades de fomento, representação institucional e apoio operacional que nos aproximam das diferentes realidades do Brasil.</w:t>
      </w:r>
    </w:p>
    <w:p w14:paraId="0B178A0B" w14:textId="77777777" w:rsidR="000D6D0A" w:rsidRDefault="00BB0E07" w:rsidP="006C7266">
      <w:pPr>
        <w:numPr>
          <w:ilvl w:val="0"/>
          <w:numId w:val="39"/>
        </w:numPr>
        <w:spacing w:before="120"/>
        <w:rPr>
          <w:rFonts w:ascii="Tahoma" w:hAnsi="Tahoma" w:cs="Tahoma"/>
          <w:sz w:val="19"/>
          <w:szCs w:val="19"/>
        </w:rPr>
      </w:pPr>
      <w:r>
        <w:rPr>
          <w:rFonts w:ascii="Tahoma" w:hAnsi="Tahoma" w:cs="Tahoma"/>
          <w:sz w:val="19"/>
          <w:szCs w:val="19"/>
        </w:rPr>
        <w:t>Departamento Operacional de São Paulo (DESP), em São Paulo – SP;</w:t>
      </w:r>
    </w:p>
    <w:p w14:paraId="211779FA" w14:textId="77777777" w:rsidR="000D6D0A" w:rsidRDefault="00BB0E07" w:rsidP="006C7266">
      <w:pPr>
        <w:numPr>
          <w:ilvl w:val="0"/>
          <w:numId w:val="39"/>
        </w:numPr>
        <w:spacing w:before="120"/>
        <w:rPr>
          <w:rFonts w:ascii="Tahoma" w:hAnsi="Tahoma" w:cs="Tahoma"/>
          <w:sz w:val="19"/>
          <w:szCs w:val="19"/>
        </w:rPr>
      </w:pPr>
      <w:r>
        <w:rPr>
          <w:rFonts w:ascii="Tahoma" w:hAnsi="Tahoma" w:cs="Tahoma"/>
          <w:sz w:val="19"/>
          <w:szCs w:val="19"/>
        </w:rPr>
        <w:t>Departamento Regional do Norte (DRNO), em Belém – PA;</w:t>
      </w:r>
    </w:p>
    <w:p w14:paraId="1CAF2538" w14:textId="77777777" w:rsidR="000D6D0A" w:rsidRDefault="00BB0E07" w:rsidP="006C7266">
      <w:pPr>
        <w:numPr>
          <w:ilvl w:val="0"/>
          <w:numId w:val="39"/>
        </w:numPr>
        <w:spacing w:before="120"/>
        <w:rPr>
          <w:rFonts w:ascii="Tahoma" w:hAnsi="Tahoma" w:cs="Tahoma"/>
          <w:sz w:val="19"/>
          <w:szCs w:val="19"/>
        </w:rPr>
      </w:pPr>
      <w:r>
        <w:rPr>
          <w:rFonts w:ascii="Tahoma" w:hAnsi="Tahoma" w:cs="Tahoma"/>
          <w:sz w:val="19"/>
          <w:szCs w:val="19"/>
        </w:rPr>
        <w:t>Departamento Regional do Nordeste (DRNE), em Fortaleza – CE;</w:t>
      </w:r>
    </w:p>
    <w:p w14:paraId="06338E11" w14:textId="77777777" w:rsidR="000D6D0A" w:rsidRDefault="00BB0E07" w:rsidP="006C7266">
      <w:pPr>
        <w:numPr>
          <w:ilvl w:val="0"/>
          <w:numId w:val="39"/>
        </w:numPr>
        <w:spacing w:before="120"/>
        <w:rPr>
          <w:rFonts w:ascii="Tahoma" w:hAnsi="Tahoma" w:cs="Tahoma"/>
          <w:sz w:val="19"/>
          <w:szCs w:val="19"/>
        </w:rPr>
      </w:pPr>
      <w:r>
        <w:rPr>
          <w:rFonts w:ascii="Tahoma" w:hAnsi="Tahoma" w:cs="Tahoma"/>
          <w:sz w:val="19"/>
          <w:szCs w:val="19"/>
        </w:rPr>
        <w:t>Departamento Regional do Sul (DSUL), em Florianópolis – SC;</w:t>
      </w:r>
    </w:p>
    <w:p w14:paraId="02DDE8EA" w14:textId="77777777" w:rsidR="000D6D0A" w:rsidRDefault="00BB0E07" w:rsidP="006C7266">
      <w:pPr>
        <w:numPr>
          <w:ilvl w:val="0"/>
          <w:numId w:val="39"/>
        </w:numPr>
        <w:spacing w:before="120"/>
        <w:rPr>
          <w:rFonts w:ascii="Tahoma" w:hAnsi="Tahoma" w:cs="Tahoma"/>
          <w:sz w:val="19"/>
          <w:szCs w:val="19"/>
        </w:rPr>
      </w:pPr>
      <w:r>
        <w:rPr>
          <w:rFonts w:ascii="Tahoma" w:hAnsi="Tahoma" w:cs="Tahoma"/>
          <w:sz w:val="19"/>
          <w:szCs w:val="19"/>
        </w:rPr>
        <w:t>Departamento Regional do Sudeste (DRSE), em São Paulo – SP; e</w:t>
      </w:r>
    </w:p>
    <w:p w14:paraId="163CF81B" w14:textId="77777777" w:rsidR="000D6D0A" w:rsidRDefault="00BB0E07" w:rsidP="006C7266">
      <w:pPr>
        <w:numPr>
          <w:ilvl w:val="0"/>
          <w:numId w:val="39"/>
        </w:numPr>
        <w:spacing w:before="120" w:after="120"/>
        <w:rPr>
          <w:rFonts w:ascii="Tahoma" w:hAnsi="Tahoma" w:cs="Tahoma"/>
          <w:sz w:val="19"/>
          <w:szCs w:val="19"/>
        </w:rPr>
      </w:pPr>
      <w:r>
        <w:rPr>
          <w:rFonts w:ascii="Tahoma" w:hAnsi="Tahoma" w:cs="Tahoma"/>
          <w:sz w:val="19"/>
          <w:szCs w:val="19"/>
        </w:rPr>
        <w:t>Departamento Regional do Centro-Oeste (DRCO), em Brasília – DF.</w:t>
      </w:r>
    </w:p>
    <w:p w14:paraId="3C06E5E6" w14:textId="65EF814C" w:rsidR="000D6D0A" w:rsidRDefault="00BB0E07">
      <w:pPr>
        <w:spacing w:before="120" w:after="120" w:line="360" w:lineRule="auto"/>
        <w:jc w:val="center"/>
      </w:pPr>
      <w:r>
        <w:rPr>
          <w:rFonts w:ascii="Tahoma" w:hAnsi="Tahoma" w:cs="Tahoma"/>
          <w:noProof/>
          <w:color w:val="2B579A"/>
          <w:sz w:val="19"/>
          <w:szCs w:val="19"/>
          <w:shd w:val="clear" w:color="auto" w:fill="E6E6E6"/>
        </w:rPr>
        <w:drawing>
          <wp:anchor distT="0" distB="0" distL="114300" distR="114300" simplePos="0" relativeHeight="251708416" behindDoc="0" locked="0" layoutInCell="1" allowOverlap="1" wp14:anchorId="3318C2F9" wp14:editId="3D9FE129">
            <wp:simplePos x="0" y="0"/>
            <wp:positionH relativeFrom="column">
              <wp:posOffset>848360</wp:posOffset>
            </wp:positionH>
            <wp:positionV relativeFrom="paragraph">
              <wp:posOffset>147320</wp:posOffset>
            </wp:positionV>
            <wp:extent cx="4144646" cy="3506467"/>
            <wp:effectExtent l="0" t="0" r="8254" b="0"/>
            <wp:wrapTight wrapText="bothSides">
              <wp:wrapPolygon edited="0">
                <wp:start x="0" y="0"/>
                <wp:lineTo x="0" y="21479"/>
                <wp:lineTo x="21544" y="21479"/>
                <wp:lineTo x="21544" y="0"/>
                <wp:lineTo x="0" y="0"/>
              </wp:wrapPolygon>
            </wp:wrapTight>
            <wp:docPr id="25418585" name="Picture 82" descr="Diagrama, 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rcRect/>
                    <a:stretch>
                      <a:fillRect/>
                    </a:stretch>
                  </pic:blipFill>
                  <pic:spPr>
                    <a:xfrm>
                      <a:off x="0" y="0"/>
                      <a:ext cx="4144646" cy="3506467"/>
                    </a:xfrm>
                    <a:prstGeom prst="rect">
                      <a:avLst/>
                    </a:prstGeom>
                    <a:noFill/>
                    <a:ln>
                      <a:noFill/>
                      <a:prstDash/>
                    </a:ln>
                  </pic:spPr>
                </pic:pic>
              </a:graphicData>
            </a:graphic>
          </wp:anchor>
        </w:drawing>
      </w:r>
      <w:r w:rsidR="005B00C3">
        <w:rPr>
          <w:rFonts w:ascii="Tahoma" w:hAnsi="Tahoma" w:cs="Tahoma"/>
          <w:noProof/>
          <w:color w:val="2B579A"/>
          <w:sz w:val="19"/>
          <w:szCs w:val="19"/>
          <w:shd w:val="clear" w:color="auto" w:fill="E6E6E6"/>
        </w:rPr>
        <w:t xml:space="preserve"> </w:t>
      </w:r>
      <w:r w:rsidR="005B00C3">
        <w:rPr>
          <w:rFonts w:ascii="Tahoma" w:hAnsi="Tahoma" w:cs="Tahoma"/>
          <w:noProof/>
          <w:color w:val="2B579A"/>
          <w:sz w:val="19"/>
          <w:szCs w:val="19"/>
          <w:shd w:val="clear" w:color="auto" w:fill="E6E6E6"/>
        </w:rPr>
        <w:tab/>
      </w:r>
    </w:p>
    <w:p w14:paraId="6FAE7AF9" w14:textId="77777777" w:rsidR="000D6D0A" w:rsidRDefault="000D6D0A">
      <w:pPr>
        <w:spacing w:before="120" w:after="120" w:line="360" w:lineRule="auto"/>
        <w:jc w:val="center"/>
        <w:rPr>
          <w:rFonts w:ascii="Tahoma" w:hAnsi="Tahoma" w:cs="Tahoma"/>
          <w:sz w:val="19"/>
          <w:szCs w:val="19"/>
        </w:rPr>
      </w:pPr>
    </w:p>
    <w:p w14:paraId="13B09B2B" w14:textId="77777777" w:rsidR="000D6D0A" w:rsidRDefault="000D6D0A">
      <w:pPr>
        <w:spacing w:before="120" w:after="120" w:line="360" w:lineRule="auto"/>
        <w:jc w:val="center"/>
        <w:rPr>
          <w:rFonts w:ascii="Tahoma" w:hAnsi="Tahoma" w:cs="Tahoma"/>
          <w:sz w:val="19"/>
          <w:szCs w:val="19"/>
        </w:rPr>
      </w:pPr>
    </w:p>
    <w:p w14:paraId="793D8C12" w14:textId="77777777" w:rsidR="000D6D0A" w:rsidRDefault="000D6D0A">
      <w:pPr>
        <w:spacing w:before="120" w:after="120" w:line="360" w:lineRule="auto"/>
        <w:jc w:val="center"/>
        <w:rPr>
          <w:rFonts w:ascii="Tahoma" w:hAnsi="Tahoma" w:cs="Tahoma"/>
          <w:sz w:val="19"/>
          <w:szCs w:val="19"/>
        </w:rPr>
      </w:pPr>
    </w:p>
    <w:p w14:paraId="49338B5F" w14:textId="77777777" w:rsidR="000D6D0A" w:rsidRDefault="000D6D0A">
      <w:pPr>
        <w:spacing w:before="120" w:after="120" w:line="360" w:lineRule="auto"/>
        <w:jc w:val="center"/>
        <w:rPr>
          <w:rFonts w:ascii="Tahoma" w:hAnsi="Tahoma" w:cs="Tahoma"/>
          <w:sz w:val="19"/>
          <w:szCs w:val="19"/>
        </w:rPr>
      </w:pPr>
    </w:p>
    <w:p w14:paraId="597686AA" w14:textId="77777777" w:rsidR="000D6D0A" w:rsidRDefault="000D6D0A">
      <w:pPr>
        <w:spacing w:before="120" w:after="120" w:line="360" w:lineRule="auto"/>
        <w:jc w:val="center"/>
        <w:rPr>
          <w:rFonts w:ascii="Tahoma" w:hAnsi="Tahoma" w:cs="Tahoma"/>
          <w:sz w:val="19"/>
          <w:szCs w:val="19"/>
        </w:rPr>
      </w:pPr>
    </w:p>
    <w:p w14:paraId="331908B7" w14:textId="77777777" w:rsidR="000D6D0A" w:rsidRDefault="000D6D0A">
      <w:pPr>
        <w:spacing w:before="120" w:after="120" w:line="360" w:lineRule="auto"/>
        <w:jc w:val="center"/>
        <w:rPr>
          <w:rFonts w:ascii="Tahoma" w:hAnsi="Tahoma" w:cs="Tahoma"/>
          <w:sz w:val="19"/>
          <w:szCs w:val="19"/>
        </w:rPr>
      </w:pPr>
    </w:p>
    <w:p w14:paraId="62702FF7" w14:textId="77777777" w:rsidR="000D6D0A" w:rsidRDefault="000D6D0A">
      <w:pPr>
        <w:spacing w:before="120" w:after="120" w:line="360" w:lineRule="auto"/>
        <w:jc w:val="center"/>
        <w:rPr>
          <w:rFonts w:ascii="Tahoma" w:hAnsi="Tahoma" w:cs="Tahoma"/>
          <w:sz w:val="19"/>
          <w:szCs w:val="19"/>
        </w:rPr>
      </w:pPr>
    </w:p>
    <w:p w14:paraId="04ED0E9F" w14:textId="77777777" w:rsidR="000D6D0A" w:rsidRDefault="000D6D0A">
      <w:pPr>
        <w:spacing w:before="120" w:after="120" w:line="360" w:lineRule="auto"/>
        <w:jc w:val="center"/>
        <w:rPr>
          <w:rFonts w:ascii="Tahoma" w:hAnsi="Tahoma" w:cs="Tahoma"/>
          <w:sz w:val="19"/>
          <w:szCs w:val="19"/>
        </w:rPr>
      </w:pPr>
    </w:p>
    <w:p w14:paraId="15568EDB" w14:textId="77777777" w:rsidR="000D6D0A" w:rsidRDefault="000D6D0A">
      <w:pPr>
        <w:spacing w:before="120" w:after="120" w:line="360" w:lineRule="auto"/>
        <w:jc w:val="center"/>
        <w:rPr>
          <w:rFonts w:ascii="Tahoma" w:hAnsi="Tahoma" w:cs="Tahoma"/>
          <w:sz w:val="19"/>
          <w:szCs w:val="19"/>
        </w:rPr>
      </w:pPr>
    </w:p>
    <w:p w14:paraId="34B317AA" w14:textId="77777777" w:rsidR="000D6D0A" w:rsidRDefault="000D6D0A">
      <w:pPr>
        <w:spacing w:before="120" w:after="120" w:line="360" w:lineRule="auto"/>
        <w:jc w:val="center"/>
        <w:rPr>
          <w:rFonts w:ascii="Tahoma" w:hAnsi="Tahoma" w:cs="Tahoma"/>
          <w:sz w:val="19"/>
          <w:szCs w:val="19"/>
        </w:rPr>
      </w:pPr>
    </w:p>
    <w:p w14:paraId="559F9FC3" w14:textId="77777777" w:rsidR="000D6D0A" w:rsidRDefault="000D6D0A">
      <w:pPr>
        <w:spacing w:before="120" w:after="120" w:line="360" w:lineRule="auto"/>
        <w:jc w:val="center"/>
        <w:rPr>
          <w:rFonts w:ascii="Tahoma" w:hAnsi="Tahoma" w:cs="Tahoma"/>
          <w:sz w:val="19"/>
          <w:szCs w:val="19"/>
        </w:rPr>
      </w:pPr>
    </w:p>
    <w:p w14:paraId="67C0CEDC" w14:textId="77777777" w:rsidR="000D6D0A" w:rsidRDefault="000D6D0A">
      <w:pPr>
        <w:spacing w:before="120" w:after="120" w:line="360" w:lineRule="auto"/>
        <w:jc w:val="center"/>
        <w:rPr>
          <w:rFonts w:ascii="Tahoma" w:hAnsi="Tahoma" w:cs="Tahoma"/>
          <w:sz w:val="19"/>
          <w:szCs w:val="19"/>
        </w:rPr>
      </w:pPr>
    </w:p>
    <w:p w14:paraId="6ACCB1A6" w14:textId="77777777" w:rsidR="000D6D0A" w:rsidRDefault="00BB0E07">
      <w:pPr>
        <w:spacing w:before="120" w:after="120" w:line="360" w:lineRule="auto"/>
      </w:pPr>
      <w:r>
        <w:rPr>
          <w:rFonts w:ascii="Tahoma" w:hAnsi="Tahoma" w:cs="Tahoma"/>
          <w:sz w:val="19"/>
          <w:szCs w:val="19"/>
        </w:rPr>
        <w:t xml:space="preserve">Nossa estrutura organizacional, conta com quatro níveis principais: Diretoria Executiva, Áreas, Departamentos e Coordenações. O organograma até o nível de coordenação, incluindo o currículo, a identificação e os contatos dos gestores, pode ser encontrado em </w:t>
      </w:r>
      <w:hyperlink r:id="rId196" w:history="1">
        <w:r>
          <w:rPr>
            <w:rStyle w:val="Hyperlink"/>
            <w:rFonts w:ascii="Tahoma" w:hAnsi="Tahoma" w:cs="Tahoma"/>
            <w:sz w:val="19"/>
            <w:szCs w:val="19"/>
          </w:rPr>
          <w:t>http://www.finep.gov.br/a-finep-externo/organograma</w:t>
        </w:r>
      </w:hyperlink>
      <w:r>
        <w:rPr>
          <w:rFonts w:ascii="Tahoma" w:hAnsi="Tahoma" w:cs="Tahoma"/>
          <w:sz w:val="19"/>
          <w:szCs w:val="19"/>
        </w:rPr>
        <w:t>.</w:t>
      </w:r>
    </w:p>
    <w:p w14:paraId="1E2AD5B3" w14:textId="6E44C1EE" w:rsidR="000D6D0A" w:rsidRDefault="00BB0E07">
      <w:pPr>
        <w:spacing w:before="120" w:after="120" w:line="360" w:lineRule="auto"/>
      </w:pPr>
      <w:r>
        <w:rPr>
          <w:rFonts w:ascii="Tahoma" w:hAnsi="Tahoma" w:cs="Tahoma"/>
          <w:sz w:val="19"/>
          <w:szCs w:val="19"/>
        </w:rPr>
        <w:t xml:space="preserve">A Diretoria Executiva é composta pela Presidência e quatro Diretorias, </w:t>
      </w:r>
      <w:r w:rsidRPr="00193D50">
        <w:rPr>
          <w:rFonts w:ascii="Tahoma" w:hAnsi="Tahoma" w:cs="Tahoma"/>
          <w:sz w:val="19"/>
          <w:szCs w:val="19"/>
        </w:rPr>
        <w:t>com 19 áreas subordinadas</w:t>
      </w:r>
      <w:r>
        <w:rPr>
          <w:rFonts w:ascii="Tahoma" w:hAnsi="Tahoma" w:cs="Tahoma"/>
          <w:sz w:val="19"/>
          <w:szCs w:val="19"/>
        </w:rPr>
        <w:t>, organizadas em departamentos voltados para a operação e para a gestão administrativa e financeira. Incluem-se neste conjunto o Gabinete da Presidência e a Secretaria Executiva da Comissão de Ética.</w:t>
      </w:r>
    </w:p>
    <w:p w14:paraId="6C54F4EA" w14:textId="5EBE6198" w:rsidR="000D6D0A" w:rsidRDefault="002A0EA6" w:rsidP="00434581">
      <w:pPr>
        <w:spacing w:before="120" w:after="120" w:line="360" w:lineRule="auto"/>
        <w:rPr>
          <w:rFonts w:ascii="Tahoma" w:hAnsi="Tahoma" w:cs="Tahoma"/>
          <w:sz w:val="19"/>
          <w:szCs w:val="19"/>
        </w:rPr>
      </w:pPr>
      <w:r w:rsidRPr="00210336">
        <w:rPr>
          <w:rFonts w:ascii="Tahoma" w:hAnsi="Tahoma" w:cs="Tahoma"/>
          <w:noProof/>
          <w:sz w:val="22"/>
          <w:szCs w:val="22"/>
        </w:rPr>
        <w:lastRenderedPageBreak/>
        <mc:AlternateContent>
          <mc:Choice Requires="wps">
            <w:drawing>
              <wp:anchor distT="0" distB="0" distL="114300" distR="114300" simplePos="0" relativeHeight="251829248" behindDoc="0" locked="0" layoutInCell="1" allowOverlap="1" wp14:anchorId="0ED32F31" wp14:editId="44B13C37">
                <wp:simplePos x="0" y="0"/>
                <wp:positionH relativeFrom="column">
                  <wp:posOffset>852170</wp:posOffset>
                </wp:positionH>
                <wp:positionV relativeFrom="paragraph">
                  <wp:posOffset>791210</wp:posOffset>
                </wp:positionV>
                <wp:extent cx="4908550" cy="381000"/>
                <wp:effectExtent l="0" t="0" r="6350" b="0"/>
                <wp:wrapNone/>
                <wp:docPr id="7791037" name="Text Box 237"/>
                <wp:cNvGraphicFramePr/>
                <a:graphic xmlns:a="http://schemas.openxmlformats.org/drawingml/2006/main">
                  <a:graphicData uri="http://schemas.microsoft.com/office/word/2010/wordprocessingShape">
                    <wps:wsp>
                      <wps:cNvSpPr txBox="1"/>
                      <wps:spPr>
                        <a:xfrm>
                          <a:off x="0" y="0"/>
                          <a:ext cx="4908550" cy="381000"/>
                        </a:xfrm>
                        <a:prstGeom prst="rect">
                          <a:avLst/>
                        </a:prstGeom>
                        <a:solidFill>
                          <a:srgbClr val="0098BA">
                            <a:alpha val="25098"/>
                          </a:srgbClr>
                        </a:solidFill>
                        <a:ln w="6345">
                          <a:noFill/>
                          <a:prstDash val="dash"/>
                        </a:ln>
                      </wps:spPr>
                      <wps:txbx>
                        <w:txbxContent>
                          <w:p w14:paraId="7E9629B8" w14:textId="2D0421EF" w:rsidR="00A66289" w:rsidRPr="006C7266" w:rsidRDefault="00A66289" w:rsidP="00A66289">
                            <w:pPr>
                              <w:jc w:val="right"/>
                              <w:rPr>
                                <w:rFonts w:ascii="Tahoma" w:hAnsi="Tahoma" w:cs="Tahoma"/>
                                <w:sz w:val="16"/>
                                <w:szCs w:val="16"/>
                              </w:rPr>
                            </w:pPr>
                            <w:r w:rsidRPr="006C7266">
                              <w:rPr>
                                <w:rFonts w:ascii="Tahoma" w:hAnsi="Tahoma" w:cs="Tahoma"/>
                                <w:sz w:val="16"/>
                                <w:szCs w:val="16"/>
                              </w:rPr>
                              <w:t xml:space="preserve">As competências e atribuições de todas as unidades organizacionais estão detalhadas no </w:t>
                            </w:r>
                            <w:hyperlink r:id="rId197" w:history="1">
                              <w:r w:rsidRPr="006C7266">
                                <w:rPr>
                                  <w:rStyle w:val="Hyperlink"/>
                                  <w:rFonts w:ascii="Tahoma" w:hAnsi="Tahoma" w:cs="Tahoma"/>
                                  <w:sz w:val="16"/>
                                  <w:szCs w:val="16"/>
                                </w:rPr>
                                <w:t>Regimento Interno da Finep</w:t>
                              </w:r>
                            </w:hyperlink>
                            <w:r w:rsidRPr="006C7266">
                              <w:rPr>
                                <w:rFonts w:ascii="Tahoma" w:hAnsi="Tahoma" w:cs="Tahoma"/>
                                <w:sz w:val="16"/>
                                <w:szCs w:val="16"/>
                              </w:rPr>
                              <w:t>.</w:t>
                            </w:r>
                          </w:p>
                          <w:p w14:paraId="45379B08" w14:textId="45343305" w:rsidR="00A66289" w:rsidRPr="0082438F" w:rsidRDefault="00A66289" w:rsidP="00A66289">
                            <w:pPr>
                              <w:jc w:val="right"/>
                              <w:rPr>
                                <w:rFonts w:ascii="Tahoma" w:hAnsi="Tahoma" w:cs="Tahoma"/>
                                <w:sz w:val="16"/>
                                <w:szCs w:val="16"/>
                              </w:rP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0ED32F31" id="_x0000_s1047" type="#_x0000_t202" style="position:absolute;margin-left:67.1pt;margin-top:62.3pt;width:386.5pt;height:30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" fillcolor="#0098ba" stroked="f" strokeweight=".17625mm">
                <v:fill opacity="16448f"/>
                <v:stroke dashstyle="dash"/>
                <v:textbox>
                  <w:txbxContent>
                    <w:p w14:paraId="7E9629B8" w14:textId="2D0421EF" w:rsidR="00A66289" w:rsidRPr="006C7266" w:rsidRDefault="00A66289" w:rsidP="00A66289">
                      <w:pPr>
                        <w:jc w:val="right"/>
                        <w:rPr>
                          <w:rFonts w:ascii="Tahoma" w:hAnsi="Tahoma" w:cs="Tahoma"/>
                          <w:sz w:val="16"/>
                          <w:szCs w:val="16"/>
                        </w:rPr>
                      </w:pPr>
                      <w:r w:rsidRPr="006C7266">
                        <w:rPr>
                          <w:rFonts w:ascii="Tahoma" w:hAnsi="Tahoma" w:cs="Tahoma"/>
                          <w:sz w:val="16"/>
                          <w:szCs w:val="16"/>
                        </w:rPr>
                        <w:t xml:space="preserve">As competências e atribuições de todas as unidades organizacionais estão detalhadas no </w:t>
                      </w:r>
                      <w:hyperlink r:id="rId198" w:history="1">
                        <w:r w:rsidRPr="006C7266">
                          <w:rPr>
                            <w:rStyle w:val="Hyperlink"/>
                            <w:rFonts w:ascii="Tahoma" w:hAnsi="Tahoma" w:cs="Tahoma"/>
                            <w:sz w:val="16"/>
                            <w:szCs w:val="16"/>
                          </w:rPr>
                          <w:t>Regimento Interno da Finep</w:t>
                        </w:r>
                      </w:hyperlink>
                      <w:r w:rsidRPr="006C7266">
                        <w:rPr>
                          <w:rFonts w:ascii="Tahoma" w:hAnsi="Tahoma" w:cs="Tahoma"/>
                          <w:sz w:val="16"/>
                          <w:szCs w:val="16"/>
                        </w:rPr>
                        <w:t>.</w:t>
                      </w:r>
                    </w:p>
                    <w:p w14:paraId="45379B08" w14:textId="45343305" w:rsidR="00A66289" w:rsidRPr="0082438F" w:rsidRDefault="00A66289" w:rsidP="00A66289">
                      <w:pPr>
                        <w:jc w:val="right"/>
                        <w:rPr>
                          <w:rFonts w:ascii="Tahoma" w:hAnsi="Tahoma" w:cs="Tahoma"/>
                          <w:sz w:val="16"/>
                          <w:szCs w:val="16"/>
                        </w:rPr>
                      </w:pPr>
                    </w:p>
                  </w:txbxContent>
                </v:textbox>
              </v:shape>
            </w:pict>
          </mc:Fallback>
        </mc:AlternateContent>
      </w:r>
      <w:r w:rsidR="00BB0E07">
        <w:rPr>
          <w:rFonts w:ascii="Tahoma" w:hAnsi="Tahoma" w:cs="Tahoma"/>
          <w:sz w:val="19"/>
          <w:szCs w:val="19"/>
        </w:rPr>
        <w:t xml:space="preserve">Em </w:t>
      </w:r>
      <w:r w:rsidR="00A66289">
        <w:rPr>
          <w:rFonts w:ascii="Tahoma" w:hAnsi="Tahoma" w:cs="Tahoma"/>
          <w:sz w:val="19"/>
          <w:szCs w:val="19"/>
        </w:rPr>
        <w:t xml:space="preserve">julho de </w:t>
      </w:r>
      <w:r w:rsidR="00BB0E07">
        <w:rPr>
          <w:rFonts w:ascii="Tahoma" w:hAnsi="Tahoma" w:cs="Tahoma"/>
          <w:sz w:val="19"/>
          <w:szCs w:val="19"/>
        </w:rPr>
        <w:t>202</w:t>
      </w:r>
      <w:r w:rsidR="0090765E">
        <w:rPr>
          <w:rFonts w:ascii="Tahoma" w:hAnsi="Tahoma" w:cs="Tahoma"/>
          <w:sz w:val="19"/>
          <w:szCs w:val="19"/>
        </w:rPr>
        <w:t>3</w:t>
      </w:r>
      <w:r w:rsidR="00BB0E07">
        <w:rPr>
          <w:rFonts w:ascii="Tahoma" w:hAnsi="Tahoma" w:cs="Tahoma"/>
          <w:sz w:val="19"/>
          <w:szCs w:val="19"/>
        </w:rPr>
        <w:t xml:space="preserve">, </w:t>
      </w:r>
      <w:r w:rsidR="00A66289">
        <w:rPr>
          <w:rFonts w:ascii="Tahoma" w:hAnsi="Tahoma" w:cs="Tahoma"/>
          <w:sz w:val="19"/>
          <w:szCs w:val="19"/>
        </w:rPr>
        <w:t xml:space="preserve">por meio da </w:t>
      </w:r>
      <w:r w:rsidR="0016426A">
        <w:rPr>
          <w:rFonts w:ascii="Tahoma" w:hAnsi="Tahoma" w:cs="Tahoma"/>
          <w:sz w:val="19"/>
          <w:szCs w:val="19"/>
        </w:rPr>
        <w:t>Deliberação</w:t>
      </w:r>
      <w:r w:rsidR="00A66289">
        <w:rPr>
          <w:rFonts w:ascii="Tahoma" w:hAnsi="Tahoma" w:cs="Tahoma"/>
          <w:sz w:val="19"/>
          <w:szCs w:val="19"/>
        </w:rPr>
        <w:t xml:space="preserve"> do Conselho de Administração </w:t>
      </w:r>
      <w:r w:rsidR="006C7266">
        <w:rPr>
          <w:rFonts w:ascii="Tahoma" w:hAnsi="Tahoma" w:cs="Tahoma"/>
          <w:sz w:val="19"/>
          <w:szCs w:val="19"/>
        </w:rPr>
        <w:t>0</w:t>
      </w:r>
      <w:r w:rsidR="00A66289" w:rsidRPr="00A66289">
        <w:rPr>
          <w:rFonts w:ascii="Tahoma" w:hAnsi="Tahoma" w:cs="Tahoma"/>
          <w:sz w:val="19"/>
          <w:szCs w:val="19"/>
        </w:rPr>
        <w:t>35</w:t>
      </w:r>
      <w:r w:rsidR="00A66289">
        <w:rPr>
          <w:rFonts w:ascii="Tahoma" w:hAnsi="Tahoma" w:cs="Tahoma"/>
          <w:sz w:val="19"/>
          <w:szCs w:val="19"/>
        </w:rPr>
        <w:t xml:space="preserve">, de 28 de julho de </w:t>
      </w:r>
      <w:r w:rsidR="00A66289" w:rsidRPr="00A66289">
        <w:rPr>
          <w:rFonts w:ascii="Tahoma" w:hAnsi="Tahoma" w:cs="Tahoma"/>
          <w:sz w:val="19"/>
          <w:szCs w:val="19"/>
        </w:rPr>
        <w:t>2023</w:t>
      </w:r>
      <w:r w:rsidR="00A66289">
        <w:rPr>
          <w:rFonts w:ascii="Tahoma" w:hAnsi="Tahoma" w:cs="Tahoma"/>
          <w:sz w:val="19"/>
          <w:szCs w:val="19"/>
        </w:rPr>
        <w:t>,</w:t>
      </w:r>
      <w:r w:rsidR="00A66289" w:rsidRPr="00A66289">
        <w:rPr>
          <w:rFonts w:ascii="Tahoma" w:hAnsi="Tahoma" w:cs="Tahoma"/>
          <w:sz w:val="19"/>
          <w:szCs w:val="19"/>
        </w:rPr>
        <w:t xml:space="preserve"> </w:t>
      </w:r>
      <w:r w:rsidR="00BB0E07">
        <w:rPr>
          <w:rFonts w:ascii="Tahoma" w:hAnsi="Tahoma" w:cs="Tahoma"/>
          <w:sz w:val="19"/>
          <w:szCs w:val="19"/>
        </w:rPr>
        <w:t xml:space="preserve">nossa estrutura organizacional </w:t>
      </w:r>
      <w:r w:rsidR="00434581">
        <w:rPr>
          <w:rFonts w:ascii="Tahoma" w:hAnsi="Tahoma" w:cs="Tahoma"/>
          <w:sz w:val="19"/>
          <w:szCs w:val="19"/>
        </w:rPr>
        <w:t xml:space="preserve">foi alterada com a </w:t>
      </w:r>
      <w:r w:rsidR="00434581" w:rsidRPr="00434581">
        <w:rPr>
          <w:rFonts w:ascii="Tahoma" w:hAnsi="Tahoma" w:cs="Tahoma"/>
          <w:sz w:val="19"/>
          <w:szCs w:val="19"/>
        </w:rPr>
        <w:t>criação do Departamento de Gestão de</w:t>
      </w:r>
      <w:r w:rsidR="00434581">
        <w:rPr>
          <w:rFonts w:ascii="Tahoma" w:hAnsi="Tahoma" w:cs="Tahoma"/>
          <w:sz w:val="19"/>
          <w:szCs w:val="19"/>
        </w:rPr>
        <w:t xml:space="preserve"> </w:t>
      </w:r>
      <w:r w:rsidR="00434581" w:rsidRPr="00434581">
        <w:rPr>
          <w:rFonts w:ascii="Tahoma" w:hAnsi="Tahoma" w:cs="Tahoma"/>
          <w:sz w:val="19"/>
          <w:szCs w:val="19"/>
        </w:rPr>
        <w:t>Termos de Execução Descentralizada (DGTD),</w:t>
      </w:r>
      <w:r w:rsidR="00434581">
        <w:rPr>
          <w:rFonts w:ascii="Tahoma" w:hAnsi="Tahoma" w:cs="Tahoma"/>
          <w:sz w:val="19"/>
          <w:szCs w:val="19"/>
        </w:rPr>
        <w:t xml:space="preserve"> </w:t>
      </w:r>
      <w:r w:rsidR="00434581" w:rsidRPr="00434581">
        <w:rPr>
          <w:rFonts w:ascii="Tahoma" w:hAnsi="Tahoma" w:cs="Tahoma"/>
          <w:sz w:val="19"/>
          <w:szCs w:val="19"/>
        </w:rPr>
        <w:t>vinculado à Área de Controle Orçamentário e</w:t>
      </w:r>
      <w:r w:rsidR="00434581">
        <w:rPr>
          <w:rFonts w:ascii="Tahoma" w:hAnsi="Tahoma" w:cs="Tahoma"/>
          <w:sz w:val="19"/>
          <w:szCs w:val="19"/>
        </w:rPr>
        <w:t xml:space="preserve"> </w:t>
      </w:r>
      <w:r w:rsidR="00434581" w:rsidRPr="00434581">
        <w:rPr>
          <w:rFonts w:ascii="Tahoma" w:hAnsi="Tahoma" w:cs="Tahoma"/>
          <w:sz w:val="19"/>
          <w:szCs w:val="19"/>
        </w:rPr>
        <w:t>Financeiro</w:t>
      </w:r>
      <w:r w:rsidR="00A66289">
        <w:rPr>
          <w:rFonts w:ascii="Tahoma" w:hAnsi="Tahoma" w:cs="Tahoma"/>
          <w:sz w:val="19"/>
          <w:szCs w:val="19"/>
        </w:rPr>
        <w:t xml:space="preserve"> </w:t>
      </w:r>
      <w:r w:rsidR="00434581" w:rsidRPr="00434581">
        <w:rPr>
          <w:rFonts w:ascii="Tahoma" w:hAnsi="Tahoma" w:cs="Tahoma"/>
          <w:sz w:val="19"/>
          <w:szCs w:val="19"/>
        </w:rPr>
        <w:t>do</w:t>
      </w:r>
      <w:r w:rsidR="00A66289">
        <w:rPr>
          <w:rFonts w:ascii="Tahoma" w:hAnsi="Tahoma" w:cs="Tahoma"/>
          <w:sz w:val="19"/>
          <w:szCs w:val="19"/>
        </w:rPr>
        <w:t xml:space="preserve"> </w:t>
      </w:r>
      <w:r w:rsidR="00434581" w:rsidRPr="00434581">
        <w:rPr>
          <w:rFonts w:ascii="Tahoma" w:hAnsi="Tahoma" w:cs="Tahoma"/>
          <w:sz w:val="19"/>
          <w:szCs w:val="19"/>
        </w:rPr>
        <w:t>FNDCT</w:t>
      </w:r>
      <w:r w:rsidR="00A66289">
        <w:rPr>
          <w:rFonts w:ascii="Tahoma" w:hAnsi="Tahoma" w:cs="Tahoma"/>
          <w:sz w:val="19"/>
          <w:szCs w:val="19"/>
        </w:rPr>
        <w:t xml:space="preserve"> </w:t>
      </w:r>
      <w:r w:rsidR="00434581" w:rsidRPr="00434581">
        <w:rPr>
          <w:rFonts w:ascii="Tahoma" w:hAnsi="Tahoma" w:cs="Tahoma"/>
          <w:sz w:val="19"/>
          <w:szCs w:val="19"/>
        </w:rPr>
        <w:t>(ACOF).</w:t>
      </w:r>
    </w:p>
    <w:p w14:paraId="21EF96F9" w14:textId="43EB8EE0" w:rsidR="00A66289" w:rsidRDefault="00A66289">
      <w:pPr>
        <w:spacing w:before="120" w:after="120" w:line="360" w:lineRule="auto"/>
        <w:rPr>
          <w:rFonts w:ascii="Tahoma" w:hAnsi="Tahoma" w:cs="Tahoma"/>
          <w:sz w:val="19"/>
          <w:szCs w:val="19"/>
        </w:rPr>
      </w:pPr>
    </w:p>
    <w:p w14:paraId="7924DA65" w14:textId="6F1E2227" w:rsidR="00572FD5" w:rsidRDefault="00BB0E07">
      <w:pPr>
        <w:spacing w:before="120" w:after="120" w:line="360" w:lineRule="auto"/>
        <w:rPr>
          <w:rFonts w:ascii="Tahoma" w:hAnsi="Tahoma" w:cs="Tahoma"/>
          <w:sz w:val="19"/>
          <w:szCs w:val="19"/>
        </w:rPr>
      </w:pPr>
      <w:r>
        <w:rPr>
          <w:rFonts w:ascii="Tahoma" w:hAnsi="Tahoma" w:cs="Tahoma"/>
          <w:noProof/>
          <w:color w:val="2B579A"/>
          <w:sz w:val="19"/>
          <w:szCs w:val="19"/>
          <w:shd w:val="clear" w:color="auto" w:fill="E6E6E6"/>
        </w:rPr>
        <w:drawing>
          <wp:inline distT="0" distB="0" distL="0" distR="0" wp14:anchorId="31D5EE36" wp14:editId="6E4DDAB6">
            <wp:extent cx="4863906" cy="2896819"/>
            <wp:effectExtent l="0" t="0" r="0" b="0"/>
            <wp:docPr id="731302547" name="Picture 9"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b="3165"/>
                    <a:stretch/>
                  </pic:blipFill>
                  <pic:spPr bwMode="auto">
                    <a:xfrm>
                      <a:off x="0" y="0"/>
                      <a:ext cx="4875422" cy="290367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2449A64" w14:textId="41DA9221" w:rsidR="000D6D0A" w:rsidRDefault="00BB0E07">
      <w:pPr>
        <w:spacing w:before="120" w:after="120" w:line="360" w:lineRule="auto"/>
      </w:pPr>
      <w:r>
        <w:rPr>
          <w:rFonts w:ascii="Tahoma" w:hAnsi="Tahoma" w:cs="Tahoma"/>
          <w:sz w:val="19"/>
          <w:szCs w:val="19"/>
        </w:rPr>
        <w:t xml:space="preserve">Um quadro contendo os nomes, lotação, cargo, número de matrícula, ato e data de nomeação de todas as pessoas que exercem cargos ou funções gratificadas está disponível em </w:t>
      </w:r>
      <w:hyperlink r:id="rId200" w:history="1">
        <w:r>
          <w:rPr>
            <w:rStyle w:val="Hyperlink"/>
            <w:rFonts w:ascii="Tahoma" w:hAnsi="Tahoma" w:cs="Tahoma"/>
            <w:sz w:val="19"/>
            <w:szCs w:val="19"/>
          </w:rPr>
          <w:t>http://download.finep.gov.br/quadroCargosFuncoesComissionadas.pdf</w:t>
        </w:r>
      </w:hyperlink>
    </w:p>
    <w:p w14:paraId="6CE398A9" w14:textId="77777777" w:rsidR="000D6D0A" w:rsidRDefault="000D6D0A">
      <w:pPr>
        <w:spacing w:before="120" w:after="120" w:line="360" w:lineRule="auto"/>
        <w:rPr>
          <w:rFonts w:ascii="Tahoma" w:hAnsi="Tahoma" w:cs="Tahoma"/>
          <w:sz w:val="19"/>
          <w:szCs w:val="19"/>
        </w:rPr>
      </w:pPr>
    </w:p>
    <w:p w14:paraId="72647D48" w14:textId="4EAE9D07" w:rsidR="000D6D0A" w:rsidRPr="003D0607" w:rsidRDefault="00BB0E07" w:rsidP="003D0607">
      <w:pPr>
        <w:pStyle w:val="Ttulo2"/>
        <w:spacing w:before="0" w:after="120" w:line="360" w:lineRule="auto"/>
        <w:ind w:left="862" w:hanging="578"/>
        <w:rPr>
          <w:rFonts w:ascii="Tahoma" w:hAnsi="Tahoma" w:cs="Tahoma"/>
          <w:color w:val="0098BA"/>
          <w:sz w:val="24"/>
          <w:szCs w:val="24"/>
        </w:rPr>
      </w:pPr>
      <w:bookmarkStart w:id="160" w:name="_Toc131692249"/>
      <w:bookmarkStart w:id="161" w:name="_Toc163025263"/>
      <w:bookmarkStart w:id="162" w:name="_Toc162512600"/>
      <w:bookmarkStart w:id="163" w:name="_Hlk162881817"/>
      <w:r w:rsidRPr="003D0607">
        <w:rPr>
          <w:rFonts w:ascii="Tahoma" w:hAnsi="Tahoma" w:cs="Tahoma"/>
          <w:color w:val="0098BA"/>
          <w:sz w:val="24"/>
          <w:szCs w:val="24"/>
        </w:rPr>
        <w:t>Governança</w:t>
      </w:r>
      <w:bookmarkEnd w:id="160"/>
      <w:bookmarkEnd w:id="161"/>
      <w:bookmarkEnd w:id="162"/>
    </w:p>
    <w:p w14:paraId="142736F5" w14:textId="1BCB0111" w:rsidR="000D6D0A" w:rsidRDefault="00BB0E07">
      <w:pPr>
        <w:spacing w:before="120" w:after="120" w:line="360" w:lineRule="auto"/>
        <w:rPr>
          <w:rFonts w:ascii="Tahoma" w:hAnsi="Tahoma" w:cs="Tahoma"/>
          <w:sz w:val="19"/>
          <w:szCs w:val="19"/>
        </w:rPr>
      </w:pPr>
      <w:r>
        <w:rPr>
          <w:rFonts w:ascii="Tahoma" w:hAnsi="Tahoma" w:cs="Tahoma"/>
          <w:sz w:val="19"/>
          <w:szCs w:val="19"/>
        </w:rPr>
        <w:t>A governança da Finep conta com órgãos de direção e administração, de fiscalização e acompanhamento e instâncias de assessoramento. As atividades de direção e administração da empresa são responsabilidade da Assembleia Geral, do Conselho de Administração e da Diretoria Executiva, composta pela Presidência e quatro Diretorias.</w:t>
      </w:r>
    </w:p>
    <w:p w14:paraId="3F741BF6" w14:textId="644882D5" w:rsidR="000D6D0A" w:rsidRDefault="00BB0E07">
      <w:pPr>
        <w:spacing w:before="120" w:after="120" w:line="360" w:lineRule="auto"/>
      </w:pPr>
      <w:r>
        <w:rPr>
          <w:rFonts w:ascii="Tahoma" w:hAnsi="Tahoma" w:cs="Tahoma"/>
          <w:sz w:val="19"/>
          <w:szCs w:val="19"/>
        </w:rPr>
        <w:t xml:space="preserve">Nossos mecanismos de governança estão distribuídos por toda a empresa e alguns deles são apresentados neste relatório nos itens Ética e Integridade; Ações de Supervisão, Controle e Correição, Riscos e Controles Internos; e Ouvidoria e Transparência. </w:t>
      </w:r>
      <w:r w:rsidR="006C7266">
        <w:rPr>
          <w:rFonts w:ascii="Tahoma" w:hAnsi="Tahoma" w:cs="Tahoma"/>
          <w:sz w:val="19"/>
          <w:szCs w:val="19"/>
        </w:rPr>
        <w:t>Informações sobre esses mecanismos p</w:t>
      </w:r>
      <w:r>
        <w:rPr>
          <w:rFonts w:ascii="Tahoma" w:hAnsi="Tahoma" w:cs="Tahoma"/>
          <w:sz w:val="19"/>
          <w:szCs w:val="19"/>
        </w:rPr>
        <w:t>odem também ser encontrad</w:t>
      </w:r>
      <w:r w:rsidR="006C7266">
        <w:rPr>
          <w:rFonts w:ascii="Tahoma" w:hAnsi="Tahoma" w:cs="Tahoma"/>
          <w:sz w:val="19"/>
          <w:szCs w:val="19"/>
        </w:rPr>
        <w:t>a</w:t>
      </w:r>
      <w:r>
        <w:rPr>
          <w:rFonts w:ascii="Tahoma" w:hAnsi="Tahoma" w:cs="Tahoma"/>
          <w:sz w:val="19"/>
          <w:szCs w:val="19"/>
        </w:rPr>
        <w:t>s no nosso site, como é o caso das ações da Auditoria Interna (</w:t>
      </w:r>
      <w:hyperlink r:id="rId201" w:history="1">
        <w:r>
          <w:rPr>
            <w:rStyle w:val="Hyperlink"/>
            <w:rFonts w:ascii="Tahoma" w:hAnsi="Tahoma" w:cs="Tahoma"/>
            <w:sz w:val="19"/>
            <w:szCs w:val="19"/>
          </w:rPr>
          <w:t>http://www.finep.gov.br/auditoria</w:t>
        </w:r>
      </w:hyperlink>
      <w:r>
        <w:rPr>
          <w:rFonts w:ascii="Tahoma" w:hAnsi="Tahoma" w:cs="Tahoma"/>
          <w:sz w:val="19"/>
          <w:szCs w:val="19"/>
        </w:rPr>
        <w:t>).</w:t>
      </w:r>
    </w:p>
    <w:p w14:paraId="646186BB" w14:textId="77777777" w:rsidR="000D6D0A" w:rsidRDefault="00BB0E07">
      <w:pPr>
        <w:spacing w:before="120" w:after="120" w:line="360" w:lineRule="auto"/>
        <w:rPr>
          <w:rFonts w:ascii="Tahoma" w:hAnsi="Tahoma" w:cs="Tahoma"/>
          <w:sz w:val="19"/>
          <w:szCs w:val="19"/>
        </w:rPr>
      </w:pPr>
      <w:r>
        <w:rPr>
          <w:rFonts w:ascii="Tahoma" w:hAnsi="Tahoma" w:cs="Tahoma"/>
          <w:sz w:val="19"/>
          <w:szCs w:val="19"/>
        </w:rPr>
        <w:t>Os principais colegiados da estrutura de governança são a Assembleia Geral, o Conselho de Administração, o Comitê de Auditoria, o Conselho Fiscal, o Conselho Consultivo, o Comitê de Pessoas, Elegibilidade, Sucessão e Remuneração e a Diretoria Executiva. A Auditoria Interna e a Ouvidoria são vinculadas ao Conselho de Administração.</w:t>
      </w:r>
    </w:p>
    <w:p w14:paraId="0C7A9006" w14:textId="295005E3" w:rsidR="000D6D0A" w:rsidRDefault="00BB0E07" w:rsidP="00254F4A">
      <w:r>
        <w:rPr>
          <w:noProof/>
          <w:color w:val="2B579A"/>
          <w:shd w:val="clear" w:color="auto" w:fill="E6E6E6"/>
        </w:rPr>
        <w:lastRenderedPageBreak/>
        <w:drawing>
          <wp:inline distT="0" distB="0" distL="0" distR="0" wp14:anchorId="2DDAEB75" wp14:editId="5A1B256B">
            <wp:extent cx="3861645" cy="3144520"/>
            <wp:effectExtent l="0" t="0" r="5715" b="0"/>
            <wp:docPr id="1378409258" name="Picture 7"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srcRect l="3704" r="3162"/>
                    <a:stretch/>
                  </pic:blipFill>
                  <pic:spPr bwMode="auto">
                    <a:xfrm>
                      <a:off x="0" y="0"/>
                      <a:ext cx="3862893" cy="3145536"/>
                    </a:xfrm>
                    <a:prstGeom prst="rect">
                      <a:avLst/>
                    </a:prstGeom>
                    <a:noFill/>
                    <a:ln>
                      <a:noFill/>
                    </a:ln>
                    <a:extLst>
                      <a:ext uri="{53640926-AAD7-44D8-BBD7-CCE9431645EC}">
                        <a14:shadowObscured xmlns:a14="http://schemas.microsoft.com/office/drawing/2010/main"/>
                      </a:ext>
                    </a:extLst>
                  </pic:spPr>
                </pic:pic>
              </a:graphicData>
            </a:graphic>
          </wp:inline>
        </w:drawing>
      </w:r>
    </w:p>
    <w:p w14:paraId="54F3F2B9" w14:textId="40B27FC9" w:rsidR="000D6D0A" w:rsidRDefault="00611E12">
      <w:pPr>
        <w:spacing w:before="120" w:after="120" w:line="360" w:lineRule="auto"/>
        <w:rPr>
          <w:rFonts w:ascii="Tahoma" w:hAnsi="Tahoma" w:cs="Tahoma"/>
          <w:sz w:val="19"/>
          <w:szCs w:val="19"/>
        </w:rPr>
      </w:pPr>
      <w:r w:rsidRPr="00210336">
        <w:rPr>
          <w:rFonts w:ascii="Tahoma" w:hAnsi="Tahoma" w:cs="Tahoma"/>
          <w:noProof/>
          <w:sz w:val="22"/>
          <w:szCs w:val="22"/>
        </w:rPr>
        <mc:AlternateContent>
          <mc:Choice Requires="wps">
            <w:drawing>
              <wp:anchor distT="0" distB="0" distL="114300" distR="114300" simplePos="0" relativeHeight="251831296" behindDoc="0" locked="0" layoutInCell="1" allowOverlap="1" wp14:anchorId="6202147C" wp14:editId="3629FE26">
                <wp:simplePos x="0" y="0"/>
                <wp:positionH relativeFrom="column">
                  <wp:posOffset>374650</wp:posOffset>
                </wp:positionH>
                <wp:positionV relativeFrom="paragraph">
                  <wp:posOffset>1194181</wp:posOffset>
                </wp:positionV>
                <wp:extent cx="5664200" cy="508000"/>
                <wp:effectExtent l="0" t="0" r="0" b="6350"/>
                <wp:wrapNone/>
                <wp:docPr id="302765339" name="Text Box 237"/>
                <wp:cNvGraphicFramePr/>
                <a:graphic xmlns:a="http://schemas.openxmlformats.org/drawingml/2006/main">
                  <a:graphicData uri="http://schemas.microsoft.com/office/word/2010/wordprocessingShape">
                    <wps:wsp>
                      <wps:cNvSpPr txBox="1"/>
                      <wps:spPr>
                        <a:xfrm>
                          <a:off x="0" y="0"/>
                          <a:ext cx="5664200" cy="508000"/>
                        </a:xfrm>
                        <a:prstGeom prst="rect">
                          <a:avLst/>
                        </a:prstGeom>
                        <a:solidFill>
                          <a:srgbClr val="0098BA">
                            <a:alpha val="25098"/>
                          </a:srgbClr>
                        </a:solidFill>
                        <a:ln w="6345">
                          <a:noFill/>
                          <a:prstDash val="dash"/>
                        </a:ln>
                      </wps:spPr>
                      <wps:txbx>
                        <w:txbxContent>
                          <w:p w14:paraId="0199DDB2" w14:textId="77777777" w:rsidR="006C7266" w:rsidRPr="006C7266" w:rsidRDefault="006C7266" w:rsidP="006C7266">
                            <w:pPr>
                              <w:jc w:val="right"/>
                              <w:rPr>
                                <w:rFonts w:ascii="Tahoma" w:hAnsi="Tahoma" w:cs="Tahoma"/>
                                <w:sz w:val="16"/>
                                <w:szCs w:val="16"/>
                              </w:rPr>
                            </w:pPr>
                            <w:r>
                              <w:rPr>
                                <w:rFonts w:ascii="Tahoma" w:hAnsi="Tahoma" w:cs="Tahoma"/>
                                <w:sz w:val="16"/>
                                <w:szCs w:val="16"/>
                              </w:rPr>
                              <w:t xml:space="preserve">Nessa seção, </w:t>
                            </w:r>
                            <w:r w:rsidRPr="006C7266">
                              <w:rPr>
                                <w:rFonts w:ascii="Tahoma" w:hAnsi="Tahoma" w:cs="Tahoma"/>
                                <w:sz w:val="16"/>
                                <w:szCs w:val="16"/>
                              </w:rPr>
                              <w:t>também pode ser encontrado o Rol de Responsáveis da Finep, com informações sobre os integrantes do Conselho de Administração e da Diretoria Executiva e respectivos prazos de gestão.</w:t>
                            </w:r>
                          </w:p>
                          <w:p w14:paraId="33867A2D" w14:textId="77777777" w:rsidR="006C7266" w:rsidRDefault="006C7266" w:rsidP="006C7266">
                            <w:pPr>
                              <w:jc w:val="right"/>
                              <w:rPr>
                                <w:rFonts w:ascii="Tahoma" w:hAnsi="Tahoma" w:cs="Tahoma"/>
                                <w:sz w:val="16"/>
                                <w:szCs w:val="16"/>
                              </w:rPr>
                            </w:pPr>
                            <w:r w:rsidRPr="006C7266">
                              <w:rPr>
                                <w:rFonts w:ascii="Tahoma" w:hAnsi="Tahoma" w:cs="Tahoma"/>
                                <w:sz w:val="16"/>
                                <w:szCs w:val="16"/>
                              </w:rPr>
                              <w:t xml:space="preserve">As competências e atribuições de todas as unidades organizacionais estão detalhadas no </w:t>
                            </w:r>
                            <w:hyperlink r:id="rId203" w:history="1">
                              <w:r w:rsidRPr="006C7266">
                                <w:rPr>
                                  <w:rStyle w:val="Hyperlink"/>
                                  <w:rFonts w:ascii="Tahoma" w:hAnsi="Tahoma" w:cs="Tahoma"/>
                                  <w:sz w:val="16"/>
                                  <w:szCs w:val="16"/>
                                </w:rPr>
                                <w:t>Regimento Interno da Finep</w:t>
                              </w:r>
                            </w:hyperlink>
                            <w:r w:rsidRPr="006C7266">
                              <w:rPr>
                                <w:rFonts w:ascii="Tahoma" w:hAnsi="Tahoma" w:cs="Tahoma"/>
                                <w:sz w:val="16"/>
                                <w:szCs w:val="16"/>
                              </w:rPr>
                              <w:t>.</w:t>
                            </w:r>
                          </w:p>
                          <w:p w14:paraId="4909D44F" w14:textId="77777777" w:rsidR="006C7266" w:rsidRPr="0082438F" w:rsidRDefault="006C7266" w:rsidP="006C7266">
                            <w:pPr>
                              <w:jc w:val="right"/>
                              <w:rPr>
                                <w:rFonts w:ascii="Tahoma" w:hAnsi="Tahoma" w:cs="Tahoma"/>
                                <w:sz w:val="16"/>
                                <w:szCs w:val="16"/>
                              </w:rP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6202147C" id="_x0000_s1048" type="#_x0000_t202" style="position:absolute;margin-left:29.5pt;margin-top:94.05pt;width:446pt;height:40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" fillcolor="#0098ba" stroked="f" strokeweight=".17625mm">
                <v:fill opacity="16448f"/>
                <v:stroke dashstyle="dash"/>
                <v:textbox>
                  <w:txbxContent>
                    <w:p w14:paraId="0199DDB2" w14:textId="77777777" w:rsidR="006C7266" w:rsidRPr="006C7266" w:rsidRDefault="006C7266" w:rsidP="006C7266">
                      <w:pPr>
                        <w:jc w:val="right"/>
                        <w:rPr>
                          <w:rFonts w:ascii="Tahoma" w:hAnsi="Tahoma" w:cs="Tahoma"/>
                          <w:sz w:val="16"/>
                          <w:szCs w:val="16"/>
                        </w:rPr>
                      </w:pPr>
                      <w:r>
                        <w:rPr>
                          <w:rFonts w:ascii="Tahoma" w:hAnsi="Tahoma" w:cs="Tahoma"/>
                          <w:sz w:val="16"/>
                          <w:szCs w:val="16"/>
                        </w:rPr>
                        <w:t xml:space="preserve">Nessa seção, </w:t>
                      </w:r>
                      <w:r w:rsidRPr="006C7266">
                        <w:rPr>
                          <w:rFonts w:ascii="Tahoma" w:hAnsi="Tahoma" w:cs="Tahoma"/>
                          <w:sz w:val="16"/>
                          <w:szCs w:val="16"/>
                        </w:rPr>
                        <w:t>também pode ser encontrado o Rol de Responsáveis da Finep, com informações sobre os integrantes do Conselho de Administração e da Diretoria Executiva e respectivos prazos de gestão.</w:t>
                      </w:r>
                    </w:p>
                    <w:p w14:paraId="33867A2D" w14:textId="77777777" w:rsidR="006C7266" w:rsidRDefault="006C7266" w:rsidP="006C7266">
                      <w:pPr>
                        <w:jc w:val="right"/>
                        <w:rPr>
                          <w:rFonts w:ascii="Tahoma" w:hAnsi="Tahoma" w:cs="Tahoma"/>
                          <w:sz w:val="16"/>
                          <w:szCs w:val="16"/>
                        </w:rPr>
                      </w:pPr>
                      <w:r w:rsidRPr="006C7266">
                        <w:rPr>
                          <w:rFonts w:ascii="Tahoma" w:hAnsi="Tahoma" w:cs="Tahoma"/>
                          <w:sz w:val="16"/>
                          <w:szCs w:val="16"/>
                        </w:rPr>
                        <w:t xml:space="preserve">As competências e atribuições de todas as unidades organizacionais estão detalhadas no </w:t>
                      </w:r>
                      <w:hyperlink r:id="rId204" w:history="1">
                        <w:r w:rsidRPr="006C7266">
                          <w:rPr>
                            <w:rStyle w:val="Hyperlink"/>
                            <w:rFonts w:ascii="Tahoma" w:hAnsi="Tahoma" w:cs="Tahoma"/>
                            <w:sz w:val="16"/>
                            <w:szCs w:val="16"/>
                          </w:rPr>
                          <w:t>Regimento Interno da Finep</w:t>
                        </w:r>
                      </w:hyperlink>
                      <w:r w:rsidRPr="006C7266">
                        <w:rPr>
                          <w:rFonts w:ascii="Tahoma" w:hAnsi="Tahoma" w:cs="Tahoma"/>
                          <w:sz w:val="16"/>
                          <w:szCs w:val="16"/>
                        </w:rPr>
                        <w:t>.</w:t>
                      </w:r>
                    </w:p>
                    <w:p w14:paraId="4909D44F" w14:textId="77777777" w:rsidR="006C7266" w:rsidRPr="0082438F" w:rsidRDefault="006C7266" w:rsidP="006C7266">
                      <w:pPr>
                        <w:jc w:val="right"/>
                        <w:rPr>
                          <w:rFonts w:ascii="Tahoma" w:hAnsi="Tahoma" w:cs="Tahoma"/>
                          <w:sz w:val="16"/>
                          <w:szCs w:val="16"/>
                        </w:rPr>
                      </w:pPr>
                    </w:p>
                  </w:txbxContent>
                </v:textbox>
              </v:shape>
            </w:pict>
          </mc:Fallback>
        </mc:AlternateContent>
      </w:r>
      <w:r w:rsidR="00BB0E07">
        <w:rPr>
          <w:rFonts w:ascii="Tahoma" w:hAnsi="Tahoma" w:cs="Tahoma"/>
          <w:sz w:val="19"/>
          <w:szCs w:val="19"/>
        </w:rPr>
        <w:t xml:space="preserve">A composição, as competências e as formas de funcionamento dessas instâncias estão descritas no Estatuto da </w:t>
      </w:r>
      <w:r w:rsidR="00BB0E07" w:rsidRPr="006C7266">
        <w:rPr>
          <w:rFonts w:ascii="Tahoma" w:hAnsi="Tahoma" w:cs="Tahoma"/>
          <w:sz w:val="19"/>
          <w:szCs w:val="19"/>
        </w:rPr>
        <w:t>Finep (</w:t>
      </w:r>
      <w:r w:rsidR="00AF21B3" w:rsidRPr="006C7266">
        <w:rPr>
          <w:rFonts w:ascii="Tahoma" w:hAnsi="Tahoma" w:cs="Tahoma"/>
          <w:sz w:val="19"/>
          <w:szCs w:val="19"/>
        </w:rPr>
        <w:t>versão aprovada na 17ª Assembleia Geral Extraordinária, de 18/01/2024</w:t>
      </w:r>
      <w:r w:rsidR="00BB0E07" w:rsidRPr="006C7266">
        <w:rPr>
          <w:rFonts w:ascii="Tahoma" w:hAnsi="Tahoma" w:cs="Tahoma"/>
          <w:sz w:val="19"/>
          <w:szCs w:val="19"/>
        </w:rPr>
        <w:t xml:space="preserve">), no Regimento Interno (revisão aprovada pelo Conselho de Administração na </w:t>
      </w:r>
      <w:r w:rsidR="00AF21B3" w:rsidRPr="006C7266">
        <w:rPr>
          <w:rFonts w:ascii="Tahoma" w:hAnsi="Tahoma" w:cs="Tahoma"/>
          <w:sz w:val="19"/>
          <w:szCs w:val="19"/>
        </w:rPr>
        <w:t>7ª Reunião Ordinária do ano de 2023, realizada em 28/07/2023</w:t>
      </w:r>
      <w:r w:rsidR="00BB0E07" w:rsidRPr="006C7266">
        <w:rPr>
          <w:rFonts w:ascii="Tahoma" w:hAnsi="Tahoma" w:cs="Tahoma"/>
          <w:sz w:val="19"/>
          <w:szCs w:val="19"/>
        </w:rPr>
        <w:t>)</w:t>
      </w:r>
      <w:r w:rsidR="00BB0E07">
        <w:rPr>
          <w:rFonts w:ascii="Tahoma" w:hAnsi="Tahoma" w:cs="Tahoma"/>
          <w:sz w:val="19"/>
          <w:szCs w:val="19"/>
        </w:rPr>
        <w:t xml:space="preserve"> e nos Regimentos dos Conselhos. Esses documentos estão publicados no site, ao final da página </w:t>
      </w:r>
      <w:hyperlink r:id="rId205" w:history="1">
        <w:r w:rsidR="00BB0E07" w:rsidRPr="006C7266">
          <w:rPr>
            <w:rStyle w:val="Hyperlink"/>
            <w:rFonts w:ascii="Tahoma" w:hAnsi="Tahoma" w:cs="Tahoma"/>
            <w:sz w:val="19"/>
            <w:szCs w:val="19"/>
          </w:rPr>
          <w:t>Governança</w:t>
        </w:r>
      </w:hyperlink>
      <w:r w:rsidR="00BB0E07">
        <w:rPr>
          <w:rFonts w:ascii="Tahoma" w:hAnsi="Tahoma" w:cs="Tahoma"/>
          <w:sz w:val="19"/>
          <w:szCs w:val="19"/>
        </w:rPr>
        <w:t>.</w:t>
      </w:r>
    </w:p>
    <w:p w14:paraId="62B4290A" w14:textId="5765872F" w:rsidR="00603796" w:rsidRDefault="00603796">
      <w:pPr>
        <w:spacing w:before="120" w:after="120" w:line="360" w:lineRule="auto"/>
        <w:rPr>
          <w:rFonts w:ascii="Tahoma" w:hAnsi="Tahoma" w:cs="Tahoma"/>
          <w:sz w:val="19"/>
          <w:szCs w:val="19"/>
        </w:rPr>
      </w:pPr>
    </w:p>
    <w:p w14:paraId="0C5A697E" w14:textId="48DC1169" w:rsidR="006C7266" w:rsidRDefault="006C7266">
      <w:pPr>
        <w:spacing w:before="120" w:after="120" w:line="360" w:lineRule="auto"/>
        <w:rPr>
          <w:rFonts w:ascii="Tahoma" w:hAnsi="Tahoma" w:cs="Tahoma"/>
          <w:sz w:val="19"/>
          <w:szCs w:val="19"/>
        </w:rPr>
      </w:pPr>
    </w:p>
    <w:p w14:paraId="2DB3740E" w14:textId="20EACB0A" w:rsidR="000D6D0A" w:rsidRDefault="00BB0E07">
      <w:pPr>
        <w:spacing w:before="120" w:after="120" w:line="360" w:lineRule="auto"/>
      </w:pPr>
      <w:r>
        <w:rPr>
          <w:rFonts w:ascii="Tahoma" w:hAnsi="Tahoma" w:cs="Tahoma"/>
          <w:sz w:val="19"/>
          <w:szCs w:val="19"/>
        </w:rPr>
        <w:t xml:space="preserve">Além deles, disponibilizamos também nesta mesma seção do site institucional os planos de trabalho anuais e calendários de reunião do </w:t>
      </w:r>
      <w:r w:rsidR="006C7266">
        <w:rPr>
          <w:rFonts w:ascii="Tahoma" w:hAnsi="Tahoma" w:cs="Tahoma"/>
          <w:sz w:val="19"/>
          <w:szCs w:val="19"/>
        </w:rPr>
        <w:t xml:space="preserve">Conselho de Administração, </w:t>
      </w:r>
      <w:r>
        <w:rPr>
          <w:rFonts w:ascii="Tahoma" w:hAnsi="Tahoma" w:cs="Tahoma"/>
          <w:sz w:val="19"/>
          <w:szCs w:val="19"/>
        </w:rPr>
        <w:t xml:space="preserve">Comitê de Auditoria, do Conselho Fiscal e do Comitê de Pessoas, Elegibilidade, Sucessão e Remuneração. Na seção dedicada a cada colegiado podem ser encontradas as pautas e atas ou extratos de atas das reuniões realizadas e a composição e os currículos dos integrantes dos colegiados. </w:t>
      </w:r>
    </w:p>
    <w:p w14:paraId="5878168D" w14:textId="1B470F56" w:rsidR="000D6D0A" w:rsidRDefault="00BB0E07">
      <w:pPr>
        <w:spacing w:before="120" w:after="120" w:line="360" w:lineRule="auto"/>
        <w:rPr>
          <w:rFonts w:ascii="Tahoma" w:hAnsi="Tahoma" w:cs="Tahoma"/>
          <w:sz w:val="19"/>
          <w:szCs w:val="19"/>
        </w:rPr>
      </w:pPr>
      <w:r>
        <w:rPr>
          <w:rFonts w:ascii="Tahoma" w:hAnsi="Tahoma" w:cs="Tahoma"/>
          <w:sz w:val="19"/>
          <w:szCs w:val="19"/>
        </w:rPr>
        <w:t xml:space="preserve">O Conselho de Administração e o Conselho Consultivo contam com representantes dos empregados, eleitos pelos colegas. Em </w:t>
      </w:r>
      <w:r w:rsidR="00DD257E">
        <w:rPr>
          <w:rFonts w:ascii="Tahoma" w:hAnsi="Tahoma" w:cs="Tahoma"/>
          <w:sz w:val="19"/>
          <w:szCs w:val="19"/>
        </w:rPr>
        <w:t>ambos</w:t>
      </w:r>
      <w:r>
        <w:rPr>
          <w:rFonts w:ascii="Tahoma" w:hAnsi="Tahoma" w:cs="Tahoma"/>
          <w:sz w:val="19"/>
          <w:szCs w:val="19"/>
        </w:rPr>
        <w:t xml:space="preserve">, </w:t>
      </w:r>
      <w:r w:rsidR="00DD257E">
        <w:rPr>
          <w:rFonts w:ascii="Tahoma" w:hAnsi="Tahoma" w:cs="Tahoma"/>
          <w:sz w:val="19"/>
          <w:szCs w:val="19"/>
        </w:rPr>
        <w:t xml:space="preserve">mulheres </w:t>
      </w:r>
      <w:r w:rsidR="00145D97">
        <w:rPr>
          <w:rFonts w:ascii="Tahoma" w:hAnsi="Tahoma" w:cs="Tahoma"/>
          <w:sz w:val="19"/>
          <w:szCs w:val="19"/>
        </w:rPr>
        <w:t>fazem parte d</w:t>
      </w:r>
      <w:r w:rsidR="00DD257E">
        <w:rPr>
          <w:rFonts w:ascii="Tahoma" w:hAnsi="Tahoma" w:cs="Tahoma"/>
          <w:sz w:val="19"/>
          <w:szCs w:val="19"/>
        </w:rPr>
        <w:t xml:space="preserve">essa representação, embora a composição desses colegiados ainda </w:t>
      </w:r>
      <w:r w:rsidR="003F25AC">
        <w:rPr>
          <w:rFonts w:ascii="Tahoma" w:hAnsi="Tahoma" w:cs="Tahoma"/>
          <w:sz w:val="19"/>
          <w:szCs w:val="19"/>
        </w:rPr>
        <w:t xml:space="preserve">tenha </w:t>
      </w:r>
      <w:r w:rsidR="00145D97">
        <w:rPr>
          <w:rFonts w:ascii="Tahoma" w:hAnsi="Tahoma" w:cs="Tahoma"/>
          <w:sz w:val="19"/>
          <w:szCs w:val="19"/>
        </w:rPr>
        <w:t>possibilidade de</w:t>
      </w:r>
      <w:r w:rsidR="00DD257E">
        <w:rPr>
          <w:rFonts w:ascii="Tahoma" w:hAnsi="Tahoma" w:cs="Tahoma"/>
          <w:sz w:val="19"/>
          <w:szCs w:val="19"/>
        </w:rPr>
        <w:t xml:space="preserve"> evoluir no quesito diversidade.</w:t>
      </w:r>
      <w:r>
        <w:rPr>
          <w:rFonts w:ascii="Tahoma" w:hAnsi="Tahoma" w:cs="Tahoma"/>
          <w:sz w:val="19"/>
          <w:szCs w:val="19"/>
        </w:rPr>
        <w:t xml:space="preserve"> O Conselho Consultivo </w:t>
      </w:r>
      <w:r w:rsidR="00DD257E">
        <w:rPr>
          <w:rFonts w:ascii="Tahoma" w:hAnsi="Tahoma" w:cs="Tahoma"/>
          <w:sz w:val="19"/>
          <w:szCs w:val="19"/>
        </w:rPr>
        <w:t>conta</w:t>
      </w:r>
      <w:r>
        <w:rPr>
          <w:rFonts w:ascii="Tahoma" w:hAnsi="Tahoma" w:cs="Tahoma"/>
          <w:sz w:val="19"/>
          <w:szCs w:val="19"/>
        </w:rPr>
        <w:t xml:space="preserve"> </w:t>
      </w:r>
      <w:r w:rsidR="003F25AC">
        <w:rPr>
          <w:rFonts w:ascii="Tahoma" w:hAnsi="Tahoma" w:cs="Tahoma"/>
          <w:sz w:val="19"/>
          <w:szCs w:val="19"/>
        </w:rPr>
        <w:t>ainda com</w:t>
      </w:r>
      <w:r>
        <w:rPr>
          <w:rFonts w:ascii="Tahoma" w:hAnsi="Tahoma" w:cs="Tahoma"/>
          <w:sz w:val="19"/>
          <w:szCs w:val="19"/>
        </w:rPr>
        <w:t xml:space="preserve"> representantes de órgãos do governo federal e de 18 entidades da sociedade brasileira.</w:t>
      </w:r>
      <w:r w:rsidR="00A64F45">
        <w:rPr>
          <w:rFonts w:ascii="Tahoma" w:hAnsi="Tahoma" w:cs="Tahoma"/>
          <w:sz w:val="19"/>
          <w:szCs w:val="19"/>
        </w:rPr>
        <w:t xml:space="preserve"> Tem como objetivo assessorar a diretoria executiva em </w:t>
      </w:r>
      <w:r w:rsidR="00A64F45" w:rsidRPr="00A64F45">
        <w:rPr>
          <w:rFonts w:ascii="Tahoma" w:hAnsi="Tahoma" w:cs="Tahoma"/>
          <w:sz w:val="19"/>
          <w:szCs w:val="19"/>
        </w:rPr>
        <w:t>assuntos de caráter estratégico</w:t>
      </w:r>
      <w:r w:rsidR="00A64F45">
        <w:rPr>
          <w:rFonts w:ascii="Tahoma" w:hAnsi="Tahoma" w:cs="Tahoma"/>
          <w:sz w:val="19"/>
          <w:szCs w:val="19"/>
        </w:rPr>
        <w:t xml:space="preserve"> para a execução do objeto social da empresa.</w:t>
      </w:r>
    </w:p>
    <w:p w14:paraId="247261C3" w14:textId="63CFC5DF" w:rsidR="003F25AC" w:rsidRDefault="003F25AC">
      <w:pPr>
        <w:spacing w:before="120" w:after="120" w:line="360" w:lineRule="auto"/>
        <w:rPr>
          <w:rFonts w:ascii="Tahoma" w:hAnsi="Tahoma" w:cs="Tahoma"/>
          <w:sz w:val="19"/>
          <w:szCs w:val="19"/>
        </w:rPr>
      </w:pPr>
      <w:r>
        <w:rPr>
          <w:rFonts w:ascii="Tahoma" w:hAnsi="Tahoma" w:cs="Tahoma"/>
          <w:sz w:val="19"/>
          <w:szCs w:val="19"/>
        </w:rPr>
        <w:t xml:space="preserve">Em sua primeira reunião ordinária de 2023, em julho, foram </w:t>
      </w:r>
      <w:r w:rsidR="00070EB7">
        <w:rPr>
          <w:rFonts w:ascii="Tahoma" w:hAnsi="Tahoma" w:cs="Tahoma"/>
          <w:sz w:val="19"/>
          <w:szCs w:val="19"/>
        </w:rPr>
        <w:t xml:space="preserve">abordados 16 temas relativos à política e planejamento de CT&amp;I. </w:t>
      </w:r>
      <w:r w:rsidR="00145D97">
        <w:rPr>
          <w:rFonts w:ascii="Tahoma" w:hAnsi="Tahoma" w:cs="Tahoma"/>
          <w:sz w:val="19"/>
          <w:szCs w:val="19"/>
        </w:rPr>
        <w:t xml:space="preserve">Na segunda, realizada em setembro, a pauta versou sobre </w:t>
      </w:r>
      <w:r w:rsidR="00145D97" w:rsidRPr="00145D97">
        <w:rPr>
          <w:rFonts w:ascii="Tahoma" w:hAnsi="Tahoma" w:cs="Tahoma"/>
          <w:sz w:val="19"/>
          <w:szCs w:val="19"/>
        </w:rPr>
        <w:t>o tema: Finep e o Marco Legal de CT&amp;I</w:t>
      </w:r>
      <w:r w:rsidR="00145D97">
        <w:rPr>
          <w:rFonts w:ascii="Tahoma" w:hAnsi="Tahoma" w:cs="Tahoma"/>
          <w:sz w:val="19"/>
          <w:szCs w:val="19"/>
        </w:rPr>
        <w:t xml:space="preserve">. A terceira e última reunião do ano, em dezembro, discutiu o </w:t>
      </w:r>
      <w:r w:rsidR="00145D97" w:rsidRPr="00145D97">
        <w:rPr>
          <w:rFonts w:ascii="Tahoma" w:hAnsi="Tahoma" w:cs="Tahoma"/>
          <w:sz w:val="19"/>
          <w:szCs w:val="19"/>
        </w:rPr>
        <w:t>Relatório do Grupo de Trabalho sobre o Marco Regulatório de Inovação</w:t>
      </w:r>
      <w:r w:rsidR="00145D97">
        <w:rPr>
          <w:rFonts w:ascii="Tahoma" w:hAnsi="Tahoma" w:cs="Tahoma"/>
          <w:sz w:val="19"/>
          <w:szCs w:val="19"/>
        </w:rPr>
        <w:t>; uma p</w:t>
      </w:r>
      <w:r w:rsidR="00145D97" w:rsidRPr="00145D97">
        <w:rPr>
          <w:rFonts w:ascii="Tahoma" w:hAnsi="Tahoma" w:cs="Tahoma"/>
          <w:sz w:val="19"/>
          <w:szCs w:val="19"/>
        </w:rPr>
        <w:t xml:space="preserve">roposta de </w:t>
      </w:r>
      <w:r w:rsidR="00145D97" w:rsidRPr="00254F4A">
        <w:rPr>
          <w:rFonts w:ascii="Tahoma" w:hAnsi="Tahoma"/>
          <w:i/>
          <w:sz w:val="19"/>
        </w:rPr>
        <w:t>Sandbox</w:t>
      </w:r>
      <w:r w:rsidR="00145D97" w:rsidRPr="00145D97">
        <w:rPr>
          <w:rFonts w:ascii="Tahoma" w:hAnsi="Tahoma" w:cs="Tahoma"/>
          <w:sz w:val="19"/>
          <w:szCs w:val="19"/>
        </w:rPr>
        <w:t xml:space="preserve"> para </w:t>
      </w:r>
      <w:r w:rsidR="00145D97">
        <w:rPr>
          <w:rFonts w:ascii="Tahoma" w:hAnsi="Tahoma" w:cs="Tahoma"/>
          <w:sz w:val="19"/>
          <w:szCs w:val="19"/>
        </w:rPr>
        <w:t>CT&amp;I e a relação da Finep com a</w:t>
      </w:r>
      <w:r w:rsidR="00180C9D">
        <w:rPr>
          <w:rFonts w:ascii="Tahoma" w:hAnsi="Tahoma" w:cs="Tahoma"/>
          <w:sz w:val="19"/>
          <w:szCs w:val="19"/>
        </w:rPr>
        <w:t xml:space="preserve"> 5ª </w:t>
      </w:r>
      <w:r w:rsidR="00145D97" w:rsidRPr="00145D97">
        <w:rPr>
          <w:rFonts w:ascii="Tahoma" w:hAnsi="Tahoma" w:cs="Tahoma"/>
          <w:sz w:val="19"/>
          <w:szCs w:val="19"/>
        </w:rPr>
        <w:t>Conferência Nacional de Ciência, Tecnologia e Inovação</w:t>
      </w:r>
      <w:r w:rsidR="00145D97">
        <w:rPr>
          <w:rFonts w:ascii="Tahoma" w:hAnsi="Tahoma" w:cs="Tahoma"/>
          <w:sz w:val="19"/>
          <w:szCs w:val="19"/>
        </w:rPr>
        <w:t>.</w:t>
      </w:r>
    </w:p>
    <w:p w14:paraId="32ED76EF" w14:textId="118D269F" w:rsidR="00611E12" w:rsidRDefault="00BB0E07">
      <w:pPr>
        <w:spacing w:before="120" w:after="120" w:line="360" w:lineRule="auto"/>
        <w:rPr>
          <w:rFonts w:ascii="Tahoma" w:hAnsi="Tahoma" w:cs="Tahoma"/>
          <w:sz w:val="19"/>
          <w:szCs w:val="19"/>
        </w:rPr>
      </w:pPr>
      <w:r>
        <w:rPr>
          <w:rFonts w:ascii="Tahoma" w:hAnsi="Tahoma" w:cs="Tahoma"/>
          <w:sz w:val="19"/>
          <w:szCs w:val="19"/>
        </w:rPr>
        <w:lastRenderedPageBreak/>
        <w:t xml:space="preserve">O estímulo à permanente articulação entre os resultados das atividades da empresa e sua missão e objetivos estratégicos é uma das atribuições do Conselho de Administração que, assessorado pelo Comitê de Auditoria, atua na aprovação </w:t>
      </w:r>
      <w:r w:rsidR="00DD257E">
        <w:rPr>
          <w:rFonts w:ascii="Tahoma" w:hAnsi="Tahoma" w:cs="Tahoma"/>
          <w:sz w:val="19"/>
          <w:szCs w:val="19"/>
        </w:rPr>
        <w:t xml:space="preserve">das </w:t>
      </w:r>
      <w:hyperlink r:id="rId206" w:history="1">
        <w:r w:rsidR="00DD257E" w:rsidRPr="00611E12">
          <w:rPr>
            <w:rStyle w:val="Hyperlink"/>
            <w:rFonts w:ascii="Tahoma" w:hAnsi="Tahoma" w:cs="Tahoma"/>
            <w:sz w:val="19"/>
            <w:szCs w:val="19"/>
          </w:rPr>
          <w:t>políticas corporativas</w:t>
        </w:r>
      </w:hyperlink>
      <w:r w:rsidR="00DD257E">
        <w:rPr>
          <w:rFonts w:ascii="Tahoma" w:hAnsi="Tahoma" w:cs="Tahoma"/>
          <w:sz w:val="19"/>
          <w:szCs w:val="19"/>
        </w:rPr>
        <w:t xml:space="preserve"> </w:t>
      </w:r>
      <w:r>
        <w:rPr>
          <w:rFonts w:ascii="Tahoma" w:hAnsi="Tahoma" w:cs="Tahoma"/>
          <w:sz w:val="19"/>
          <w:szCs w:val="19"/>
        </w:rPr>
        <w:t>e da Estratégia de Longo Prazo e do Plano de Negócios da Finep (ELPPN), acompanhando sua execução trimestral</w:t>
      </w:r>
      <w:r w:rsidR="00DD257E">
        <w:rPr>
          <w:rFonts w:ascii="Tahoma" w:hAnsi="Tahoma" w:cs="Tahoma"/>
          <w:sz w:val="19"/>
          <w:szCs w:val="19"/>
        </w:rPr>
        <w:t>mente</w:t>
      </w:r>
      <w:r>
        <w:rPr>
          <w:rFonts w:ascii="Tahoma" w:hAnsi="Tahoma" w:cs="Tahoma"/>
          <w:sz w:val="19"/>
          <w:szCs w:val="19"/>
        </w:rPr>
        <w:t xml:space="preserve"> e a revisão para os exercícios seguintes.</w:t>
      </w:r>
    </w:p>
    <w:p w14:paraId="1205F46B" w14:textId="0504B155" w:rsidR="000D6D0A" w:rsidRDefault="0064343D">
      <w:pPr>
        <w:spacing w:before="120" w:after="120" w:line="360" w:lineRule="auto"/>
        <w:rPr>
          <w:rFonts w:ascii="Tahoma" w:hAnsi="Tahoma" w:cs="Tahoma"/>
          <w:sz w:val="19"/>
          <w:szCs w:val="19"/>
        </w:rPr>
      </w:pPr>
      <w:r>
        <w:rPr>
          <w:rFonts w:ascii="Tahoma" w:hAnsi="Tahoma" w:cs="Tahoma"/>
          <w:sz w:val="19"/>
          <w:szCs w:val="19"/>
        </w:rPr>
        <w:t>Também faz parte de suas atribuições e das atribuições do Conselho Fiscal o acompanhamento trimestral e aprovação das Demonstrações Contábeis da empresa e a aprovação do Relatório da Administração e da Carta de Políticas Públicas e Governança Corporativa.</w:t>
      </w:r>
    </w:p>
    <w:p w14:paraId="63BF03E9" w14:textId="330FACFF" w:rsidR="0064343D" w:rsidRDefault="0064343D" w:rsidP="0064343D">
      <w:pPr>
        <w:spacing w:before="120" w:after="120" w:line="360" w:lineRule="auto"/>
        <w:rPr>
          <w:rFonts w:ascii="Tahoma" w:hAnsi="Tahoma" w:cs="Tahoma"/>
          <w:sz w:val="19"/>
          <w:szCs w:val="19"/>
        </w:rPr>
      </w:pPr>
      <w:r w:rsidRPr="0064343D">
        <w:rPr>
          <w:rFonts w:ascii="Tahoma" w:hAnsi="Tahoma" w:cs="Tahoma"/>
          <w:sz w:val="19"/>
          <w:szCs w:val="19"/>
        </w:rPr>
        <w:t>O Conselho de Administração atuou ainda na revisão de políticas e documentos institucionais, com destaque para a aprovação, em outubro de 2023, da Política de Promoção de Equidade da Finep, iniciativa precedida pela adesão da Finep ao Pacto Global da ONU, em setembro de 2023. Um esforço voltado para a incorporação nas atividades corporativas das boas práticas voltadas à agenda de direitos humanos e de sustentabilidade, que perpassam não apenas o ambiente corporativo interno, como também do ponto de vista do seu impacto sobre a sociedade e o planeta.</w:t>
      </w:r>
      <w:r w:rsidR="00FB210F">
        <w:rPr>
          <w:rFonts w:ascii="Tahoma" w:hAnsi="Tahoma" w:cs="Tahoma"/>
          <w:sz w:val="19"/>
          <w:szCs w:val="19"/>
        </w:rPr>
        <w:t xml:space="preserve"> Cumpre informar que </w:t>
      </w:r>
      <w:r w:rsidR="00FB210F" w:rsidRPr="00FB210F">
        <w:rPr>
          <w:rFonts w:ascii="Tahoma" w:hAnsi="Tahoma" w:cs="Tahoma"/>
          <w:sz w:val="19"/>
          <w:szCs w:val="19"/>
        </w:rPr>
        <w:t>o Presidente da Finep não acumula a função de presidente do Conselho</w:t>
      </w:r>
      <w:r w:rsidR="00FB210F">
        <w:rPr>
          <w:rFonts w:ascii="Tahoma" w:hAnsi="Tahoma" w:cs="Tahoma"/>
          <w:sz w:val="19"/>
          <w:szCs w:val="19"/>
        </w:rPr>
        <w:t xml:space="preserve"> de Administração da empresa</w:t>
      </w:r>
      <w:r w:rsidR="002216C7">
        <w:rPr>
          <w:rFonts w:ascii="Tahoma" w:hAnsi="Tahoma" w:cs="Tahoma"/>
          <w:sz w:val="19"/>
          <w:szCs w:val="19"/>
        </w:rPr>
        <w:t>, esta função é desempenhada pelo secretário-executivo do MCTI</w:t>
      </w:r>
      <w:r w:rsidR="00FB210F">
        <w:rPr>
          <w:rFonts w:ascii="Tahoma" w:hAnsi="Tahoma" w:cs="Tahoma"/>
          <w:sz w:val="19"/>
          <w:szCs w:val="19"/>
        </w:rPr>
        <w:t>.</w:t>
      </w:r>
    </w:p>
    <w:p w14:paraId="76AEEA71" w14:textId="16E04136" w:rsidR="0064343D" w:rsidRPr="0064343D" w:rsidRDefault="0064343D" w:rsidP="0064343D">
      <w:pPr>
        <w:spacing w:before="120" w:after="120" w:line="360" w:lineRule="auto"/>
        <w:rPr>
          <w:rFonts w:ascii="Tahoma" w:hAnsi="Tahoma" w:cs="Tahoma"/>
          <w:sz w:val="19"/>
          <w:szCs w:val="19"/>
        </w:rPr>
      </w:pPr>
      <w:r>
        <w:rPr>
          <w:rFonts w:ascii="Tahoma" w:hAnsi="Tahoma" w:cs="Tahoma"/>
          <w:sz w:val="19"/>
          <w:szCs w:val="19"/>
        </w:rPr>
        <w:t xml:space="preserve">Durante o ano, o Conselho Fiscal zelou pela Diretoria Executiva e pelo Conselho de Administração nos eventos de análise de questões de natureza administrativa e financeira, como o acompanhamento dos contratos administrativos, das demonstrações financeiras e das atividades de conformidade, integridade e risco, bem como na avaliação dos indicadores dos programas de Participação nos Lucros e Resultados dos empregados (PLR) e no acompanhamento da ELPPN da empresa. </w:t>
      </w:r>
    </w:p>
    <w:p w14:paraId="097E7482" w14:textId="4BF01A29" w:rsidR="000D6D0A" w:rsidRDefault="00DD257E">
      <w:pPr>
        <w:spacing w:before="120" w:after="120" w:line="360" w:lineRule="auto"/>
        <w:rPr>
          <w:rFonts w:ascii="Tahoma" w:hAnsi="Tahoma" w:cs="Tahoma"/>
          <w:sz w:val="19"/>
          <w:szCs w:val="19"/>
        </w:rPr>
      </w:pPr>
      <w:r>
        <w:rPr>
          <w:rFonts w:ascii="Tahoma" w:hAnsi="Tahoma" w:cs="Tahoma"/>
          <w:sz w:val="19"/>
          <w:szCs w:val="19"/>
        </w:rPr>
        <w:t xml:space="preserve">As reflexões e orientações derivadas das análises periódicas de relatórios da auditoria interna e das atividades de conformidade, integridade e riscos </w:t>
      </w:r>
      <w:r w:rsidR="0064343D">
        <w:rPr>
          <w:rFonts w:ascii="Tahoma" w:hAnsi="Tahoma" w:cs="Tahoma"/>
          <w:sz w:val="19"/>
          <w:szCs w:val="19"/>
        </w:rPr>
        <w:t>f</w:t>
      </w:r>
      <w:r w:rsidR="00BB0E07">
        <w:rPr>
          <w:rFonts w:ascii="Tahoma" w:hAnsi="Tahoma" w:cs="Tahoma"/>
          <w:sz w:val="19"/>
          <w:szCs w:val="19"/>
        </w:rPr>
        <w:t>azem parte da contribuição desses colegiados à efetividade da gestão da Finep.</w:t>
      </w:r>
    </w:p>
    <w:p w14:paraId="53484537" w14:textId="05CEE9FC" w:rsidR="000D6D0A" w:rsidRDefault="00BB0E07">
      <w:pPr>
        <w:spacing w:before="120" w:after="120" w:line="360" w:lineRule="auto"/>
      </w:pPr>
      <w:r>
        <w:rPr>
          <w:rFonts w:ascii="Tahoma" w:hAnsi="Tahoma" w:cs="Tahoma"/>
          <w:sz w:val="19"/>
          <w:szCs w:val="19"/>
        </w:rPr>
        <w:t>Com a atribuição de assessorar o Conselho de Administração, o Comitê de Auditoria (Coaud) tem como objetivo resguardar a confiabilidade e a integridade das informações da Finep, mitigando riscos para a empresa e suas partes interessadas. Seus três integrantes</w:t>
      </w:r>
      <w:r w:rsidR="001501B7">
        <w:rPr>
          <w:rFonts w:ascii="Tahoma" w:hAnsi="Tahoma" w:cs="Tahoma"/>
          <w:sz w:val="19"/>
          <w:szCs w:val="19"/>
        </w:rPr>
        <w:t>, duas mulheres e um homem,</w:t>
      </w:r>
      <w:r>
        <w:rPr>
          <w:rFonts w:ascii="Tahoma" w:hAnsi="Tahoma" w:cs="Tahoma"/>
          <w:sz w:val="19"/>
          <w:szCs w:val="19"/>
        </w:rPr>
        <w:t xml:space="preserve"> são eleitos pelo Conselho de Administração e devem possuir experiência profissional ou formação acadêmica na área de contabilidade, auditoria ou no setor de atuação da Finep.</w:t>
      </w:r>
      <w:r w:rsidR="0064343D" w:rsidRPr="0064343D">
        <w:rPr>
          <w:rFonts w:ascii="Tahoma" w:hAnsi="Tahoma" w:cs="Tahoma"/>
          <w:sz w:val="19"/>
          <w:szCs w:val="19"/>
        </w:rPr>
        <w:t xml:space="preserve"> </w:t>
      </w:r>
    </w:p>
    <w:p w14:paraId="675EEC03" w14:textId="3432671F" w:rsidR="000D6D0A" w:rsidRDefault="007523A7" w:rsidP="00C14A81">
      <w:pPr>
        <w:spacing w:before="120" w:after="120" w:line="360" w:lineRule="auto"/>
        <w:rPr>
          <w:rFonts w:ascii="Tahoma" w:hAnsi="Tahoma" w:cs="Tahoma"/>
          <w:sz w:val="19"/>
          <w:szCs w:val="19"/>
        </w:rPr>
      </w:pPr>
      <w:r w:rsidRPr="00210336">
        <w:rPr>
          <w:rFonts w:ascii="Tahoma" w:hAnsi="Tahoma" w:cs="Tahoma"/>
          <w:noProof/>
          <w:sz w:val="22"/>
          <w:szCs w:val="22"/>
        </w:rPr>
        <mc:AlternateContent>
          <mc:Choice Requires="wps">
            <w:drawing>
              <wp:anchor distT="0" distB="0" distL="114300" distR="114300" simplePos="0" relativeHeight="251834368" behindDoc="0" locked="0" layoutInCell="1" allowOverlap="1" wp14:anchorId="04E483C4" wp14:editId="5264B774">
                <wp:simplePos x="0" y="0"/>
                <wp:positionH relativeFrom="column">
                  <wp:posOffset>424967</wp:posOffset>
                </wp:positionH>
                <wp:positionV relativeFrom="paragraph">
                  <wp:posOffset>883285</wp:posOffset>
                </wp:positionV>
                <wp:extent cx="5337629" cy="273050"/>
                <wp:effectExtent l="0" t="0" r="0" b="0"/>
                <wp:wrapNone/>
                <wp:docPr id="1286192566" name="Text Box 237"/>
                <wp:cNvGraphicFramePr/>
                <a:graphic xmlns:a="http://schemas.openxmlformats.org/drawingml/2006/main">
                  <a:graphicData uri="http://schemas.microsoft.com/office/word/2010/wordprocessingShape">
                    <wps:wsp>
                      <wps:cNvSpPr txBox="1"/>
                      <wps:spPr>
                        <a:xfrm>
                          <a:off x="0" y="0"/>
                          <a:ext cx="5337629" cy="273050"/>
                        </a:xfrm>
                        <a:prstGeom prst="rect">
                          <a:avLst/>
                        </a:prstGeom>
                        <a:solidFill>
                          <a:srgbClr val="0098BA">
                            <a:alpha val="25098"/>
                          </a:srgbClr>
                        </a:solidFill>
                        <a:ln w="6345">
                          <a:noFill/>
                          <a:prstDash val="dash"/>
                        </a:ln>
                      </wps:spPr>
                      <wps:txbx>
                        <w:txbxContent>
                          <w:p w14:paraId="01DEA628" w14:textId="2774A9D6" w:rsidR="005871B5" w:rsidRPr="0082438F" w:rsidRDefault="006B1EA1" w:rsidP="006B1EA1">
                            <w:pPr>
                              <w:jc w:val="right"/>
                              <w:rPr>
                                <w:rFonts w:ascii="Tahoma" w:hAnsi="Tahoma" w:cs="Tahoma"/>
                                <w:sz w:val="16"/>
                                <w:szCs w:val="16"/>
                              </w:rPr>
                            </w:pPr>
                            <w:r>
                              <w:rPr>
                                <w:rFonts w:ascii="Tahoma" w:hAnsi="Tahoma" w:cs="Tahoma"/>
                                <w:sz w:val="16"/>
                                <w:szCs w:val="16"/>
                              </w:rPr>
                              <w:t xml:space="preserve">Para consultar nossas políticas corporativas, visite </w:t>
                            </w:r>
                            <w:hyperlink r:id="rId207" w:history="1">
                              <w:r w:rsidR="005871B5" w:rsidRPr="00E7794C">
                                <w:rPr>
                                  <w:rStyle w:val="Hyperlink"/>
                                  <w:rFonts w:ascii="Tahoma" w:hAnsi="Tahoma" w:cs="Tahoma"/>
                                  <w:sz w:val="16"/>
                                  <w:szCs w:val="16"/>
                                </w:rPr>
                                <w:t>http://www.finep.gov.br/a-finep-externo/governanca/politicas</w:t>
                              </w:r>
                            </w:hyperlink>
                            <w:r w:rsidR="005871B5">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04E483C4" id="_x0000_s1049" type="#_x0000_t202" style="position:absolute;margin-left:33.45pt;margin-top:69.55pt;width:420.3pt;height:2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" fillcolor="#0098ba" stroked="f" strokeweight=".17625mm">
                <v:fill opacity="16448f"/>
                <v:stroke dashstyle="dash"/>
                <v:textbox>
                  <w:txbxContent>
                    <w:p w14:paraId="01DEA628" w14:textId="2774A9D6" w:rsidR="005871B5" w:rsidRPr="0082438F" w:rsidRDefault="006B1EA1" w:rsidP="006B1EA1">
                      <w:pPr>
                        <w:jc w:val="right"/>
                        <w:rPr>
                          <w:rFonts w:ascii="Tahoma" w:hAnsi="Tahoma" w:cs="Tahoma"/>
                          <w:sz w:val="16"/>
                          <w:szCs w:val="16"/>
                        </w:rPr>
                      </w:pPr>
                      <w:r>
                        <w:rPr>
                          <w:rFonts w:ascii="Tahoma" w:hAnsi="Tahoma" w:cs="Tahoma"/>
                          <w:sz w:val="16"/>
                          <w:szCs w:val="16"/>
                        </w:rPr>
                        <w:t xml:space="preserve">Para consultar nossas políticas corporativas, visite </w:t>
                      </w:r>
                      <w:hyperlink r:id="rId208" w:history="1">
                        <w:r w:rsidR="005871B5" w:rsidRPr="00E7794C">
                          <w:rPr>
                            <w:rStyle w:val="Hyperlink"/>
                            <w:rFonts w:ascii="Tahoma" w:hAnsi="Tahoma" w:cs="Tahoma"/>
                            <w:sz w:val="16"/>
                            <w:szCs w:val="16"/>
                          </w:rPr>
                          <w:t>http://www.finep.gov.br/a-finep-externo/governanca/politicas</w:t>
                        </w:r>
                      </w:hyperlink>
                      <w:r w:rsidR="005871B5">
                        <w:rPr>
                          <w:rFonts w:ascii="Tahoma" w:hAnsi="Tahoma" w:cs="Tahoma"/>
                          <w:sz w:val="16"/>
                          <w:szCs w:val="16"/>
                        </w:rPr>
                        <w:t>.</w:t>
                      </w:r>
                    </w:p>
                  </w:txbxContent>
                </v:textbox>
              </v:shape>
            </w:pict>
          </mc:Fallback>
        </mc:AlternateContent>
      </w:r>
      <w:r w:rsidR="00BB0E07">
        <w:rPr>
          <w:rFonts w:ascii="Tahoma" w:hAnsi="Tahoma" w:cs="Tahoma"/>
          <w:sz w:val="19"/>
          <w:szCs w:val="19"/>
        </w:rPr>
        <w:t xml:space="preserve">Evidências da adoção de boas práticas e do amadurecimento da governança da Finep podem ser encontradas </w:t>
      </w:r>
      <w:r w:rsidR="00C14A81">
        <w:rPr>
          <w:rFonts w:ascii="Tahoma" w:hAnsi="Tahoma" w:cs="Tahoma"/>
          <w:sz w:val="19"/>
          <w:szCs w:val="19"/>
        </w:rPr>
        <w:t>na discussão, aprovação e atualização de políticas institucionais, como a Política de Transações com Partes Relacionadas, a Política de Integridade, a Política de Confo</w:t>
      </w:r>
      <w:r w:rsidR="00995FD6">
        <w:rPr>
          <w:rFonts w:ascii="Tahoma" w:hAnsi="Tahoma" w:cs="Tahoma"/>
          <w:sz w:val="19"/>
          <w:szCs w:val="19"/>
        </w:rPr>
        <w:t>r</w:t>
      </w:r>
      <w:r w:rsidR="00C14A81">
        <w:rPr>
          <w:rFonts w:ascii="Tahoma" w:hAnsi="Tahoma" w:cs="Tahoma"/>
          <w:sz w:val="19"/>
          <w:szCs w:val="19"/>
        </w:rPr>
        <w:t>midade e a Política de Promoção da Equidade.</w:t>
      </w:r>
    </w:p>
    <w:p w14:paraId="6D96FB70" w14:textId="77777777" w:rsidR="007B6DEF" w:rsidRDefault="007B6DEF" w:rsidP="008B2024">
      <w:pPr>
        <w:spacing w:before="120" w:after="120" w:line="360" w:lineRule="auto"/>
        <w:rPr>
          <w:rFonts w:ascii="Tahoma" w:hAnsi="Tahoma" w:cs="Tahoma"/>
          <w:sz w:val="19"/>
          <w:szCs w:val="19"/>
        </w:rPr>
      </w:pPr>
    </w:p>
    <w:p w14:paraId="73B6C4EB" w14:textId="165CA8A0" w:rsidR="008B2024" w:rsidRDefault="008B2024" w:rsidP="008B2024">
      <w:pPr>
        <w:spacing w:before="120" w:after="120" w:line="360" w:lineRule="auto"/>
        <w:rPr>
          <w:rFonts w:ascii="Tahoma" w:hAnsi="Tahoma" w:cs="Tahoma"/>
          <w:sz w:val="19"/>
          <w:szCs w:val="19"/>
        </w:rPr>
      </w:pPr>
      <w:r>
        <w:rPr>
          <w:rFonts w:ascii="Tahoma" w:hAnsi="Tahoma" w:cs="Tahoma"/>
          <w:sz w:val="19"/>
          <w:szCs w:val="19"/>
        </w:rPr>
        <w:t xml:space="preserve">Em relação aos resultados do </w:t>
      </w:r>
      <w:r w:rsidRPr="008B2024">
        <w:rPr>
          <w:rFonts w:ascii="Tahoma" w:hAnsi="Tahoma" w:cs="Tahoma"/>
          <w:sz w:val="19"/>
          <w:szCs w:val="19"/>
        </w:rPr>
        <w:t>Levantamento de Governança e Gestão</w:t>
      </w:r>
      <w:r>
        <w:rPr>
          <w:rFonts w:ascii="Tahoma" w:hAnsi="Tahoma" w:cs="Tahoma"/>
          <w:sz w:val="19"/>
          <w:szCs w:val="19"/>
        </w:rPr>
        <w:t xml:space="preserve"> </w:t>
      </w:r>
      <w:r w:rsidRPr="008B2024">
        <w:rPr>
          <w:rFonts w:ascii="Tahoma" w:hAnsi="Tahoma" w:cs="Tahoma"/>
          <w:sz w:val="19"/>
          <w:szCs w:val="19"/>
        </w:rPr>
        <w:t>Públicas, organizado pelo Tribunal de</w:t>
      </w:r>
      <w:r>
        <w:rPr>
          <w:rFonts w:ascii="Tahoma" w:hAnsi="Tahoma" w:cs="Tahoma"/>
          <w:sz w:val="19"/>
          <w:szCs w:val="19"/>
        </w:rPr>
        <w:t xml:space="preserve"> </w:t>
      </w:r>
      <w:r w:rsidRPr="008B2024">
        <w:rPr>
          <w:rFonts w:ascii="Tahoma" w:hAnsi="Tahoma" w:cs="Tahoma"/>
          <w:sz w:val="19"/>
          <w:szCs w:val="19"/>
        </w:rPr>
        <w:t>Contas da União (TCU)</w:t>
      </w:r>
      <w:r>
        <w:rPr>
          <w:rFonts w:ascii="Tahoma" w:hAnsi="Tahoma" w:cs="Tahoma"/>
          <w:sz w:val="19"/>
          <w:szCs w:val="19"/>
        </w:rPr>
        <w:t xml:space="preserve"> em </w:t>
      </w:r>
      <w:r w:rsidR="007B6DEF">
        <w:rPr>
          <w:rFonts w:ascii="Tahoma" w:hAnsi="Tahoma" w:cs="Tahoma"/>
          <w:sz w:val="19"/>
          <w:szCs w:val="19"/>
        </w:rPr>
        <w:t xml:space="preserve">2018 e </w:t>
      </w:r>
      <w:r>
        <w:rPr>
          <w:rFonts w:ascii="Tahoma" w:hAnsi="Tahoma" w:cs="Tahoma"/>
          <w:sz w:val="19"/>
          <w:szCs w:val="19"/>
        </w:rPr>
        <w:t xml:space="preserve">2021, avanços na Gestão de Pessoas, na Gestão de TI e na Gestão Orçamentária podem ser encontrados nas seções </w:t>
      </w:r>
      <w:r w:rsidR="00572FD5">
        <w:rPr>
          <w:rFonts w:ascii="Tahoma" w:hAnsi="Tahoma" w:cs="Tahoma"/>
          <w:sz w:val="19"/>
          <w:szCs w:val="19"/>
        </w:rPr>
        <w:t>‘</w:t>
      </w:r>
      <w:r>
        <w:rPr>
          <w:rFonts w:ascii="Tahoma" w:hAnsi="Tahoma" w:cs="Tahoma"/>
          <w:sz w:val="19"/>
          <w:szCs w:val="19"/>
        </w:rPr>
        <w:t>Pessoas</w:t>
      </w:r>
      <w:r w:rsidR="00572FD5">
        <w:rPr>
          <w:rFonts w:ascii="Tahoma" w:hAnsi="Tahoma" w:cs="Tahoma"/>
          <w:sz w:val="19"/>
          <w:szCs w:val="19"/>
        </w:rPr>
        <w:t>’</w:t>
      </w:r>
      <w:r>
        <w:rPr>
          <w:rFonts w:ascii="Tahoma" w:hAnsi="Tahoma" w:cs="Tahoma"/>
          <w:sz w:val="19"/>
          <w:szCs w:val="19"/>
        </w:rPr>
        <w:t xml:space="preserve">, </w:t>
      </w:r>
      <w:r w:rsidR="00572FD5">
        <w:rPr>
          <w:rFonts w:ascii="Tahoma" w:hAnsi="Tahoma" w:cs="Tahoma"/>
          <w:sz w:val="19"/>
          <w:szCs w:val="19"/>
        </w:rPr>
        <w:t>‘</w:t>
      </w:r>
      <w:r>
        <w:rPr>
          <w:rFonts w:ascii="Tahoma" w:hAnsi="Tahoma" w:cs="Tahoma"/>
          <w:sz w:val="19"/>
          <w:szCs w:val="19"/>
        </w:rPr>
        <w:t>Tecnologia da Informação</w:t>
      </w:r>
      <w:r w:rsidR="00572FD5">
        <w:rPr>
          <w:rFonts w:ascii="Tahoma" w:hAnsi="Tahoma" w:cs="Tahoma"/>
          <w:sz w:val="19"/>
          <w:szCs w:val="19"/>
        </w:rPr>
        <w:t>’</w:t>
      </w:r>
      <w:r>
        <w:rPr>
          <w:rFonts w:ascii="Tahoma" w:hAnsi="Tahoma" w:cs="Tahoma"/>
          <w:sz w:val="19"/>
          <w:szCs w:val="19"/>
        </w:rPr>
        <w:t xml:space="preserve"> e </w:t>
      </w:r>
      <w:r w:rsidR="00572FD5">
        <w:rPr>
          <w:rFonts w:ascii="Tahoma" w:hAnsi="Tahoma" w:cs="Tahoma"/>
          <w:sz w:val="19"/>
          <w:szCs w:val="19"/>
        </w:rPr>
        <w:t>‘</w:t>
      </w:r>
      <w:r>
        <w:rPr>
          <w:rFonts w:ascii="Tahoma" w:hAnsi="Tahoma" w:cs="Tahoma"/>
          <w:sz w:val="19"/>
          <w:szCs w:val="19"/>
        </w:rPr>
        <w:t>Custos</w:t>
      </w:r>
      <w:r w:rsidR="00572FD5">
        <w:rPr>
          <w:rFonts w:ascii="Tahoma" w:hAnsi="Tahoma" w:cs="Tahoma"/>
          <w:sz w:val="19"/>
          <w:szCs w:val="19"/>
        </w:rPr>
        <w:t xml:space="preserve">’ no </w:t>
      </w:r>
      <w:r w:rsidR="007B6DEF">
        <w:rPr>
          <w:rFonts w:ascii="Tahoma" w:hAnsi="Tahoma" w:cs="Tahoma"/>
          <w:sz w:val="19"/>
          <w:szCs w:val="19"/>
        </w:rPr>
        <w:t>tópico que trata da Nossa Gestão, n</w:t>
      </w:r>
      <w:r>
        <w:rPr>
          <w:rFonts w:ascii="Tahoma" w:hAnsi="Tahoma" w:cs="Tahoma"/>
          <w:sz w:val="19"/>
          <w:szCs w:val="19"/>
        </w:rPr>
        <w:t>este relatório.</w:t>
      </w:r>
      <w:r w:rsidR="00572FD5">
        <w:rPr>
          <w:rFonts w:ascii="Tahoma" w:hAnsi="Tahoma" w:cs="Tahoma"/>
          <w:sz w:val="19"/>
          <w:szCs w:val="19"/>
        </w:rPr>
        <w:t xml:space="preserve"> Dando continuidade a esse movimento</w:t>
      </w:r>
      <w:r w:rsidR="007B6DEF">
        <w:rPr>
          <w:rFonts w:ascii="Tahoma" w:hAnsi="Tahoma" w:cs="Tahoma"/>
          <w:sz w:val="19"/>
          <w:szCs w:val="19"/>
        </w:rPr>
        <w:t xml:space="preserve"> de aperfeiçoamento </w:t>
      </w:r>
      <w:r w:rsidR="007B6DEF">
        <w:rPr>
          <w:rFonts w:ascii="Tahoma" w:hAnsi="Tahoma" w:cs="Tahoma"/>
          <w:sz w:val="19"/>
          <w:szCs w:val="19"/>
        </w:rPr>
        <w:lastRenderedPageBreak/>
        <w:t>constante</w:t>
      </w:r>
      <w:r w:rsidR="00572FD5">
        <w:rPr>
          <w:rFonts w:ascii="Tahoma" w:hAnsi="Tahoma" w:cs="Tahoma"/>
          <w:sz w:val="19"/>
          <w:szCs w:val="19"/>
        </w:rPr>
        <w:t>, em 2024, vamos participar do levantamento do Í</w:t>
      </w:r>
      <w:r w:rsidR="00572FD5" w:rsidRPr="00572FD5">
        <w:rPr>
          <w:rFonts w:ascii="Tahoma" w:hAnsi="Tahoma" w:cs="Tahoma"/>
          <w:sz w:val="19"/>
          <w:szCs w:val="19"/>
        </w:rPr>
        <w:t xml:space="preserve">ndice de Governança e Sustentabilidade </w:t>
      </w:r>
      <w:r w:rsidR="00572FD5">
        <w:rPr>
          <w:rFonts w:ascii="Tahoma" w:hAnsi="Tahoma" w:cs="Tahoma"/>
          <w:sz w:val="19"/>
          <w:szCs w:val="19"/>
        </w:rPr>
        <w:t>(iESGo), desenvolvido pelo TCU, que incorpora aos temas de Governança e Gestão questões sobre as práticas de sustentabilidade ambiental e social.</w:t>
      </w:r>
    </w:p>
    <w:p w14:paraId="3AC61B54" w14:textId="19FB88EA" w:rsidR="007B6DEF" w:rsidRDefault="00995FD6" w:rsidP="007523A7">
      <w:pPr>
        <w:spacing w:before="120" w:after="120" w:line="360" w:lineRule="auto"/>
        <w:rPr>
          <w:rFonts w:ascii="Tahoma" w:hAnsi="Tahoma" w:cs="Tahoma"/>
          <w:sz w:val="19"/>
          <w:szCs w:val="19"/>
        </w:rPr>
      </w:pPr>
      <w:r>
        <w:rPr>
          <w:rFonts w:ascii="Tahoma" w:hAnsi="Tahoma" w:cs="Tahoma"/>
          <w:sz w:val="19"/>
          <w:szCs w:val="19"/>
        </w:rPr>
        <w:t>Outra</w:t>
      </w:r>
      <w:r w:rsidRPr="009F2E83">
        <w:rPr>
          <w:rFonts w:ascii="Tahoma" w:hAnsi="Tahoma" w:cs="Tahoma"/>
          <w:sz w:val="19"/>
          <w:szCs w:val="19"/>
        </w:rPr>
        <w:t xml:space="preserve"> ação, </w:t>
      </w:r>
      <w:r>
        <w:rPr>
          <w:rFonts w:ascii="Tahoma" w:hAnsi="Tahoma" w:cs="Tahoma"/>
          <w:sz w:val="19"/>
          <w:szCs w:val="19"/>
        </w:rPr>
        <w:t xml:space="preserve">voltada à governança da sustentabilidade na empresa, </w:t>
      </w:r>
      <w:r w:rsidRPr="009F2E83">
        <w:rPr>
          <w:rFonts w:ascii="Tahoma" w:hAnsi="Tahoma" w:cs="Tahoma"/>
          <w:sz w:val="19"/>
          <w:szCs w:val="19"/>
        </w:rPr>
        <w:t>foi a criação do Comitê Executivo de Diversidade e Sustentabilidade</w:t>
      </w:r>
      <w:r w:rsidR="00760CCC">
        <w:rPr>
          <w:rFonts w:ascii="Tahoma" w:hAnsi="Tahoma" w:cs="Tahoma"/>
          <w:sz w:val="19"/>
          <w:szCs w:val="19"/>
        </w:rPr>
        <w:t xml:space="preserve">, </w:t>
      </w:r>
      <w:r w:rsidR="00760CCC" w:rsidRPr="00760CCC">
        <w:rPr>
          <w:rFonts w:ascii="Tahoma" w:hAnsi="Tahoma" w:cs="Tahoma"/>
          <w:sz w:val="19"/>
          <w:szCs w:val="19"/>
        </w:rPr>
        <w:t>órgão permanente de assessoramento da Diretoria</w:t>
      </w:r>
      <w:r w:rsidR="00760CCC">
        <w:rPr>
          <w:rFonts w:ascii="Tahoma" w:hAnsi="Tahoma" w:cs="Tahoma"/>
          <w:sz w:val="19"/>
          <w:szCs w:val="19"/>
        </w:rPr>
        <w:t xml:space="preserve"> </w:t>
      </w:r>
      <w:r w:rsidR="00760CCC" w:rsidRPr="00760CCC">
        <w:rPr>
          <w:rFonts w:ascii="Tahoma" w:hAnsi="Tahoma" w:cs="Tahoma"/>
          <w:sz w:val="19"/>
          <w:szCs w:val="19"/>
        </w:rPr>
        <w:t>Executiva responsável por coordenar e reportar a implementação de ações</w:t>
      </w:r>
      <w:r w:rsidR="00760CCC">
        <w:rPr>
          <w:rFonts w:ascii="Tahoma" w:hAnsi="Tahoma" w:cs="Tahoma"/>
          <w:sz w:val="19"/>
          <w:szCs w:val="19"/>
        </w:rPr>
        <w:t xml:space="preserve"> </w:t>
      </w:r>
      <w:r w:rsidR="00760CCC" w:rsidRPr="00760CCC">
        <w:rPr>
          <w:rFonts w:ascii="Tahoma" w:hAnsi="Tahoma" w:cs="Tahoma"/>
          <w:sz w:val="19"/>
          <w:szCs w:val="19"/>
        </w:rPr>
        <w:t>institucionais relativas à promoção da diversidade e da sustentabilidade</w:t>
      </w:r>
      <w:r w:rsidR="00760CCC">
        <w:rPr>
          <w:rFonts w:ascii="Tahoma" w:hAnsi="Tahoma" w:cs="Tahoma"/>
          <w:sz w:val="19"/>
          <w:szCs w:val="19"/>
        </w:rPr>
        <w:t xml:space="preserve">. A política de promoção à equidade e o comitê de sustentabilidade poderão contar com os princípios e diretrizes expressos na Política de Responsabilidade </w:t>
      </w:r>
      <w:r w:rsidR="00623C5B">
        <w:rPr>
          <w:rFonts w:ascii="Tahoma" w:hAnsi="Tahoma" w:cs="Tahoma"/>
          <w:sz w:val="19"/>
          <w:szCs w:val="19"/>
        </w:rPr>
        <w:t>Socioambiental</w:t>
      </w:r>
      <w:r w:rsidR="00760CCC">
        <w:rPr>
          <w:rFonts w:ascii="Tahoma" w:hAnsi="Tahoma" w:cs="Tahoma"/>
          <w:sz w:val="19"/>
          <w:szCs w:val="19"/>
        </w:rPr>
        <w:t xml:space="preserve"> da empresa.</w:t>
      </w:r>
    </w:p>
    <w:p w14:paraId="47D9A791" w14:textId="77777777" w:rsidR="007B6DEF" w:rsidRDefault="007B6DEF" w:rsidP="007523A7">
      <w:pPr>
        <w:spacing w:before="120" w:after="120" w:line="360" w:lineRule="auto"/>
        <w:rPr>
          <w:rFonts w:ascii="Tahoma" w:hAnsi="Tahoma" w:cs="Tahoma"/>
          <w:sz w:val="19"/>
          <w:szCs w:val="19"/>
        </w:rPr>
      </w:pPr>
    </w:p>
    <w:p w14:paraId="4950B9B9" w14:textId="77777777" w:rsidR="007B6DEF" w:rsidRDefault="007B6DEF" w:rsidP="007523A7">
      <w:pPr>
        <w:spacing w:before="120" w:after="120" w:line="360" w:lineRule="auto"/>
        <w:rPr>
          <w:rFonts w:ascii="Tahoma" w:hAnsi="Tahoma" w:cs="Tahoma"/>
          <w:sz w:val="19"/>
          <w:szCs w:val="19"/>
        </w:rPr>
      </w:pPr>
    </w:p>
    <w:p w14:paraId="3F911405" w14:textId="77777777" w:rsidR="000D6D0A" w:rsidRPr="003D0607" w:rsidRDefault="00BB0E07" w:rsidP="003D0607">
      <w:pPr>
        <w:pStyle w:val="Ttulo2"/>
        <w:spacing w:before="0" w:after="120" w:line="360" w:lineRule="auto"/>
        <w:ind w:left="862" w:hanging="578"/>
        <w:rPr>
          <w:rFonts w:ascii="Tahoma" w:hAnsi="Tahoma" w:cs="Tahoma"/>
          <w:color w:val="0098BA"/>
          <w:sz w:val="24"/>
          <w:szCs w:val="24"/>
        </w:rPr>
      </w:pPr>
      <w:bookmarkStart w:id="164" w:name="_Toc93683636"/>
      <w:bookmarkStart w:id="165" w:name="_Toc94256475"/>
      <w:bookmarkStart w:id="166" w:name="_Toc94278200"/>
      <w:bookmarkStart w:id="167" w:name="_Toc97244807"/>
      <w:bookmarkStart w:id="168" w:name="_Toc105003795"/>
      <w:bookmarkStart w:id="169" w:name="_Toc105006478"/>
      <w:bookmarkStart w:id="170" w:name="_Toc131692250"/>
      <w:bookmarkStart w:id="171" w:name="_Toc163025264"/>
      <w:bookmarkStart w:id="172" w:name="_Toc162512601"/>
      <w:bookmarkEnd w:id="163"/>
      <w:r w:rsidRPr="003D0607">
        <w:rPr>
          <w:rFonts w:ascii="Tahoma" w:hAnsi="Tahoma" w:cs="Tahoma"/>
          <w:color w:val="0098BA"/>
          <w:sz w:val="24"/>
          <w:szCs w:val="24"/>
        </w:rPr>
        <w:t>Ética e Integridade</w:t>
      </w:r>
      <w:bookmarkEnd w:id="164"/>
      <w:bookmarkEnd w:id="165"/>
      <w:bookmarkEnd w:id="166"/>
      <w:bookmarkEnd w:id="167"/>
      <w:bookmarkEnd w:id="168"/>
      <w:bookmarkEnd w:id="169"/>
      <w:bookmarkEnd w:id="170"/>
      <w:bookmarkEnd w:id="171"/>
      <w:bookmarkEnd w:id="172"/>
    </w:p>
    <w:p w14:paraId="0420D3AE" w14:textId="195FCB17"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 xml:space="preserve">A Finep executa de forma permanente ações de fortalecimento e disseminação da cultura institucional centradas na ética, na integridade e na transparência. Para tanto </w:t>
      </w:r>
      <w:r>
        <w:rPr>
          <w:rFonts w:ascii="Tahoma" w:hAnsi="Tahoma" w:cs="Tahoma"/>
          <w:sz w:val="19"/>
          <w:szCs w:val="19"/>
        </w:rPr>
        <w:t>dispomos</w:t>
      </w:r>
      <w:r w:rsidRPr="00344510">
        <w:rPr>
          <w:rFonts w:ascii="Tahoma" w:hAnsi="Tahoma" w:cs="Tahoma"/>
          <w:sz w:val="19"/>
          <w:szCs w:val="19"/>
        </w:rPr>
        <w:t xml:space="preserve"> de arcabouço normativo, com destaque para o </w:t>
      </w:r>
      <w:hyperlink r:id="rId209" w:history="1">
        <w:r w:rsidRPr="00344510">
          <w:rPr>
            <w:rStyle w:val="Hyperlink"/>
            <w:rFonts w:ascii="Tahoma" w:hAnsi="Tahoma" w:cs="Tahoma"/>
            <w:sz w:val="19"/>
            <w:szCs w:val="19"/>
          </w:rPr>
          <w:t>Programa de Integridade</w:t>
        </w:r>
      </w:hyperlink>
      <w:r w:rsidRPr="00344510">
        <w:rPr>
          <w:rFonts w:ascii="Tahoma" w:hAnsi="Tahoma" w:cs="Tahoma"/>
          <w:sz w:val="19"/>
          <w:szCs w:val="19"/>
        </w:rPr>
        <w:t xml:space="preserve">, o </w:t>
      </w:r>
      <w:hyperlink r:id="rId210" w:history="1">
        <w:r w:rsidRPr="00344510">
          <w:rPr>
            <w:rStyle w:val="Hyperlink"/>
            <w:rFonts w:ascii="Tahoma" w:hAnsi="Tahoma" w:cs="Tahoma"/>
            <w:sz w:val="19"/>
            <w:szCs w:val="19"/>
          </w:rPr>
          <w:t>Código de Ética, Conduta e Integridade</w:t>
        </w:r>
      </w:hyperlink>
      <w:r w:rsidRPr="00344510">
        <w:rPr>
          <w:rFonts w:ascii="Tahoma" w:hAnsi="Tahoma" w:cs="Tahoma"/>
          <w:sz w:val="19"/>
          <w:szCs w:val="19"/>
        </w:rPr>
        <w:t>, o Regulamento da Comissão de Ética, a Norma da Comissão de Ética, a Instrução de Trabalho para Tratamento de Brindes, Hospitalidades e Presentes, a Norma de Prevenção de Conflito de Interesses e Informação Privilegiada, a Norma de Prevenção ao Nepotismo, a Política de Conformidade e a Política de Integridade, que estabelecem medidas que visam evitar a ocorrência de irregularidades, em especial, atos de fraude, corrupção, nepotismo e conflito de interesses.</w:t>
      </w:r>
    </w:p>
    <w:p w14:paraId="1EEBD919" w14:textId="77777777"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O ano de 2023 foi marcado pela revisão do Código de Ética, Conduta e Integridade, que passou a contar com dispositivos que:</w:t>
      </w:r>
    </w:p>
    <w:p w14:paraId="2E8C8912" w14:textId="77777777"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(1) remetem à Lei Geral de Proteção de Dados Pessoais – LGPD;</w:t>
      </w:r>
    </w:p>
    <w:p w14:paraId="607345D6" w14:textId="77777777"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(2) abordam a nova realidade laboral introduzida pelo teletrabalho; e</w:t>
      </w:r>
    </w:p>
    <w:p w14:paraId="414B1BD4" w14:textId="68889E2E"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(3) refletem o Decreto 10.889/2021, que regulamenta a Lei 12.813/2013 (Lei de Conflito de Interesses).</w:t>
      </w:r>
    </w:p>
    <w:p w14:paraId="5AF234FA" w14:textId="015305B8" w:rsidR="00F7661E" w:rsidRDefault="00F7661E" w:rsidP="00344510">
      <w:pPr>
        <w:spacing w:before="120" w:after="120" w:line="360" w:lineRule="auto"/>
        <w:rPr>
          <w:rFonts w:ascii="Tahoma" w:hAnsi="Tahoma" w:cs="Tahoma"/>
          <w:sz w:val="19"/>
          <w:szCs w:val="19"/>
        </w:rPr>
      </w:pPr>
    </w:p>
    <w:p w14:paraId="730C5B44" w14:textId="5F9BD949"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A edição anual da capacitação sobre o Código foi organizada em módulos que abordaram além dos temas citamos acima, itens relacionados à Segurança da Informação.</w:t>
      </w:r>
    </w:p>
    <w:p w14:paraId="3B510808" w14:textId="1916CEB2"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Destaca</w:t>
      </w:r>
      <w:r w:rsidR="003569FE">
        <w:rPr>
          <w:rFonts w:ascii="Tahoma" w:hAnsi="Tahoma" w:cs="Tahoma"/>
          <w:sz w:val="19"/>
          <w:szCs w:val="19"/>
        </w:rPr>
        <w:t>mos</w:t>
      </w:r>
      <w:r w:rsidRPr="00344510">
        <w:rPr>
          <w:rFonts w:ascii="Tahoma" w:hAnsi="Tahoma" w:cs="Tahoma"/>
          <w:sz w:val="19"/>
          <w:szCs w:val="19"/>
        </w:rPr>
        <w:t xml:space="preserve"> também a aprovação da Política de Integridade e da Política de Conformidade que detalham</w:t>
      </w:r>
      <w:r w:rsidR="003569FE">
        <w:rPr>
          <w:rFonts w:ascii="Tahoma" w:hAnsi="Tahoma" w:cs="Tahoma"/>
          <w:sz w:val="19"/>
          <w:szCs w:val="19"/>
        </w:rPr>
        <w:t xml:space="preserve"> </w:t>
      </w:r>
      <w:r w:rsidRPr="00344510">
        <w:rPr>
          <w:rFonts w:ascii="Tahoma" w:hAnsi="Tahoma" w:cs="Tahoma"/>
          <w:sz w:val="19"/>
          <w:szCs w:val="19"/>
        </w:rPr>
        <w:t>os temas tratados por cada uma</w:t>
      </w:r>
      <w:r w:rsidR="003569FE">
        <w:rPr>
          <w:rFonts w:ascii="Tahoma" w:hAnsi="Tahoma" w:cs="Tahoma"/>
          <w:sz w:val="19"/>
          <w:szCs w:val="19"/>
        </w:rPr>
        <w:t>. N</w:t>
      </w:r>
      <w:r w:rsidR="003569FE" w:rsidRPr="00344510">
        <w:rPr>
          <w:rFonts w:ascii="Tahoma" w:hAnsi="Tahoma" w:cs="Tahoma"/>
          <w:sz w:val="19"/>
          <w:szCs w:val="19"/>
        </w:rPr>
        <w:t>o caso da Política de Integridade</w:t>
      </w:r>
      <w:r w:rsidRPr="00344510">
        <w:rPr>
          <w:rFonts w:ascii="Tahoma" w:hAnsi="Tahoma" w:cs="Tahoma"/>
          <w:sz w:val="19"/>
          <w:szCs w:val="19"/>
        </w:rPr>
        <w:t xml:space="preserve">, </w:t>
      </w:r>
      <w:r w:rsidR="003569FE">
        <w:rPr>
          <w:rFonts w:ascii="Tahoma" w:hAnsi="Tahoma" w:cs="Tahoma"/>
          <w:sz w:val="19"/>
          <w:szCs w:val="19"/>
        </w:rPr>
        <w:t>são incluídas</w:t>
      </w:r>
      <w:r w:rsidRPr="00344510">
        <w:rPr>
          <w:rFonts w:ascii="Tahoma" w:hAnsi="Tahoma" w:cs="Tahoma"/>
          <w:sz w:val="19"/>
          <w:szCs w:val="19"/>
        </w:rPr>
        <w:t xml:space="preserve"> diretrizes que visam prevenir e combater atos de lavagem de dinheiro, </w:t>
      </w:r>
      <w:r w:rsidR="003569FE">
        <w:rPr>
          <w:rFonts w:ascii="Tahoma" w:hAnsi="Tahoma" w:cs="Tahoma"/>
          <w:sz w:val="19"/>
          <w:szCs w:val="19"/>
        </w:rPr>
        <w:t>que ainda não tinham sido i</w:t>
      </w:r>
      <w:r w:rsidRPr="00344510">
        <w:rPr>
          <w:rFonts w:ascii="Tahoma" w:hAnsi="Tahoma" w:cs="Tahoma"/>
          <w:sz w:val="19"/>
          <w:szCs w:val="19"/>
        </w:rPr>
        <w:t>ncorporad</w:t>
      </w:r>
      <w:r w:rsidR="003569FE">
        <w:rPr>
          <w:rFonts w:ascii="Tahoma" w:hAnsi="Tahoma" w:cs="Tahoma"/>
          <w:sz w:val="19"/>
          <w:szCs w:val="19"/>
        </w:rPr>
        <w:t>o</w:t>
      </w:r>
      <w:r w:rsidRPr="00344510">
        <w:rPr>
          <w:rFonts w:ascii="Tahoma" w:hAnsi="Tahoma" w:cs="Tahoma"/>
          <w:sz w:val="19"/>
          <w:szCs w:val="19"/>
        </w:rPr>
        <w:t xml:space="preserve">s na </w:t>
      </w:r>
      <w:r w:rsidR="003569FE">
        <w:rPr>
          <w:rFonts w:ascii="Tahoma" w:hAnsi="Tahoma" w:cs="Tahoma"/>
          <w:sz w:val="19"/>
          <w:szCs w:val="19"/>
        </w:rPr>
        <w:t>p</w:t>
      </w:r>
      <w:r w:rsidRPr="00344510">
        <w:rPr>
          <w:rFonts w:ascii="Tahoma" w:hAnsi="Tahoma" w:cs="Tahoma"/>
          <w:sz w:val="19"/>
          <w:szCs w:val="19"/>
        </w:rPr>
        <w:t>olítica anterior, que contemplava as questões de Integridade e Conformidade de forma consolidada.</w:t>
      </w:r>
    </w:p>
    <w:p w14:paraId="6073CD80" w14:textId="368E33AA"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Somando-se a isso, foram realizadas diversas ações de disseminação sobre os temas Ética e Integridade, como encontros de ambientação com novos colaboradores, gestores e membros da alta administração recém-nomeados para seus cargos.</w:t>
      </w:r>
    </w:p>
    <w:p w14:paraId="64DE0501" w14:textId="7F899909"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lastRenderedPageBreak/>
        <w:t>Outras ações de disseminação que merecem destaque são as publicações específicas, como o Boletim Integridade em Pauta, o Minuto da Ética (adaptado de produção da Comissão de Ética da Pública – CEP)</w:t>
      </w:r>
      <w:r w:rsidR="0077152B">
        <w:rPr>
          <w:rFonts w:ascii="Tahoma" w:hAnsi="Tahoma" w:cs="Tahoma"/>
          <w:sz w:val="19"/>
          <w:szCs w:val="19"/>
        </w:rPr>
        <w:t>. Complementarmente foram produzidas e divulgadas</w:t>
      </w:r>
      <w:r w:rsidRPr="00344510">
        <w:rPr>
          <w:rFonts w:ascii="Tahoma" w:hAnsi="Tahoma" w:cs="Tahoma"/>
          <w:sz w:val="19"/>
          <w:szCs w:val="19"/>
        </w:rPr>
        <w:t xml:space="preserve"> matérias na </w:t>
      </w:r>
      <w:r w:rsidR="0077152B">
        <w:rPr>
          <w:rFonts w:ascii="Tahoma" w:hAnsi="Tahoma" w:cs="Tahoma"/>
          <w:sz w:val="19"/>
          <w:szCs w:val="19"/>
        </w:rPr>
        <w:t xml:space="preserve">nossa </w:t>
      </w:r>
      <w:r w:rsidRPr="00344510">
        <w:rPr>
          <w:rFonts w:ascii="Tahoma" w:hAnsi="Tahoma" w:cs="Tahoma"/>
          <w:sz w:val="19"/>
          <w:szCs w:val="19"/>
        </w:rPr>
        <w:t xml:space="preserve">intranet e </w:t>
      </w:r>
      <w:r w:rsidR="0077152B">
        <w:rPr>
          <w:rFonts w:ascii="Tahoma" w:hAnsi="Tahoma" w:cs="Tahoma"/>
          <w:sz w:val="19"/>
          <w:szCs w:val="19"/>
        </w:rPr>
        <w:t>distribuídos</w:t>
      </w:r>
      <w:r w:rsidRPr="00344510">
        <w:rPr>
          <w:rFonts w:ascii="Tahoma" w:hAnsi="Tahoma" w:cs="Tahoma"/>
          <w:sz w:val="19"/>
          <w:szCs w:val="19"/>
        </w:rPr>
        <w:t xml:space="preserve"> materiais de campanha</w:t>
      </w:r>
      <w:r w:rsidR="0077152B">
        <w:rPr>
          <w:rFonts w:ascii="Tahoma" w:hAnsi="Tahoma" w:cs="Tahoma"/>
          <w:sz w:val="19"/>
          <w:szCs w:val="19"/>
        </w:rPr>
        <w:t>s</w:t>
      </w:r>
      <w:r w:rsidRPr="00344510">
        <w:rPr>
          <w:rFonts w:ascii="Tahoma" w:hAnsi="Tahoma" w:cs="Tahoma"/>
          <w:sz w:val="19"/>
          <w:szCs w:val="19"/>
        </w:rPr>
        <w:t xml:space="preserve"> destacando a importância dos temas Ética, Integridade, Gestão de Riscos e Segurança da Informação, Lei Geral de Proteção de Dados e Correição.</w:t>
      </w:r>
    </w:p>
    <w:p w14:paraId="39766883" w14:textId="77777777"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A Comissão de Ética também manteve participação ativa no Fórum Nacional da Ética nas Empresas Estatais, inclusive coordenando Grupo de Trabalho de combate ao assédio e à discriminação.</w:t>
      </w:r>
    </w:p>
    <w:p w14:paraId="68A9879B" w14:textId="77777777" w:rsidR="00344510" w:rsidRP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Outra atividade importante, e que foi intensificada no período, está relacionada ao apoio dado ao Comitê de Pessoas, Elegibilidade, Sucessão e Remuneração que é responsável por opinar, de modo a auxiliar a União na indicação de membros do Conselho de Administração e Conselheiros Fiscais, sobre o preenchimento dos requisitos e a ausência de vedações para as respectivas eleições, considerando as mudanças ocorridas na gestão da Empresa.</w:t>
      </w:r>
    </w:p>
    <w:p w14:paraId="305FBA70" w14:textId="12975EF3" w:rsidR="00344510" w:rsidRDefault="00344510" w:rsidP="00344510">
      <w:pPr>
        <w:spacing w:before="120" w:after="120" w:line="360" w:lineRule="auto"/>
        <w:rPr>
          <w:rFonts w:ascii="Tahoma" w:hAnsi="Tahoma" w:cs="Tahoma"/>
          <w:sz w:val="19"/>
          <w:szCs w:val="19"/>
        </w:rPr>
      </w:pPr>
      <w:r w:rsidRPr="00344510">
        <w:rPr>
          <w:rFonts w:ascii="Tahoma" w:hAnsi="Tahoma" w:cs="Tahoma"/>
          <w:sz w:val="19"/>
          <w:szCs w:val="19"/>
        </w:rPr>
        <w:t>Informações sobre a atuação da Comissão de Ética podem ser acessadas em:</w:t>
      </w:r>
      <w:r w:rsidR="0077152B">
        <w:rPr>
          <w:rFonts w:ascii="Tahoma" w:hAnsi="Tahoma" w:cs="Tahoma"/>
          <w:sz w:val="19"/>
          <w:szCs w:val="19"/>
        </w:rPr>
        <w:t xml:space="preserve"> </w:t>
      </w:r>
      <w:hyperlink r:id="rId211" w:history="1">
        <w:r w:rsidR="0077152B" w:rsidRPr="00E7794C">
          <w:rPr>
            <w:rStyle w:val="Hyperlink"/>
            <w:rFonts w:ascii="Tahoma" w:hAnsi="Tahoma" w:cs="Tahoma"/>
            <w:sz w:val="19"/>
            <w:szCs w:val="19"/>
          </w:rPr>
          <w:t>www.finep.gov.br/afinep/16-comissao-de-etica</w:t>
        </w:r>
      </w:hyperlink>
      <w:r w:rsidR="0077152B">
        <w:rPr>
          <w:rFonts w:ascii="Tahoma" w:hAnsi="Tahoma" w:cs="Tahoma"/>
          <w:sz w:val="19"/>
          <w:szCs w:val="19"/>
        </w:rPr>
        <w: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6"/>
        <w:gridCol w:w="3420"/>
      </w:tblGrid>
      <w:tr w:rsidR="007B6DEF" w14:paraId="6EA4D6EF" w14:textId="77777777" w:rsidTr="007B6DEF">
        <w:tc>
          <w:tcPr>
            <w:tcW w:w="4558" w:type="dxa"/>
          </w:tcPr>
          <w:p w14:paraId="5C9F0473" w14:textId="29B8774E" w:rsidR="007B6DEF" w:rsidRDefault="007B6DEF" w:rsidP="007B6DEF">
            <w:pPr>
              <w:spacing w:before="120" w:after="120" w:line="360" w:lineRule="auto"/>
              <w:jc w:val="center"/>
              <w:rPr>
                <w:rFonts w:ascii="Tahoma" w:hAnsi="Tahoma" w:cs="Tahoma"/>
                <w:color w:val="0098BA"/>
                <w:sz w:val="19"/>
                <w:szCs w:val="19"/>
              </w:rPr>
            </w:pPr>
            <w:r w:rsidRPr="0077152B">
              <w:rPr>
                <w:rFonts w:ascii="Tahoma" w:hAnsi="Tahoma" w:cs="Tahoma"/>
                <w:color w:val="0098BA"/>
                <w:sz w:val="19"/>
                <w:szCs w:val="19"/>
              </w:rPr>
              <w:t>Dimensões do Programa de Integridade da Finep</w:t>
            </w:r>
          </w:p>
          <w:p w14:paraId="5BF026BB" w14:textId="77777777" w:rsidR="007B6DEF" w:rsidRDefault="007B6DEF" w:rsidP="007B6DEF">
            <w:pPr>
              <w:spacing w:before="120" w:after="120" w:line="360" w:lineRule="auto"/>
              <w:jc w:val="center"/>
              <w:rPr>
                <w:rFonts w:ascii="Tahoma" w:hAnsi="Tahoma" w:cs="Tahoma"/>
                <w:color w:val="0098BA"/>
                <w:sz w:val="19"/>
                <w:szCs w:val="19"/>
              </w:rPr>
            </w:pPr>
          </w:p>
          <w:p w14:paraId="753E5747" w14:textId="07BFB1A0" w:rsidR="007B6DEF" w:rsidRDefault="007B6DEF" w:rsidP="007B6DEF">
            <w:pPr>
              <w:spacing w:before="120" w:after="120" w:line="360" w:lineRule="auto"/>
              <w:jc w:val="center"/>
              <w:rPr>
                <w:rFonts w:ascii="Tahoma" w:hAnsi="Tahoma" w:cs="Tahoma"/>
                <w:sz w:val="19"/>
                <w:szCs w:val="19"/>
              </w:rPr>
            </w:pPr>
            <w:r w:rsidRPr="0077152B">
              <w:rPr>
                <w:rFonts w:ascii="Tahoma" w:hAnsi="Tahoma" w:cs="Tahoma"/>
                <w:noProof/>
                <w:color w:val="2B579A"/>
                <w:sz w:val="19"/>
                <w:szCs w:val="19"/>
                <w:shd w:val="clear" w:color="auto" w:fill="E6E6E6"/>
              </w:rPr>
              <w:drawing>
                <wp:inline distT="0" distB="0" distL="0" distR="0" wp14:anchorId="1BAB11D6" wp14:editId="3FF442BA">
                  <wp:extent cx="3481754" cy="2057129"/>
                  <wp:effectExtent l="0" t="0" r="4445" b="635"/>
                  <wp:docPr id="1325575198" name="Picture 246" descr="Integridade"/>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l="-1" r="4094" b="3341"/>
                          <a:stretch/>
                        </pic:blipFill>
                        <pic:spPr bwMode="auto">
                          <a:xfrm>
                            <a:off x="0" y="0"/>
                            <a:ext cx="3495260" cy="20651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58" w:type="dxa"/>
          </w:tcPr>
          <w:p w14:paraId="22275DAD" w14:textId="77777777" w:rsidR="007B6DEF" w:rsidRDefault="007B6DEF" w:rsidP="007B6DEF">
            <w:pPr>
              <w:spacing w:before="120" w:after="120" w:line="360" w:lineRule="auto"/>
              <w:jc w:val="center"/>
              <w:rPr>
                <w:rFonts w:ascii="Tahoma" w:hAnsi="Tahoma" w:cs="Tahoma"/>
                <w:color w:val="0098BA"/>
                <w:sz w:val="19"/>
                <w:szCs w:val="19"/>
              </w:rPr>
            </w:pPr>
            <w:r w:rsidRPr="0077152B">
              <w:rPr>
                <w:rFonts w:ascii="Tahoma" w:hAnsi="Tahoma" w:cs="Tahoma"/>
                <w:color w:val="0098BA"/>
                <w:sz w:val="19"/>
                <w:szCs w:val="19"/>
              </w:rPr>
              <w:t>Código de Ética, Conduta e Integridade (revisto em 2023)</w:t>
            </w:r>
          </w:p>
          <w:p w14:paraId="73A7278A" w14:textId="46531BBF" w:rsidR="007B6DEF" w:rsidRDefault="007B6DEF" w:rsidP="007B6DEF">
            <w:pPr>
              <w:jc w:val="center"/>
              <w:rPr>
                <w:rFonts w:ascii="Tahoma" w:hAnsi="Tahoma" w:cs="Tahoma"/>
                <w:sz w:val="19"/>
                <w:szCs w:val="19"/>
              </w:rPr>
            </w:pPr>
            <w:r w:rsidRPr="0077152B">
              <w:rPr>
                <w:rFonts w:ascii="Tahoma" w:hAnsi="Tahoma" w:cs="Tahoma"/>
                <w:noProof/>
                <w:sz w:val="19"/>
                <w:szCs w:val="19"/>
              </w:rPr>
              <w:drawing>
                <wp:inline distT="0" distB="0" distL="0" distR="0" wp14:anchorId="7D5C3B1C" wp14:editId="3D3E3937">
                  <wp:extent cx="1771656" cy="2516429"/>
                  <wp:effectExtent l="0" t="0" r="0" b="0"/>
                  <wp:docPr id="1678987839" name="Imagem 1" descr="Pessoas sentadas ao redor de um computador com a imagem de uma pesso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87839" name="Imagem 1" descr="Pessoas sentadas ao redor de um computador com a imagem de uma pessoa&#10;&#10;Descrição gerada automaticamente com confiança média"/>
                          <pic:cNvPicPr/>
                        </pic:nvPicPr>
                        <pic:blipFill>
                          <a:blip r:embed="rId213"/>
                          <a:stretch>
                            <a:fillRect/>
                          </a:stretch>
                        </pic:blipFill>
                        <pic:spPr>
                          <a:xfrm>
                            <a:off x="0" y="0"/>
                            <a:ext cx="1790080" cy="2542598"/>
                          </a:xfrm>
                          <a:prstGeom prst="rect">
                            <a:avLst/>
                          </a:prstGeom>
                        </pic:spPr>
                      </pic:pic>
                    </a:graphicData>
                  </a:graphic>
                </wp:inline>
              </w:drawing>
            </w:r>
          </w:p>
        </w:tc>
      </w:tr>
    </w:tbl>
    <w:p w14:paraId="076B574E" w14:textId="77777777" w:rsidR="007B6DEF" w:rsidRDefault="007B6DEF" w:rsidP="00344510">
      <w:pPr>
        <w:spacing w:before="120" w:after="120" w:line="360" w:lineRule="auto"/>
        <w:rPr>
          <w:rFonts w:ascii="Tahoma" w:hAnsi="Tahoma" w:cs="Tahoma"/>
          <w:sz w:val="19"/>
          <w:szCs w:val="19"/>
        </w:rPr>
      </w:pPr>
    </w:p>
    <w:p w14:paraId="0BCC53CB" w14:textId="77777777" w:rsidR="007B6DEF" w:rsidRDefault="007B6DEF" w:rsidP="00344510">
      <w:pPr>
        <w:spacing w:before="120" w:after="120" w:line="360" w:lineRule="auto"/>
        <w:rPr>
          <w:rFonts w:ascii="Tahoma" w:hAnsi="Tahoma" w:cs="Tahoma"/>
          <w:sz w:val="19"/>
          <w:szCs w:val="19"/>
        </w:rPr>
      </w:pPr>
    </w:p>
    <w:p w14:paraId="1A01BEFF" w14:textId="6B1B7EC1" w:rsidR="0077152B" w:rsidRPr="0077152B" w:rsidRDefault="0077152B" w:rsidP="00254F4A">
      <w:pPr>
        <w:spacing w:before="120" w:after="120" w:line="360" w:lineRule="auto"/>
        <w:rPr>
          <w:rFonts w:ascii="Tahoma" w:hAnsi="Tahoma" w:cs="Tahoma"/>
          <w:sz w:val="19"/>
          <w:szCs w:val="19"/>
        </w:rPr>
      </w:pPr>
    </w:p>
    <w:p w14:paraId="786871CE" w14:textId="47B3ABE5" w:rsidR="0077152B" w:rsidRPr="0077152B" w:rsidRDefault="0077152B" w:rsidP="00344510">
      <w:pPr>
        <w:spacing w:before="120" w:after="120" w:line="360" w:lineRule="auto"/>
        <w:rPr>
          <w:rFonts w:ascii="Tahoma" w:hAnsi="Tahoma" w:cs="Tahoma"/>
          <w:sz w:val="19"/>
          <w:szCs w:val="19"/>
        </w:rPr>
      </w:pPr>
    </w:p>
    <w:p w14:paraId="1C2AABB6" w14:textId="08AEA58C" w:rsidR="00344510" w:rsidRDefault="00344510" w:rsidP="00344510">
      <w:pPr>
        <w:spacing w:before="120" w:after="120" w:line="360" w:lineRule="auto"/>
        <w:rPr>
          <w:rFonts w:ascii="Tahoma" w:hAnsi="Tahoma" w:cs="Tahoma"/>
          <w:sz w:val="19"/>
          <w:szCs w:val="19"/>
        </w:rPr>
      </w:pPr>
    </w:p>
    <w:p w14:paraId="2ECD5D76" w14:textId="6BC1FF58" w:rsidR="00F7661E" w:rsidRDefault="00F7661E">
      <w:pPr>
        <w:autoSpaceDN w:val="0"/>
        <w:spacing w:after="160"/>
        <w:textAlignment w:val="baseline"/>
        <w:rPr>
          <w:rFonts w:ascii="Tahoma" w:hAnsi="Tahoma" w:cs="Tahoma"/>
          <w:sz w:val="19"/>
          <w:szCs w:val="19"/>
        </w:rPr>
      </w:pPr>
      <w:r>
        <w:rPr>
          <w:rFonts w:ascii="Tahoma" w:hAnsi="Tahoma" w:cs="Tahoma"/>
          <w:sz w:val="19"/>
          <w:szCs w:val="19"/>
        </w:rPr>
        <w:br w:type="page"/>
      </w:r>
    </w:p>
    <w:p w14:paraId="192014D2" w14:textId="3041F669" w:rsidR="000D6D0A" w:rsidRPr="003D0607" w:rsidRDefault="00BB0E07" w:rsidP="003D0607">
      <w:pPr>
        <w:pStyle w:val="Ttulo2"/>
        <w:spacing w:before="0" w:after="120" w:line="360" w:lineRule="auto"/>
        <w:ind w:left="862" w:hanging="578"/>
        <w:rPr>
          <w:rFonts w:ascii="Tahoma" w:hAnsi="Tahoma" w:cs="Tahoma"/>
          <w:color w:val="0098BA"/>
          <w:sz w:val="24"/>
          <w:szCs w:val="24"/>
        </w:rPr>
      </w:pPr>
      <w:bookmarkStart w:id="173" w:name="_Toc131692251"/>
      <w:bookmarkStart w:id="174" w:name="_Toc163025265"/>
      <w:bookmarkStart w:id="175" w:name="_Toc162512602"/>
      <w:bookmarkStart w:id="176" w:name="_Toc93683637"/>
      <w:bookmarkStart w:id="177" w:name="_Toc94256476"/>
      <w:bookmarkStart w:id="178" w:name="_Toc94278201"/>
      <w:bookmarkStart w:id="179" w:name="_Toc97244808"/>
      <w:bookmarkStart w:id="180" w:name="_Toc105003796"/>
      <w:bookmarkStart w:id="181" w:name="_Toc105006479"/>
      <w:bookmarkStart w:id="182" w:name="_Toc128382268"/>
      <w:r w:rsidRPr="003D0607">
        <w:rPr>
          <w:rFonts w:ascii="Tahoma" w:hAnsi="Tahoma" w:cs="Tahoma"/>
          <w:color w:val="0098BA"/>
          <w:sz w:val="24"/>
          <w:szCs w:val="24"/>
        </w:rPr>
        <w:lastRenderedPageBreak/>
        <w:t>Supervisão, controle e correição</w:t>
      </w:r>
      <w:bookmarkEnd w:id="173"/>
      <w:bookmarkEnd w:id="174"/>
      <w:bookmarkEnd w:id="175"/>
    </w:p>
    <w:p w14:paraId="7ECB7E99" w14:textId="77777777" w:rsidR="000D6D0A" w:rsidRPr="000479AC" w:rsidRDefault="00BB0E07">
      <w:pPr>
        <w:rPr>
          <w:rFonts w:ascii="Tahoma" w:hAnsi="Tahoma" w:cs="Tahoma"/>
          <w:color w:val="0098BA"/>
          <w:sz w:val="19"/>
          <w:szCs w:val="19"/>
        </w:rPr>
      </w:pPr>
      <w:r w:rsidRPr="000479AC">
        <w:rPr>
          <w:rFonts w:ascii="Tahoma" w:hAnsi="Tahoma" w:cs="Tahoma"/>
          <w:color w:val="0098BA"/>
          <w:sz w:val="19"/>
          <w:szCs w:val="19"/>
        </w:rPr>
        <w:t>Ações de supervisão e controle</w:t>
      </w:r>
    </w:p>
    <w:p w14:paraId="118AA074" w14:textId="3AE2DDDF" w:rsidR="000479AC" w:rsidRDefault="000479AC">
      <w:pPr>
        <w:spacing w:before="120" w:after="120" w:line="360" w:lineRule="auto"/>
        <w:rPr>
          <w:rFonts w:ascii="Tahoma" w:hAnsi="Tahoma" w:cs="Tahoma"/>
          <w:sz w:val="19"/>
          <w:szCs w:val="19"/>
        </w:rPr>
      </w:pPr>
      <w:r w:rsidRPr="000479AC">
        <w:rPr>
          <w:rFonts w:ascii="Tahoma" w:hAnsi="Tahoma" w:cs="Tahoma"/>
          <w:sz w:val="19"/>
          <w:szCs w:val="19"/>
        </w:rPr>
        <w:t xml:space="preserve">A Auditoria Interna emitiu, no exercício de 2023, </w:t>
      </w:r>
      <w:r>
        <w:rPr>
          <w:rFonts w:ascii="Tahoma" w:hAnsi="Tahoma" w:cs="Tahoma"/>
          <w:sz w:val="19"/>
          <w:szCs w:val="19"/>
        </w:rPr>
        <w:t>onze</w:t>
      </w:r>
      <w:r w:rsidRPr="000479AC">
        <w:rPr>
          <w:rFonts w:ascii="Tahoma" w:hAnsi="Tahoma" w:cs="Tahoma"/>
          <w:sz w:val="19"/>
          <w:szCs w:val="19"/>
        </w:rPr>
        <w:t xml:space="preserve"> Relatórios com os resultados de serviços de auditoria sobre a adequação dos controles internos das Demonstrações Contábeis; seleção de convênios; licitações e contratos; apuração dos indicadores utilizados para pagamento de Participação nos Lucros e Resultados dos empregados (PLR) e Remuneração Variável Anual dos dirigentes (RVA) e autoavaliação da maturidade organizacional da atividade de auditoria interna com base no modelo IA-CM. </w:t>
      </w:r>
    </w:p>
    <w:p w14:paraId="344CD32F" w14:textId="43510FD4" w:rsidR="000479AC" w:rsidRDefault="000479AC">
      <w:pPr>
        <w:spacing w:before="120" w:after="120" w:line="360" w:lineRule="auto"/>
        <w:rPr>
          <w:rFonts w:ascii="Tahoma" w:hAnsi="Tahoma" w:cs="Tahoma"/>
          <w:sz w:val="19"/>
          <w:szCs w:val="19"/>
        </w:rPr>
      </w:pPr>
      <w:r w:rsidRPr="000479AC">
        <w:rPr>
          <w:rFonts w:ascii="Tahoma" w:hAnsi="Tahoma" w:cs="Tahoma"/>
          <w:sz w:val="19"/>
          <w:szCs w:val="19"/>
        </w:rPr>
        <w:t xml:space="preserve">Esses trabalhos resultaram em recomendações para aprimoramento dos controles internos relativos às respectivas áreas. Também foram emitidas </w:t>
      </w:r>
      <w:r>
        <w:rPr>
          <w:rFonts w:ascii="Tahoma" w:hAnsi="Tahoma" w:cs="Tahoma"/>
          <w:sz w:val="19"/>
          <w:szCs w:val="19"/>
        </w:rPr>
        <w:t>onze</w:t>
      </w:r>
      <w:r w:rsidRPr="000479AC">
        <w:rPr>
          <w:rFonts w:ascii="Tahoma" w:hAnsi="Tahoma" w:cs="Tahoma"/>
          <w:sz w:val="19"/>
          <w:szCs w:val="19"/>
        </w:rPr>
        <w:t xml:space="preserve"> Notas Técnicas abordando, entre outros assuntos, o monitoramento das recomendações de auditoria e a revisão dos cálculos e condicionantes referentes à Remuneração Variável Anual (RVA) e Participação nos Lucros ou Resultados (PLR). No tocante ao aprimoramento da gestão das atividades da unidade de auditoria interna, foi aperfeiçoada a utilização do Sistema e-Aud, de propriedade da Controladoria-Geral da União</w:t>
      </w:r>
      <w:r>
        <w:rPr>
          <w:rFonts w:ascii="Tahoma" w:hAnsi="Tahoma" w:cs="Tahoma"/>
          <w:sz w:val="19"/>
          <w:szCs w:val="19"/>
        </w:rPr>
        <w:t xml:space="preserve"> (</w:t>
      </w:r>
      <w:r w:rsidRPr="000479AC">
        <w:rPr>
          <w:rFonts w:ascii="Tahoma" w:hAnsi="Tahoma" w:cs="Tahoma"/>
          <w:sz w:val="19"/>
          <w:szCs w:val="19"/>
        </w:rPr>
        <w:t>CGU</w:t>
      </w:r>
      <w:r>
        <w:rPr>
          <w:rFonts w:ascii="Tahoma" w:hAnsi="Tahoma" w:cs="Tahoma"/>
          <w:sz w:val="19"/>
          <w:szCs w:val="19"/>
        </w:rPr>
        <w:t>)</w:t>
      </w:r>
      <w:r w:rsidRPr="000479AC">
        <w:rPr>
          <w:rFonts w:ascii="Tahoma" w:hAnsi="Tahoma" w:cs="Tahoma"/>
          <w:sz w:val="19"/>
          <w:szCs w:val="19"/>
        </w:rPr>
        <w:t>, pelas unidades da Finep.</w:t>
      </w:r>
    </w:p>
    <w:p w14:paraId="182F9AA4" w14:textId="2CDCFB82" w:rsidR="000479AC" w:rsidRDefault="00B73A55">
      <w:pPr>
        <w:spacing w:before="120" w:after="120" w:line="360" w:lineRule="auto"/>
        <w:rPr>
          <w:rFonts w:ascii="Tahoma" w:hAnsi="Tahoma" w:cs="Tahoma"/>
          <w:sz w:val="19"/>
          <w:szCs w:val="19"/>
        </w:rPr>
      </w:pPr>
      <w:r w:rsidRPr="00210336">
        <w:rPr>
          <w:rFonts w:ascii="Tahoma" w:hAnsi="Tahoma" w:cs="Tahoma"/>
          <w:noProof/>
          <w:sz w:val="22"/>
          <w:szCs w:val="22"/>
        </w:rPr>
        <mc:AlternateContent>
          <mc:Choice Requires="wps">
            <w:drawing>
              <wp:anchor distT="0" distB="0" distL="114300" distR="114300" simplePos="0" relativeHeight="251836416" behindDoc="0" locked="0" layoutInCell="1" allowOverlap="1" wp14:anchorId="34A98677" wp14:editId="02E4DFB3">
                <wp:simplePos x="0" y="0"/>
                <wp:positionH relativeFrom="column">
                  <wp:posOffset>1154875</wp:posOffset>
                </wp:positionH>
                <wp:positionV relativeFrom="paragraph">
                  <wp:posOffset>-1023</wp:posOffset>
                </wp:positionV>
                <wp:extent cx="4185269" cy="403761"/>
                <wp:effectExtent l="0" t="0" r="6350" b="0"/>
                <wp:wrapNone/>
                <wp:docPr id="863559655" name="Text Box 237"/>
                <wp:cNvGraphicFramePr/>
                <a:graphic xmlns:a="http://schemas.openxmlformats.org/drawingml/2006/main">
                  <a:graphicData uri="http://schemas.microsoft.com/office/word/2010/wordprocessingShape">
                    <wps:wsp>
                      <wps:cNvSpPr txBox="1"/>
                      <wps:spPr>
                        <a:xfrm>
                          <a:off x="0" y="0"/>
                          <a:ext cx="4185269" cy="403761"/>
                        </a:xfrm>
                        <a:prstGeom prst="rect">
                          <a:avLst/>
                        </a:prstGeom>
                        <a:solidFill>
                          <a:srgbClr val="0098BA">
                            <a:alpha val="25098"/>
                          </a:srgbClr>
                        </a:solidFill>
                        <a:ln w="6345">
                          <a:noFill/>
                          <a:prstDash val="dash"/>
                        </a:ln>
                      </wps:spPr>
                      <wps:txbx>
                        <w:txbxContent>
                          <w:p w14:paraId="4FEE356D" w14:textId="28F0435A" w:rsidR="00B73A55" w:rsidRPr="00B73A55" w:rsidRDefault="00B73A55" w:rsidP="00B73A55">
                            <w:pPr>
                              <w:jc w:val="right"/>
                              <w:rPr>
                                <w:rFonts w:ascii="Tahoma" w:hAnsi="Tahoma" w:cs="Tahoma"/>
                                <w:sz w:val="16"/>
                                <w:szCs w:val="16"/>
                              </w:rPr>
                            </w:pPr>
                            <w:r w:rsidRPr="00B73A55">
                              <w:rPr>
                                <w:rFonts w:ascii="Tahoma" w:hAnsi="Tahoma" w:cs="Tahoma"/>
                                <w:sz w:val="16"/>
                                <w:szCs w:val="16"/>
                              </w:rPr>
                              <w:t xml:space="preserve">Mais informações podem ser encontradas em </w:t>
                            </w:r>
                            <w:hyperlink r:id="rId214" w:history="1">
                              <w:r w:rsidRPr="00E7794C">
                                <w:rPr>
                                  <w:rStyle w:val="Hyperlink"/>
                                  <w:rFonts w:ascii="Tahoma" w:hAnsi="Tahoma" w:cs="Tahoma"/>
                                  <w:sz w:val="16"/>
                                  <w:szCs w:val="16"/>
                                </w:rPr>
                                <w:t>http://www.finep.gov.br/acoes-correicao</w:t>
                              </w:r>
                            </w:hyperlink>
                          </w:p>
                          <w:p w14:paraId="7C7B9A57" w14:textId="2A7D2206" w:rsidR="00B73A55" w:rsidRPr="0082438F" w:rsidRDefault="00B73A55" w:rsidP="00B73A55">
                            <w:pPr>
                              <w:jc w:val="right"/>
                              <w:rPr>
                                <w:rFonts w:ascii="Tahoma" w:hAnsi="Tahoma" w:cs="Tahoma"/>
                                <w:sz w:val="16"/>
                                <w:szCs w:val="16"/>
                              </w:rPr>
                            </w:pPr>
                            <w:r w:rsidRPr="00B73A55">
                              <w:rPr>
                                <w:rFonts w:ascii="Tahoma" w:hAnsi="Tahoma" w:cs="Tahoma"/>
                                <w:sz w:val="16"/>
                                <w:szCs w:val="16"/>
                              </w:rPr>
                              <w:t xml:space="preserve"> e </w:t>
                            </w:r>
                            <w:hyperlink r:id="rId215" w:history="1">
                              <w:r w:rsidRPr="00E7794C">
                                <w:rPr>
                                  <w:rStyle w:val="Hyperlink"/>
                                  <w:rFonts w:ascii="Tahoma" w:hAnsi="Tahoma" w:cs="Tahoma"/>
                                  <w:sz w:val="16"/>
                                  <w:szCs w:val="16"/>
                                </w:rPr>
                                <w:t>http://www.finep.gov.br/auditoria</w:t>
                              </w:r>
                            </w:hyperlink>
                            <w:r>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34A98677" id="_x0000_s1050" type="#_x0000_t202" style="position:absolute;margin-left:90.95pt;margin-top:-.1pt;width:329.55pt;height:31.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" fillcolor="#0098ba" stroked="f" strokeweight=".17625mm">
                <v:fill opacity="16448f"/>
                <v:stroke dashstyle="dash"/>
                <v:textbox>
                  <w:txbxContent>
                    <w:p w14:paraId="4FEE356D" w14:textId="28F0435A" w:rsidR="00B73A55" w:rsidRPr="00B73A55" w:rsidRDefault="00B73A55" w:rsidP="00B73A55">
                      <w:pPr>
                        <w:jc w:val="right"/>
                        <w:rPr>
                          <w:rFonts w:ascii="Tahoma" w:hAnsi="Tahoma" w:cs="Tahoma"/>
                          <w:sz w:val="16"/>
                          <w:szCs w:val="16"/>
                        </w:rPr>
                      </w:pPr>
                      <w:r w:rsidRPr="00B73A55">
                        <w:rPr>
                          <w:rFonts w:ascii="Tahoma" w:hAnsi="Tahoma" w:cs="Tahoma"/>
                          <w:sz w:val="16"/>
                          <w:szCs w:val="16"/>
                        </w:rPr>
                        <w:t xml:space="preserve">Mais informações podem ser encontradas em </w:t>
                      </w:r>
                      <w:hyperlink r:id="rId216" w:history="1">
                        <w:r w:rsidRPr="00E7794C">
                          <w:rPr>
                            <w:rStyle w:val="Hyperlink"/>
                            <w:rFonts w:ascii="Tahoma" w:hAnsi="Tahoma" w:cs="Tahoma"/>
                            <w:sz w:val="16"/>
                            <w:szCs w:val="16"/>
                          </w:rPr>
                          <w:t>http://www.finep.gov.br/acoes-correicao</w:t>
                        </w:r>
                      </w:hyperlink>
                    </w:p>
                    <w:p w14:paraId="7C7B9A57" w14:textId="2A7D2206" w:rsidR="00B73A55" w:rsidRPr="0082438F" w:rsidRDefault="00B73A55" w:rsidP="00B73A55">
                      <w:pPr>
                        <w:jc w:val="right"/>
                        <w:rPr>
                          <w:rFonts w:ascii="Tahoma" w:hAnsi="Tahoma" w:cs="Tahoma"/>
                          <w:sz w:val="16"/>
                          <w:szCs w:val="16"/>
                        </w:rPr>
                      </w:pPr>
                      <w:r w:rsidRPr="00B73A55">
                        <w:rPr>
                          <w:rFonts w:ascii="Tahoma" w:hAnsi="Tahoma" w:cs="Tahoma"/>
                          <w:sz w:val="16"/>
                          <w:szCs w:val="16"/>
                        </w:rPr>
                        <w:t xml:space="preserve"> e </w:t>
                      </w:r>
                      <w:hyperlink r:id="rId217" w:history="1">
                        <w:r w:rsidRPr="00E7794C">
                          <w:rPr>
                            <w:rStyle w:val="Hyperlink"/>
                            <w:rFonts w:ascii="Tahoma" w:hAnsi="Tahoma" w:cs="Tahoma"/>
                            <w:sz w:val="16"/>
                            <w:szCs w:val="16"/>
                          </w:rPr>
                          <w:t>http://www.finep.gov.br/auditoria</w:t>
                        </w:r>
                      </w:hyperlink>
                      <w:r>
                        <w:rPr>
                          <w:rFonts w:ascii="Tahoma" w:hAnsi="Tahoma" w:cs="Tahoma"/>
                          <w:sz w:val="16"/>
                          <w:szCs w:val="16"/>
                        </w:rPr>
                        <w:t>.</w:t>
                      </w:r>
                    </w:p>
                  </w:txbxContent>
                </v:textbox>
              </v:shape>
            </w:pict>
          </mc:Fallback>
        </mc:AlternateContent>
      </w:r>
    </w:p>
    <w:p w14:paraId="0C5A670B" w14:textId="21668E13" w:rsidR="000479AC" w:rsidRDefault="000479AC">
      <w:pPr>
        <w:spacing w:before="120" w:after="120" w:line="360" w:lineRule="auto"/>
        <w:rPr>
          <w:rFonts w:ascii="Tahoma" w:hAnsi="Tahoma" w:cs="Tahoma"/>
          <w:sz w:val="19"/>
          <w:szCs w:val="19"/>
        </w:rPr>
      </w:pPr>
    </w:p>
    <w:p w14:paraId="4B60D0F8" w14:textId="77777777" w:rsidR="000D6D0A" w:rsidRPr="00B73A55" w:rsidRDefault="00BB0E07">
      <w:pPr>
        <w:rPr>
          <w:rFonts w:ascii="Tahoma" w:hAnsi="Tahoma" w:cs="Tahoma"/>
          <w:color w:val="0098BA"/>
          <w:sz w:val="19"/>
          <w:szCs w:val="19"/>
        </w:rPr>
      </w:pPr>
      <w:r w:rsidRPr="00B73A55">
        <w:rPr>
          <w:rFonts w:ascii="Tahoma" w:hAnsi="Tahoma" w:cs="Tahoma"/>
          <w:color w:val="0098BA"/>
          <w:sz w:val="19"/>
          <w:szCs w:val="19"/>
        </w:rPr>
        <w:t>Ações de Correição</w:t>
      </w:r>
      <w:bookmarkEnd w:id="176"/>
      <w:bookmarkEnd w:id="177"/>
      <w:bookmarkEnd w:id="178"/>
      <w:bookmarkEnd w:id="179"/>
      <w:bookmarkEnd w:id="180"/>
      <w:bookmarkEnd w:id="181"/>
      <w:bookmarkEnd w:id="182"/>
    </w:p>
    <w:p w14:paraId="5C3D9342" w14:textId="74D66AC3" w:rsidR="000D6D0A" w:rsidRDefault="00B73A55">
      <w:pPr>
        <w:spacing w:before="120" w:after="120" w:line="360" w:lineRule="auto"/>
        <w:rPr>
          <w:rFonts w:ascii="Tahoma" w:hAnsi="Tahoma" w:cs="Tahoma"/>
          <w:sz w:val="19"/>
          <w:szCs w:val="19"/>
        </w:rPr>
      </w:pPr>
      <w:r w:rsidRPr="00B73A55">
        <w:rPr>
          <w:rFonts w:ascii="Tahoma" w:hAnsi="Tahoma" w:cs="Tahoma"/>
          <w:sz w:val="19"/>
          <w:szCs w:val="19"/>
        </w:rPr>
        <w:t xml:space="preserve">As ações e iniciativas da </w:t>
      </w:r>
      <w:r>
        <w:rPr>
          <w:rFonts w:ascii="Tahoma" w:hAnsi="Tahoma" w:cs="Tahoma"/>
          <w:sz w:val="19"/>
          <w:szCs w:val="19"/>
        </w:rPr>
        <w:t>Correição</w:t>
      </w:r>
      <w:r w:rsidRPr="00B73A55">
        <w:rPr>
          <w:rFonts w:ascii="Tahoma" w:hAnsi="Tahoma" w:cs="Tahoma"/>
          <w:sz w:val="19"/>
          <w:szCs w:val="19"/>
        </w:rPr>
        <w:t xml:space="preserve"> encontram-se </w:t>
      </w:r>
      <w:r w:rsidR="00F2701C">
        <w:rPr>
          <w:rFonts w:ascii="Tahoma" w:hAnsi="Tahoma" w:cs="Tahoma"/>
          <w:sz w:val="19"/>
          <w:szCs w:val="19"/>
        </w:rPr>
        <w:t>representadas</w:t>
      </w:r>
      <w:r w:rsidRPr="00B73A55">
        <w:rPr>
          <w:rFonts w:ascii="Tahoma" w:hAnsi="Tahoma" w:cs="Tahoma"/>
          <w:sz w:val="19"/>
          <w:szCs w:val="19"/>
        </w:rPr>
        <w:t xml:space="preserve"> no planejamento estratégico da Finep (Mapa Estratégico</w:t>
      </w:r>
      <w:r w:rsidR="00F2701C">
        <w:rPr>
          <w:rFonts w:ascii="Tahoma" w:hAnsi="Tahoma" w:cs="Tahoma"/>
          <w:sz w:val="19"/>
          <w:szCs w:val="19"/>
        </w:rPr>
        <w:t>, objetivo 7</w:t>
      </w:r>
      <w:r w:rsidRPr="00B73A55">
        <w:rPr>
          <w:rFonts w:ascii="Tahoma" w:hAnsi="Tahoma" w:cs="Tahoma"/>
          <w:sz w:val="19"/>
          <w:szCs w:val="19"/>
        </w:rPr>
        <w:t xml:space="preserve">) e </w:t>
      </w:r>
      <w:r>
        <w:rPr>
          <w:rFonts w:ascii="Tahoma" w:hAnsi="Tahoma" w:cs="Tahoma"/>
          <w:sz w:val="19"/>
          <w:szCs w:val="19"/>
        </w:rPr>
        <w:t>n</w:t>
      </w:r>
      <w:r w:rsidRPr="00B73A55">
        <w:rPr>
          <w:rFonts w:ascii="Tahoma" w:hAnsi="Tahoma" w:cs="Tahoma"/>
          <w:sz w:val="19"/>
          <w:szCs w:val="19"/>
        </w:rPr>
        <w:t>o diagrama que expõe seus macroprocessos prioritários (Cadeia de Valor).</w:t>
      </w:r>
    </w:p>
    <w:p w14:paraId="427F3645" w14:textId="45B475B8" w:rsidR="00EE3E0D" w:rsidRPr="00EE3E0D" w:rsidRDefault="00EE3E0D" w:rsidP="00EE3E0D">
      <w:pPr>
        <w:spacing w:before="120" w:after="120" w:line="360" w:lineRule="auto"/>
        <w:rPr>
          <w:rFonts w:ascii="Tahoma" w:hAnsi="Tahoma" w:cs="Tahoma"/>
          <w:sz w:val="19"/>
          <w:szCs w:val="19"/>
        </w:rPr>
      </w:pPr>
      <w:r w:rsidRPr="00EE3E0D">
        <w:rPr>
          <w:rFonts w:ascii="Tahoma" w:hAnsi="Tahoma" w:cs="Tahoma"/>
          <w:sz w:val="19"/>
          <w:szCs w:val="19"/>
        </w:rPr>
        <w:t xml:space="preserve">Estas inserções das ações correcionais nas principais ferramentas de planejamento e gestão da </w:t>
      </w:r>
      <w:r>
        <w:rPr>
          <w:rFonts w:ascii="Tahoma" w:hAnsi="Tahoma" w:cs="Tahoma"/>
          <w:sz w:val="19"/>
          <w:szCs w:val="19"/>
        </w:rPr>
        <w:t>empresa</w:t>
      </w:r>
      <w:r w:rsidRPr="00EE3E0D">
        <w:rPr>
          <w:rFonts w:ascii="Tahoma" w:hAnsi="Tahoma" w:cs="Tahoma"/>
          <w:sz w:val="19"/>
          <w:szCs w:val="19"/>
        </w:rPr>
        <w:t xml:space="preserve"> demonstram o nível de alinhamento d</w:t>
      </w:r>
      <w:r>
        <w:rPr>
          <w:rFonts w:ascii="Tahoma" w:hAnsi="Tahoma" w:cs="Tahoma"/>
          <w:sz w:val="19"/>
          <w:szCs w:val="19"/>
        </w:rPr>
        <w:t>essas ações</w:t>
      </w:r>
      <w:r w:rsidRPr="00EE3E0D">
        <w:rPr>
          <w:rFonts w:ascii="Tahoma" w:hAnsi="Tahoma" w:cs="Tahoma"/>
          <w:sz w:val="19"/>
          <w:szCs w:val="19"/>
        </w:rPr>
        <w:t xml:space="preserve"> às diretrizes da empresa, propiciando ainda transparência e monitoramento dos procedimentos executados.</w:t>
      </w:r>
    </w:p>
    <w:p w14:paraId="2551CA1D" w14:textId="12BF39D5" w:rsidR="00EE3E0D" w:rsidRPr="00EE3E0D" w:rsidRDefault="00EE3E0D" w:rsidP="00EE3E0D">
      <w:pPr>
        <w:spacing w:before="120" w:after="120" w:line="360" w:lineRule="auto"/>
        <w:rPr>
          <w:rFonts w:ascii="Tahoma" w:hAnsi="Tahoma" w:cs="Tahoma"/>
          <w:sz w:val="19"/>
          <w:szCs w:val="19"/>
        </w:rPr>
      </w:pPr>
      <w:r w:rsidRPr="00EE3E0D">
        <w:rPr>
          <w:rFonts w:ascii="Tahoma" w:hAnsi="Tahoma" w:cs="Tahoma"/>
          <w:sz w:val="19"/>
          <w:szCs w:val="19"/>
        </w:rPr>
        <w:t xml:space="preserve">Em sequência às ações estruturantes adotadas desde a sua implantação, em 2023 o foco </w:t>
      </w:r>
      <w:r>
        <w:rPr>
          <w:rFonts w:ascii="Tahoma" w:hAnsi="Tahoma" w:cs="Tahoma"/>
          <w:sz w:val="19"/>
          <w:szCs w:val="19"/>
        </w:rPr>
        <w:t xml:space="preserve">foi </w:t>
      </w:r>
      <w:r w:rsidRPr="00EE3E0D">
        <w:rPr>
          <w:rFonts w:ascii="Tahoma" w:hAnsi="Tahoma" w:cs="Tahoma"/>
          <w:sz w:val="19"/>
          <w:szCs w:val="19"/>
        </w:rPr>
        <w:t xml:space="preserve">a consolidação </w:t>
      </w:r>
      <w:r>
        <w:rPr>
          <w:rFonts w:ascii="Tahoma" w:hAnsi="Tahoma" w:cs="Tahoma"/>
          <w:sz w:val="19"/>
          <w:szCs w:val="19"/>
        </w:rPr>
        <w:t>das atividades:</w:t>
      </w:r>
    </w:p>
    <w:p w14:paraId="4DC3743B" w14:textId="79E4DB45" w:rsidR="00EE3E0D" w:rsidRPr="00EE3E0D" w:rsidRDefault="00EE3E0D" w:rsidP="00EE3E0D">
      <w:pPr>
        <w:pStyle w:val="PargrafodaLista"/>
        <w:numPr>
          <w:ilvl w:val="0"/>
          <w:numId w:val="40"/>
        </w:numPr>
        <w:spacing w:before="120" w:after="120"/>
        <w:ind w:left="284" w:hanging="284"/>
        <w:rPr>
          <w:rFonts w:ascii="Tahoma" w:hAnsi="Tahoma" w:cs="Tahoma"/>
          <w:sz w:val="19"/>
          <w:szCs w:val="19"/>
        </w:rPr>
      </w:pPr>
      <w:r w:rsidRPr="00EE3E0D">
        <w:rPr>
          <w:rFonts w:ascii="Tahoma" w:hAnsi="Tahoma" w:cs="Tahoma"/>
          <w:sz w:val="19"/>
          <w:szCs w:val="19"/>
        </w:rPr>
        <w:t xml:space="preserve">execução das ações correcionais alinhadas à estratégia institucional. </w:t>
      </w:r>
    </w:p>
    <w:p w14:paraId="5E4ED007" w14:textId="76E96D42" w:rsidR="00EE3E0D" w:rsidRPr="00EE3E0D" w:rsidRDefault="00EE3E0D" w:rsidP="00EE3E0D">
      <w:pPr>
        <w:pStyle w:val="PargrafodaLista"/>
        <w:numPr>
          <w:ilvl w:val="0"/>
          <w:numId w:val="40"/>
        </w:numPr>
        <w:spacing w:before="120" w:after="120"/>
        <w:ind w:left="284" w:hanging="284"/>
        <w:rPr>
          <w:rFonts w:ascii="Tahoma" w:hAnsi="Tahoma" w:cs="Tahoma"/>
          <w:sz w:val="19"/>
          <w:szCs w:val="19"/>
        </w:rPr>
      </w:pPr>
      <w:r w:rsidRPr="00EE3E0D">
        <w:rPr>
          <w:rFonts w:ascii="Tahoma" w:hAnsi="Tahoma" w:cs="Tahoma"/>
          <w:sz w:val="19"/>
          <w:szCs w:val="19"/>
        </w:rPr>
        <w:t>evolução e inovação na gestão;</w:t>
      </w:r>
    </w:p>
    <w:p w14:paraId="108F7928" w14:textId="5D9D43CD" w:rsidR="00EE3E0D" w:rsidRPr="00EE3E0D" w:rsidRDefault="00EE3E0D" w:rsidP="00EE3E0D">
      <w:pPr>
        <w:pStyle w:val="PargrafodaLista"/>
        <w:numPr>
          <w:ilvl w:val="0"/>
          <w:numId w:val="40"/>
        </w:numPr>
        <w:spacing w:before="120" w:after="120"/>
        <w:ind w:left="284" w:hanging="284"/>
        <w:rPr>
          <w:rFonts w:ascii="Tahoma" w:hAnsi="Tahoma" w:cs="Tahoma"/>
          <w:sz w:val="19"/>
          <w:szCs w:val="19"/>
        </w:rPr>
      </w:pPr>
      <w:r w:rsidRPr="00EE3E0D">
        <w:rPr>
          <w:rFonts w:ascii="Tahoma" w:hAnsi="Tahoma" w:cs="Tahoma"/>
          <w:sz w:val="19"/>
          <w:szCs w:val="19"/>
        </w:rPr>
        <w:t xml:space="preserve">capacitação de seus analistas e </w:t>
      </w:r>
    </w:p>
    <w:p w14:paraId="6B27BA7C" w14:textId="0D5ED3F5" w:rsidR="00EE3E0D" w:rsidRPr="00EE3E0D" w:rsidRDefault="00EE3E0D" w:rsidP="00EE3E0D">
      <w:pPr>
        <w:pStyle w:val="PargrafodaLista"/>
        <w:numPr>
          <w:ilvl w:val="0"/>
          <w:numId w:val="40"/>
        </w:numPr>
        <w:spacing w:before="120" w:after="120"/>
        <w:ind w:left="284" w:hanging="284"/>
        <w:rPr>
          <w:rFonts w:ascii="Tahoma" w:hAnsi="Tahoma" w:cs="Tahoma"/>
          <w:sz w:val="19"/>
          <w:szCs w:val="19"/>
        </w:rPr>
      </w:pPr>
      <w:r w:rsidRPr="00EE3E0D">
        <w:rPr>
          <w:rFonts w:ascii="Tahoma" w:hAnsi="Tahoma" w:cs="Tahoma"/>
          <w:sz w:val="19"/>
          <w:szCs w:val="19"/>
        </w:rPr>
        <w:t>formalização e implementação de procedimentos alinhados aos normativos externos (CGPAR e CGU).</w:t>
      </w:r>
    </w:p>
    <w:p w14:paraId="6244B32A" w14:textId="09F61BD3" w:rsidR="00EE3E0D" w:rsidRPr="00EE3E0D" w:rsidRDefault="00EE3E0D" w:rsidP="00EE3E0D">
      <w:pPr>
        <w:spacing w:before="120" w:after="120" w:line="360" w:lineRule="auto"/>
        <w:rPr>
          <w:rFonts w:ascii="Tahoma" w:hAnsi="Tahoma" w:cs="Tahoma"/>
          <w:sz w:val="19"/>
          <w:szCs w:val="19"/>
        </w:rPr>
      </w:pPr>
      <w:r w:rsidRPr="00EE3E0D">
        <w:rPr>
          <w:rFonts w:ascii="Tahoma" w:hAnsi="Tahoma" w:cs="Tahoma"/>
          <w:sz w:val="19"/>
          <w:szCs w:val="19"/>
        </w:rPr>
        <w:t>Destaca</w:t>
      </w:r>
      <w:r>
        <w:rPr>
          <w:rFonts w:ascii="Tahoma" w:hAnsi="Tahoma" w:cs="Tahoma"/>
          <w:sz w:val="19"/>
          <w:szCs w:val="19"/>
        </w:rPr>
        <w:t>mos</w:t>
      </w:r>
      <w:r w:rsidRPr="00EE3E0D">
        <w:rPr>
          <w:rFonts w:ascii="Tahoma" w:hAnsi="Tahoma" w:cs="Tahoma"/>
          <w:sz w:val="19"/>
          <w:szCs w:val="19"/>
        </w:rPr>
        <w:t xml:space="preserve"> a busca pelo aperfeiçoamento da gestão, norteada pela consolidação dos processos que </w:t>
      </w:r>
      <w:r>
        <w:rPr>
          <w:rFonts w:ascii="Tahoma" w:hAnsi="Tahoma" w:cs="Tahoma"/>
          <w:sz w:val="19"/>
          <w:szCs w:val="19"/>
        </w:rPr>
        <w:t xml:space="preserve">nos </w:t>
      </w:r>
      <w:r w:rsidRPr="00EE3E0D">
        <w:rPr>
          <w:rFonts w:ascii="Tahoma" w:hAnsi="Tahoma" w:cs="Tahoma"/>
          <w:sz w:val="19"/>
          <w:szCs w:val="19"/>
        </w:rPr>
        <w:t xml:space="preserve">levaram ao alcance do nível 2 do Modelo de Maturidade Correcional da CGU, no qual </w:t>
      </w:r>
      <w:r>
        <w:rPr>
          <w:rFonts w:ascii="Tahoma" w:hAnsi="Tahoma" w:cs="Tahoma"/>
          <w:sz w:val="19"/>
          <w:szCs w:val="19"/>
        </w:rPr>
        <w:t>nos inserimos</w:t>
      </w:r>
      <w:r w:rsidRPr="00EE3E0D">
        <w:rPr>
          <w:rFonts w:ascii="Tahoma" w:hAnsi="Tahoma" w:cs="Tahoma"/>
          <w:sz w:val="19"/>
          <w:szCs w:val="19"/>
        </w:rPr>
        <w:t xml:space="preserve"> como umas das </w:t>
      </w:r>
      <w:r>
        <w:rPr>
          <w:rFonts w:ascii="Tahoma" w:hAnsi="Tahoma" w:cs="Tahoma"/>
          <w:sz w:val="19"/>
          <w:szCs w:val="19"/>
        </w:rPr>
        <w:t>quatro</w:t>
      </w:r>
      <w:r w:rsidRPr="00EE3E0D">
        <w:rPr>
          <w:rFonts w:ascii="Tahoma" w:hAnsi="Tahoma" w:cs="Tahoma"/>
          <w:sz w:val="19"/>
          <w:szCs w:val="19"/>
        </w:rPr>
        <w:t xml:space="preserve"> unidades correcionais que atingiram o nível 2, no universo de 56 estatais e agências que participaram do processo de certificação no ano anterior.</w:t>
      </w:r>
    </w:p>
    <w:p w14:paraId="390FE4EC" w14:textId="61B84036" w:rsidR="00EE3E0D" w:rsidRPr="00EE3E0D" w:rsidRDefault="00EE3E0D" w:rsidP="00EE3E0D">
      <w:pPr>
        <w:spacing w:before="120" w:after="120" w:line="360" w:lineRule="auto"/>
        <w:rPr>
          <w:rFonts w:ascii="Tahoma" w:hAnsi="Tahoma" w:cs="Tahoma"/>
          <w:sz w:val="19"/>
          <w:szCs w:val="19"/>
        </w:rPr>
      </w:pPr>
      <w:r w:rsidRPr="00EE3E0D">
        <w:rPr>
          <w:rFonts w:ascii="Tahoma" w:hAnsi="Tahoma" w:cs="Tahoma"/>
          <w:sz w:val="19"/>
          <w:szCs w:val="19"/>
        </w:rPr>
        <w:t xml:space="preserve">Como exemplo, pode ser citada a criação e implementação de ferramentas para o aprimoramento das apurações realizadas </w:t>
      </w:r>
      <w:r>
        <w:rPr>
          <w:rFonts w:ascii="Tahoma" w:hAnsi="Tahoma" w:cs="Tahoma"/>
          <w:sz w:val="19"/>
          <w:szCs w:val="19"/>
        </w:rPr>
        <w:t>como</w:t>
      </w:r>
      <w:r w:rsidRPr="00EE3E0D">
        <w:rPr>
          <w:rFonts w:ascii="Tahoma" w:hAnsi="Tahoma" w:cs="Tahoma"/>
          <w:sz w:val="19"/>
          <w:szCs w:val="19"/>
        </w:rPr>
        <w:t>, a Matriz de Elementos Faltantes. Tal documento objetiva trazer agilidade e objetividade às apurações correcionais.</w:t>
      </w:r>
      <w:r>
        <w:rPr>
          <w:rFonts w:ascii="Tahoma" w:hAnsi="Tahoma" w:cs="Tahoma"/>
          <w:sz w:val="19"/>
          <w:szCs w:val="19"/>
        </w:rPr>
        <w:t xml:space="preserve"> </w:t>
      </w:r>
      <w:r w:rsidRPr="00EE3E0D">
        <w:rPr>
          <w:rFonts w:ascii="Tahoma" w:hAnsi="Tahoma" w:cs="Tahoma"/>
          <w:sz w:val="19"/>
          <w:szCs w:val="19"/>
        </w:rPr>
        <w:t>A proposta engloba ainda a matriz de oitiva de depoimentos que pretende garantir que as perguntas efetuadas durante os procedimentos de apuração sejam pertinentes e completas ao objeto a ser apurado.</w:t>
      </w:r>
    </w:p>
    <w:p w14:paraId="31CE07D4" w14:textId="0D7B3D4A" w:rsidR="00EE3E0D" w:rsidRPr="00EE3E0D" w:rsidRDefault="00EE3E0D" w:rsidP="00EE3E0D">
      <w:pPr>
        <w:spacing w:before="120" w:after="120" w:line="360" w:lineRule="auto"/>
        <w:rPr>
          <w:rFonts w:ascii="Tahoma" w:hAnsi="Tahoma" w:cs="Tahoma"/>
          <w:sz w:val="19"/>
          <w:szCs w:val="19"/>
        </w:rPr>
      </w:pPr>
      <w:r w:rsidRPr="00EE3E0D">
        <w:rPr>
          <w:rFonts w:ascii="Tahoma" w:hAnsi="Tahoma" w:cs="Tahoma"/>
          <w:sz w:val="19"/>
          <w:szCs w:val="19"/>
        </w:rPr>
        <w:lastRenderedPageBreak/>
        <w:t>A referida matriz foi inclusive apresentada no Encontro Nacional de Unidades Correcionais, promovido pela Corregedoria-Geral da União (CRG), no painel de “Boas Práticas Correcionais em Empresas Estatais”, sendo estudada sua inserção no Modelo de Correcional.</w:t>
      </w:r>
    </w:p>
    <w:p w14:paraId="289A8A6F" w14:textId="35956917" w:rsidR="00EE3E0D" w:rsidRPr="00EE3E0D" w:rsidRDefault="00EE3E0D" w:rsidP="00EE3E0D">
      <w:pPr>
        <w:spacing w:before="120" w:after="120" w:line="360" w:lineRule="auto"/>
        <w:rPr>
          <w:rFonts w:ascii="Tahoma" w:hAnsi="Tahoma" w:cs="Tahoma"/>
          <w:sz w:val="19"/>
          <w:szCs w:val="19"/>
        </w:rPr>
      </w:pPr>
      <w:r w:rsidRPr="00EE3E0D">
        <w:rPr>
          <w:rFonts w:ascii="Tahoma" w:hAnsi="Tahoma" w:cs="Tahoma"/>
          <w:sz w:val="19"/>
          <w:szCs w:val="19"/>
        </w:rPr>
        <w:t xml:space="preserve">Durante 2023, </w:t>
      </w:r>
      <w:r w:rsidR="00DB0B5F">
        <w:rPr>
          <w:rFonts w:ascii="Tahoma" w:hAnsi="Tahoma" w:cs="Tahoma"/>
          <w:sz w:val="19"/>
          <w:szCs w:val="19"/>
        </w:rPr>
        <w:t>tivemos</w:t>
      </w:r>
      <w:r w:rsidRPr="00EE3E0D">
        <w:rPr>
          <w:rFonts w:ascii="Tahoma" w:hAnsi="Tahoma" w:cs="Tahoma"/>
          <w:sz w:val="19"/>
          <w:szCs w:val="19"/>
        </w:rPr>
        <w:t xml:space="preserve"> como escopo de atuação 21 procedimentos investigativos de natureza correcional. Desse total, </w:t>
      </w:r>
      <w:r w:rsidR="00DB0B5F">
        <w:rPr>
          <w:rFonts w:ascii="Tahoma" w:hAnsi="Tahoma" w:cs="Tahoma"/>
          <w:sz w:val="19"/>
          <w:szCs w:val="19"/>
        </w:rPr>
        <w:t>seis</w:t>
      </w:r>
      <w:r w:rsidRPr="00EE3E0D">
        <w:rPr>
          <w:rFonts w:ascii="Tahoma" w:hAnsi="Tahoma" w:cs="Tahoma"/>
          <w:sz w:val="19"/>
          <w:szCs w:val="19"/>
        </w:rPr>
        <w:t xml:space="preserve"> foram finalizados e 15 encontram-se em apuração.</w:t>
      </w:r>
    </w:p>
    <w:p w14:paraId="4BBD7C98" w14:textId="3FED741E" w:rsidR="00EE3E0D" w:rsidRPr="00EE3E0D" w:rsidRDefault="00EE3E0D" w:rsidP="00EE3E0D">
      <w:pPr>
        <w:spacing w:before="120" w:after="120" w:line="360" w:lineRule="auto"/>
        <w:rPr>
          <w:rFonts w:ascii="Tahoma" w:hAnsi="Tahoma" w:cs="Tahoma"/>
          <w:sz w:val="19"/>
          <w:szCs w:val="19"/>
        </w:rPr>
      </w:pPr>
      <w:r w:rsidRPr="00EE3E0D">
        <w:rPr>
          <w:rFonts w:ascii="Tahoma" w:hAnsi="Tahoma" w:cs="Tahoma"/>
          <w:sz w:val="19"/>
          <w:szCs w:val="19"/>
        </w:rPr>
        <w:t>Deve-se destacar ainda que a partir de 2021 os processos correcionais passaram a ser incluídos no sistema e-PAD da CGU, atendendo ao disposto na Portaria nº 2.463, de 19 de outubro de 2020. No entanto, o sistema tem tido constantes aperfeiçoamentos e, em 2023, foram reforçadas as atividades de monitoria e treinamento das unidades correcionais para a condução do processo diretamente no sistema e-PAD. Isso passou a ser feito na maioria dos processos instaurados.</w:t>
      </w:r>
    </w:p>
    <w:p w14:paraId="0E44060C" w14:textId="7C85A582" w:rsidR="00EE3E0D" w:rsidRPr="00EE3E0D" w:rsidRDefault="00EE3E0D" w:rsidP="00EE3E0D">
      <w:pPr>
        <w:spacing w:before="120" w:after="120" w:line="360" w:lineRule="auto"/>
        <w:rPr>
          <w:rFonts w:ascii="Tahoma" w:hAnsi="Tahoma" w:cs="Tahoma"/>
          <w:sz w:val="19"/>
          <w:szCs w:val="19"/>
        </w:rPr>
      </w:pPr>
      <w:r w:rsidRPr="00EE3E0D">
        <w:rPr>
          <w:rFonts w:ascii="Tahoma" w:hAnsi="Tahoma" w:cs="Tahoma"/>
          <w:sz w:val="19"/>
          <w:szCs w:val="19"/>
        </w:rPr>
        <w:t>Ressalvamos a organização e realização na Finep do Curso Prático em Processo de Responsabilização de Entes Privados e Cálculo de Integridade de Empresas. O curso foi aberto a outras instituições como BNDES, I</w:t>
      </w:r>
      <w:r w:rsidR="00DB0B5F">
        <w:rPr>
          <w:rFonts w:ascii="Tahoma" w:hAnsi="Tahoma" w:cs="Tahoma"/>
          <w:sz w:val="19"/>
          <w:szCs w:val="19"/>
        </w:rPr>
        <w:t xml:space="preserve">nstituto </w:t>
      </w:r>
      <w:r w:rsidRPr="00EE3E0D">
        <w:rPr>
          <w:rFonts w:ascii="Tahoma" w:hAnsi="Tahoma" w:cs="Tahoma"/>
          <w:sz w:val="19"/>
          <w:szCs w:val="19"/>
        </w:rPr>
        <w:t>N</w:t>
      </w:r>
      <w:r w:rsidR="00DB0B5F">
        <w:rPr>
          <w:rFonts w:ascii="Tahoma" w:hAnsi="Tahoma" w:cs="Tahoma"/>
          <w:sz w:val="19"/>
          <w:szCs w:val="19"/>
        </w:rPr>
        <w:t xml:space="preserve">acional de </w:t>
      </w:r>
      <w:r w:rsidRPr="00EE3E0D">
        <w:rPr>
          <w:rFonts w:ascii="Tahoma" w:hAnsi="Tahoma" w:cs="Tahoma"/>
          <w:sz w:val="19"/>
          <w:szCs w:val="19"/>
        </w:rPr>
        <w:t>P</w:t>
      </w:r>
      <w:r w:rsidR="00DB0B5F">
        <w:rPr>
          <w:rFonts w:ascii="Tahoma" w:hAnsi="Tahoma" w:cs="Tahoma"/>
          <w:sz w:val="19"/>
          <w:szCs w:val="19"/>
        </w:rPr>
        <w:t xml:space="preserve">ropriedade </w:t>
      </w:r>
      <w:r w:rsidRPr="00EE3E0D">
        <w:rPr>
          <w:rFonts w:ascii="Tahoma" w:hAnsi="Tahoma" w:cs="Tahoma"/>
          <w:sz w:val="19"/>
          <w:szCs w:val="19"/>
        </w:rPr>
        <w:t>I</w:t>
      </w:r>
      <w:r w:rsidR="00DB0B5F">
        <w:rPr>
          <w:rFonts w:ascii="Tahoma" w:hAnsi="Tahoma" w:cs="Tahoma"/>
          <w:sz w:val="19"/>
          <w:szCs w:val="19"/>
        </w:rPr>
        <w:t>ntelectual</w:t>
      </w:r>
      <w:r w:rsidRPr="00EE3E0D">
        <w:rPr>
          <w:rFonts w:ascii="Tahoma" w:hAnsi="Tahoma" w:cs="Tahoma"/>
          <w:sz w:val="19"/>
          <w:szCs w:val="19"/>
        </w:rPr>
        <w:t>, Petrobr</w:t>
      </w:r>
      <w:r w:rsidR="00DB0B5F">
        <w:rPr>
          <w:rFonts w:ascii="Tahoma" w:hAnsi="Tahoma" w:cs="Tahoma"/>
          <w:sz w:val="19"/>
          <w:szCs w:val="19"/>
        </w:rPr>
        <w:t>a</w:t>
      </w:r>
      <w:r w:rsidRPr="00EE3E0D">
        <w:rPr>
          <w:rFonts w:ascii="Tahoma" w:hAnsi="Tahoma" w:cs="Tahoma"/>
          <w:sz w:val="19"/>
          <w:szCs w:val="19"/>
        </w:rPr>
        <w:t>s e C</w:t>
      </w:r>
      <w:r w:rsidR="00DB0B5F">
        <w:rPr>
          <w:rFonts w:ascii="Tahoma" w:hAnsi="Tahoma" w:cs="Tahoma"/>
          <w:sz w:val="19"/>
          <w:szCs w:val="19"/>
        </w:rPr>
        <w:t xml:space="preserve">asa da </w:t>
      </w:r>
      <w:r w:rsidRPr="00EE3E0D">
        <w:rPr>
          <w:rFonts w:ascii="Tahoma" w:hAnsi="Tahoma" w:cs="Tahoma"/>
          <w:sz w:val="19"/>
          <w:szCs w:val="19"/>
        </w:rPr>
        <w:t>M</w:t>
      </w:r>
      <w:r w:rsidR="00DB0B5F">
        <w:rPr>
          <w:rFonts w:ascii="Tahoma" w:hAnsi="Tahoma" w:cs="Tahoma"/>
          <w:sz w:val="19"/>
          <w:szCs w:val="19"/>
        </w:rPr>
        <w:t xml:space="preserve">oeda do </w:t>
      </w:r>
      <w:r w:rsidRPr="00EE3E0D">
        <w:rPr>
          <w:rFonts w:ascii="Tahoma" w:hAnsi="Tahoma" w:cs="Tahoma"/>
          <w:sz w:val="19"/>
          <w:szCs w:val="19"/>
        </w:rPr>
        <w:t>B</w:t>
      </w:r>
      <w:r w:rsidR="00DB0B5F">
        <w:rPr>
          <w:rFonts w:ascii="Tahoma" w:hAnsi="Tahoma" w:cs="Tahoma"/>
          <w:sz w:val="19"/>
          <w:szCs w:val="19"/>
        </w:rPr>
        <w:t>rasil</w:t>
      </w:r>
      <w:r w:rsidRPr="00EE3E0D">
        <w:rPr>
          <w:rFonts w:ascii="Tahoma" w:hAnsi="Tahoma" w:cs="Tahoma"/>
          <w:sz w:val="19"/>
          <w:szCs w:val="19"/>
        </w:rPr>
        <w:t>.</w:t>
      </w:r>
    </w:p>
    <w:p w14:paraId="4E798EBD" w14:textId="2E2B5BCC" w:rsidR="000D6D0A" w:rsidRDefault="00EE3E0D" w:rsidP="00DB0B5F">
      <w:pPr>
        <w:spacing w:before="120" w:after="120" w:line="360" w:lineRule="auto"/>
        <w:rPr>
          <w:rFonts w:ascii="Tahoma" w:hAnsi="Tahoma" w:cs="Tahoma"/>
          <w:sz w:val="19"/>
          <w:szCs w:val="19"/>
        </w:rPr>
      </w:pPr>
      <w:r w:rsidRPr="00EE3E0D">
        <w:rPr>
          <w:rFonts w:ascii="Tahoma" w:hAnsi="Tahoma" w:cs="Tahoma"/>
          <w:sz w:val="19"/>
          <w:szCs w:val="19"/>
        </w:rPr>
        <w:t>Finalmente, em 2023 foi finalizado e encaminhado para deliberação um novo normativo sobre procedimentos correcionais da Finep que irá modernizar o regramento de acordo com todas as atualizações introduzidas pela CGU nos últimos exercícios, o que representa um avanço significativo para as nossas rotinas correcionais.</w:t>
      </w:r>
    </w:p>
    <w:p w14:paraId="54944778" w14:textId="77777777" w:rsidR="00F2701C" w:rsidRDefault="00F2701C" w:rsidP="00DB0B5F">
      <w:pPr>
        <w:spacing w:before="120" w:after="120" w:line="360" w:lineRule="auto"/>
        <w:rPr>
          <w:rFonts w:ascii="Tahoma" w:hAnsi="Tahoma" w:cs="Tahoma"/>
          <w:sz w:val="19"/>
          <w:szCs w:val="19"/>
        </w:rPr>
      </w:pPr>
    </w:p>
    <w:p w14:paraId="64DF1BCF" w14:textId="50263FF8" w:rsidR="00F2701C" w:rsidRDefault="00F2701C">
      <w:pPr>
        <w:autoSpaceDN w:val="0"/>
        <w:spacing w:after="160"/>
        <w:textAlignment w:val="baseline"/>
        <w:rPr>
          <w:rFonts w:ascii="Tahoma" w:hAnsi="Tahoma" w:cs="Tahoma"/>
          <w:sz w:val="19"/>
          <w:szCs w:val="19"/>
        </w:rPr>
      </w:pPr>
      <w:r>
        <w:rPr>
          <w:rFonts w:ascii="Tahoma" w:hAnsi="Tahoma" w:cs="Tahoma"/>
          <w:sz w:val="19"/>
          <w:szCs w:val="19"/>
        </w:rPr>
        <w:br w:type="page"/>
      </w:r>
    </w:p>
    <w:p w14:paraId="7E28048A" w14:textId="77777777" w:rsidR="000D6D0A" w:rsidRDefault="00BB0E07" w:rsidP="003D0607">
      <w:pPr>
        <w:pStyle w:val="Ttulo1"/>
        <w:spacing w:line="259" w:lineRule="auto"/>
        <w:ind w:left="432" w:hanging="432"/>
        <w:rPr>
          <w:rFonts w:ascii="Tahoma" w:eastAsiaTheme="majorEastAsia" w:hAnsi="Tahoma" w:cs="Tahoma"/>
          <w:color w:val="0098BA"/>
          <w:sz w:val="28"/>
          <w:szCs w:val="28"/>
          <w:lang w:eastAsia="en-US"/>
        </w:rPr>
      </w:pPr>
      <w:bookmarkStart w:id="183" w:name="_Toc93683646"/>
      <w:bookmarkStart w:id="184" w:name="_Toc94256484"/>
      <w:bookmarkStart w:id="185" w:name="_Toc94278209"/>
      <w:bookmarkStart w:id="186" w:name="_Toc97244816"/>
      <w:bookmarkStart w:id="187" w:name="_Toc105003804"/>
      <w:bookmarkStart w:id="188" w:name="_Toc105006487"/>
      <w:bookmarkStart w:id="189" w:name="_Toc131692254"/>
      <w:bookmarkStart w:id="190" w:name="_Toc163025266"/>
      <w:bookmarkStart w:id="191" w:name="_Toc162512603"/>
      <w:r w:rsidRPr="003D0607">
        <w:rPr>
          <w:rFonts w:ascii="Tahoma" w:eastAsiaTheme="majorEastAsia" w:hAnsi="Tahoma" w:cs="Tahoma"/>
          <w:color w:val="0098BA"/>
          <w:sz w:val="28"/>
          <w:szCs w:val="28"/>
          <w:lang w:eastAsia="en-US"/>
        </w:rPr>
        <w:lastRenderedPageBreak/>
        <w:t>Nossos capitais</w:t>
      </w:r>
      <w:bookmarkEnd w:id="183"/>
      <w:bookmarkEnd w:id="184"/>
      <w:bookmarkEnd w:id="185"/>
      <w:bookmarkEnd w:id="186"/>
      <w:bookmarkEnd w:id="187"/>
      <w:bookmarkEnd w:id="188"/>
      <w:bookmarkEnd w:id="189"/>
      <w:bookmarkEnd w:id="190"/>
      <w:bookmarkEnd w:id="191"/>
    </w:p>
    <w:p w14:paraId="61DD7020" w14:textId="334DE112" w:rsidR="002A0EA6" w:rsidRPr="00640044" w:rsidRDefault="002A0EA6" w:rsidP="002A0EA6">
      <w:pPr>
        <w:pBdr>
          <w:top w:val="single" w:sz="4" w:space="1" w:color="0098BA"/>
          <w:left w:val="single" w:sz="4" w:space="4" w:color="0098BA"/>
          <w:bottom w:val="single" w:sz="4" w:space="1" w:color="0098BA"/>
          <w:right w:val="single" w:sz="4" w:space="4" w:color="0098BA"/>
        </w:pBdr>
        <w:spacing w:before="120" w:after="120"/>
        <w:rPr>
          <w:rFonts w:ascii="Tahoma" w:hAnsi="Tahoma" w:cs="Tahoma"/>
          <w:color w:val="0098BA"/>
          <w:sz w:val="19"/>
          <w:szCs w:val="19"/>
        </w:rPr>
      </w:pPr>
      <w:r w:rsidRPr="00640044">
        <w:rPr>
          <w:rFonts w:ascii="Tahoma" w:hAnsi="Tahoma" w:cs="Tahoma"/>
          <w:color w:val="0098BA"/>
          <w:sz w:val="19"/>
          <w:szCs w:val="19"/>
        </w:rPr>
        <w:t>GRI 2-</w:t>
      </w:r>
      <w:r>
        <w:rPr>
          <w:rFonts w:ascii="Tahoma" w:hAnsi="Tahoma" w:cs="Tahoma"/>
          <w:color w:val="0098BA"/>
          <w:sz w:val="19"/>
          <w:szCs w:val="19"/>
        </w:rPr>
        <w:t>7; 2-2</w:t>
      </w:r>
      <w:r w:rsidR="001C00F8">
        <w:rPr>
          <w:rFonts w:ascii="Tahoma" w:hAnsi="Tahoma" w:cs="Tahoma"/>
          <w:color w:val="0098BA"/>
          <w:sz w:val="19"/>
          <w:szCs w:val="19"/>
        </w:rPr>
        <w:t>6</w:t>
      </w:r>
      <w:r>
        <w:rPr>
          <w:rFonts w:ascii="Tahoma" w:hAnsi="Tahoma" w:cs="Tahoma"/>
          <w:color w:val="0098BA"/>
          <w:sz w:val="19"/>
          <w:szCs w:val="19"/>
        </w:rPr>
        <w:t xml:space="preserve">; </w:t>
      </w:r>
      <w:r w:rsidRPr="002A0EA6">
        <w:rPr>
          <w:rFonts w:ascii="Tahoma" w:hAnsi="Tahoma" w:cs="Tahoma"/>
          <w:color w:val="0098BA"/>
          <w:sz w:val="19"/>
          <w:szCs w:val="19"/>
        </w:rPr>
        <w:t>GRI 2-28</w:t>
      </w:r>
    </w:p>
    <w:p w14:paraId="1A1684B3" w14:textId="7ECE0654" w:rsidR="003D0607" w:rsidRDefault="00193D50" w:rsidP="00193D50">
      <w:pPr>
        <w:autoSpaceDE w:val="0"/>
        <w:spacing w:before="120" w:after="120" w:line="360" w:lineRule="auto"/>
        <w:rPr>
          <w:rFonts w:ascii="Tahoma" w:hAnsi="Tahoma" w:cs="Tahoma"/>
          <w:sz w:val="19"/>
          <w:szCs w:val="19"/>
        </w:rPr>
      </w:pPr>
      <w:r w:rsidRPr="00193D50">
        <w:rPr>
          <w:rFonts w:ascii="Tahoma" w:hAnsi="Tahoma" w:cs="Tahoma"/>
          <w:sz w:val="19"/>
          <w:szCs w:val="19"/>
        </w:rPr>
        <w:t>Os capitais são fatores</w:t>
      </w:r>
      <w:r>
        <w:rPr>
          <w:rFonts w:ascii="Tahoma" w:hAnsi="Tahoma" w:cs="Tahoma"/>
          <w:sz w:val="19"/>
          <w:szCs w:val="19"/>
        </w:rPr>
        <w:t xml:space="preserve"> cujo</w:t>
      </w:r>
      <w:r w:rsidRPr="00193D50">
        <w:rPr>
          <w:rFonts w:ascii="Tahoma" w:hAnsi="Tahoma" w:cs="Tahoma"/>
          <w:sz w:val="19"/>
          <w:szCs w:val="19"/>
        </w:rPr>
        <w:t xml:space="preserve"> valor aumenta,</w:t>
      </w:r>
      <w:r>
        <w:rPr>
          <w:rFonts w:ascii="Tahoma" w:hAnsi="Tahoma" w:cs="Tahoma"/>
          <w:sz w:val="19"/>
          <w:szCs w:val="19"/>
        </w:rPr>
        <w:t xml:space="preserve"> </w:t>
      </w:r>
      <w:r w:rsidRPr="00193D50">
        <w:rPr>
          <w:rFonts w:ascii="Tahoma" w:hAnsi="Tahoma" w:cs="Tahoma"/>
          <w:sz w:val="19"/>
          <w:szCs w:val="19"/>
        </w:rPr>
        <w:t>diminu</w:t>
      </w:r>
      <w:r>
        <w:rPr>
          <w:rFonts w:ascii="Tahoma" w:hAnsi="Tahoma" w:cs="Tahoma"/>
          <w:sz w:val="19"/>
          <w:szCs w:val="19"/>
        </w:rPr>
        <w:t>i</w:t>
      </w:r>
      <w:r w:rsidRPr="00193D50">
        <w:rPr>
          <w:rFonts w:ascii="Tahoma" w:hAnsi="Tahoma" w:cs="Tahoma"/>
          <w:sz w:val="19"/>
          <w:szCs w:val="19"/>
        </w:rPr>
        <w:t xml:space="preserve"> ou se transforma por meio de atividades</w:t>
      </w:r>
      <w:r>
        <w:rPr>
          <w:rFonts w:ascii="Tahoma" w:hAnsi="Tahoma" w:cs="Tahoma"/>
          <w:sz w:val="19"/>
          <w:szCs w:val="19"/>
        </w:rPr>
        <w:t xml:space="preserve"> </w:t>
      </w:r>
      <w:r w:rsidRPr="00193D50">
        <w:rPr>
          <w:rFonts w:ascii="Tahoma" w:hAnsi="Tahoma" w:cs="Tahoma"/>
          <w:sz w:val="19"/>
          <w:szCs w:val="19"/>
        </w:rPr>
        <w:t>e produtos da organização</w:t>
      </w:r>
      <w:r>
        <w:rPr>
          <w:rFonts w:ascii="Tahoma" w:hAnsi="Tahoma" w:cs="Tahoma"/>
          <w:sz w:val="19"/>
          <w:szCs w:val="19"/>
        </w:rPr>
        <w:t>.</w:t>
      </w:r>
    </w:p>
    <w:p w14:paraId="391C1076" w14:textId="77777777" w:rsidR="004214A0" w:rsidRDefault="004214A0" w:rsidP="00BE62D0">
      <w:pPr>
        <w:spacing w:before="120" w:after="120" w:line="360" w:lineRule="auto"/>
        <w:rPr>
          <w:rFonts w:ascii="Tahoma" w:hAnsi="Tahoma" w:cs="Tahoma"/>
          <w:sz w:val="19"/>
          <w:szCs w:val="19"/>
          <w:highlight w:val="yellow"/>
        </w:rPr>
      </w:pPr>
    </w:p>
    <w:p w14:paraId="25FEEE95" w14:textId="77777777" w:rsidR="00997FA2" w:rsidRPr="003D0607" w:rsidRDefault="00997FA2" w:rsidP="00997FA2">
      <w:pPr>
        <w:pStyle w:val="Ttulo2"/>
        <w:spacing w:before="0" w:after="120" w:line="360" w:lineRule="auto"/>
        <w:ind w:left="862" w:hanging="578"/>
        <w:rPr>
          <w:rFonts w:ascii="Tahoma" w:hAnsi="Tahoma" w:cs="Tahoma"/>
          <w:color w:val="0098BA"/>
          <w:sz w:val="24"/>
          <w:szCs w:val="24"/>
        </w:rPr>
      </w:pPr>
      <w:bookmarkStart w:id="192" w:name="_Toc93683647"/>
      <w:bookmarkStart w:id="193" w:name="_Toc94256485"/>
      <w:bookmarkStart w:id="194" w:name="_Toc94278210"/>
      <w:bookmarkStart w:id="195" w:name="_Toc97244817"/>
      <w:bookmarkStart w:id="196" w:name="_Toc105003805"/>
      <w:bookmarkStart w:id="197" w:name="_Toc105006488"/>
      <w:bookmarkStart w:id="198" w:name="_Toc131692255"/>
      <w:bookmarkStart w:id="199" w:name="_Toc163025267"/>
      <w:bookmarkStart w:id="200" w:name="_Toc162512604"/>
      <w:r w:rsidRPr="003D0607">
        <w:rPr>
          <w:rFonts w:ascii="Tahoma" w:hAnsi="Tahoma" w:cs="Tahoma"/>
          <w:color w:val="0098BA"/>
          <w:sz w:val="24"/>
          <w:szCs w:val="24"/>
        </w:rPr>
        <w:t>Capital humano</w:t>
      </w:r>
      <w:bookmarkEnd w:id="192"/>
      <w:bookmarkEnd w:id="193"/>
      <w:bookmarkEnd w:id="194"/>
      <w:bookmarkEnd w:id="195"/>
      <w:bookmarkEnd w:id="196"/>
      <w:bookmarkEnd w:id="197"/>
      <w:bookmarkEnd w:id="198"/>
      <w:bookmarkEnd w:id="199"/>
      <w:bookmarkEnd w:id="200"/>
    </w:p>
    <w:p w14:paraId="40139B34" w14:textId="0DA1D149" w:rsidR="00997FA2" w:rsidRDefault="00997FA2" w:rsidP="00997FA2">
      <w:pPr>
        <w:spacing w:before="120" w:after="120" w:line="360" w:lineRule="auto"/>
        <w:rPr>
          <w:rFonts w:ascii="Tahoma" w:hAnsi="Tahoma" w:cs="Tahoma"/>
          <w:sz w:val="20"/>
          <w:szCs w:val="20"/>
        </w:rPr>
      </w:pPr>
      <w:r w:rsidRPr="009E5683">
        <w:rPr>
          <w:rFonts w:ascii="Tahoma" w:hAnsi="Tahoma" w:cs="Tahoma"/>
          <w:sz w:val="20"/>
          <w:szCs w:val="20"/>
        </w:rPr>
        <w:t>Os processos internos da Finep são intensivos em conhecimento e</w:t>
      </w:r>
      <w:r>
        <w:rPr>
          <w:rFonts w:ascii="Tahoma" w:hAnsi="Tahoma" w:cs="Tahoma"/>
          <w:sz w:val="20"/>
          <w:szCs w:val="20"/>
        </w:rPr>
        <w:t xml:space="preserve">, por isso, as pessoas que compõem a empresa são nosso principal diferencial estratégico. Em um contexto de </w:t>
      </w:r>
      <w:r w:rsidRPr="009E5683">
        <w:rPr>
          <w:rFonts w:ascii="Tahoma" w:hAnsi="Tahoma" w:cs="Tahoma"/>
          <w:sz w:val="20"/>
          <w:szCs w:val="20"/>
        </w:rPr>
        <w:t>recomposição do Fundo Nacional de Desenvolvimento Científico e Tecnológico (FNDCT), a empresa se vê diante do desafio de fortalecer sua capacidade de apoiar o desenvolvimento consistente do Sistema Nacional de CT&amp;I.</w:t>
      </w:r>
    </w:p>
    <w:p w14:paraId="4B35E1E5" w14:textId="77777777" w:rsidR="00997FA2" w:rsidRDefault="00997FA2" w:rsidP="00997FA2">
      <w:pPr>
        <w:spacing w:before="120" w:after="120" w:line="360" w:lineRule="auto"/>
        <w:rPr>
          <w:rFonts w:ascii="Tahoma" w:hAnsi="Tahoma" w:cs="Tahoma"/>
          <w:sz w:val="19"/>
          <w:szCs w:val="19"/>
        </w:rPr>
      </w:pPr>
      <w:r w:rsidRPr="006C1650">
        <w:rPr>
          <w:rFonts w:ascii="Tahoma" w:hAnsi="Tahoma" w:cs="Tahoma"/>
          <w:sz w:val="19"/>
          <w:szCs w:val="19"/>
        </w:rPr>
        <w:t>Entre os anos de 2014 e 2021 houve queda no volume de operações, que refletiu diretamente no quadro de pessoal, reduzido de 758 para 549 empregados, uma queda de 28%. Entretanto</w:t>
      </w:r>
      <w:r>
        <w:rPr>
          <w:rFonts w:ascii="Tahoma" w:hAnsi="Tahoma" w:cs="Tahoma"/>
          <w:sz w:val="19"/>
          <w:szCs w:val="19"/>
        </w:rPr>
        <w:t>,</w:t>
      </w:r>
      <w:r w:rsidRPr="006C1650">
        <w:rPr>
          <w:rFonts w:ascii="Tahoma" w:hAnsi="Tahoma" w:cs="Tahoma"/>
          <w:sz w:val="19"/>
          <w:szCs w:val="19"/>
        </w:rPr>
        <w:t xml:space="preserve"> a partir de 2022</w:t>
      </w:r>
      <w:r>
        <w:rPr>
          <w:rFonts w:ascii="Tahoma" w:hAnsi="Tahoma" w:cs="Tahoma"/>
          <w:sz w:val="19"/>
          <w:szCs w:val="19"/>
        </w:rPr>
        <w:t>,</w:t>
      </w:r>
      <w:r w:rsidRPr="006C1650">
        <w:rPr>
          <w:rFonts w:ascii="Tahoma" w:hAnsi="Tahoma" w:cs="Tahoma"/>
          <w:sz w:val="19"/>
          <w:szCs w:val="19"/>
        </w:rPr>
        <w:t xml:space="preserve"> há retomada das aplicações da Finep em CT&amp;I, que</w:t>
      </w:r>
      <w:r>
        <w:rPr>
          <w:rFonts w:ascii="Tahoma" w:hAnsi="Tahoma" w:cs="Tahoma"/>
          <w:sz w:val="19"/>
          <w:szCs w:val="19"/>
        </w:rPr>
        <w:t>,</w:t>
      </w:r>
      <w:r w:rsidRPr="006C1650">
        <w:rPr>
          <w:rFonts w:ascii="Tahoma" w:hAnsi="Tahoma" w:cs="Tahoma"/>
          <w:sz w:val="19"/>
          <w:szCs w:val="19"/>
        </w:rPr>
        <w:t xml:space="preserve"> em 2023</w:t>
      </w:r>
      <w:r>
        <w:rPr>
          <w:rFonts w:ascii="Tahoma" w:hAnsi="Tahoma" w:cs="Tahoma"/>
          <w:sz w:val="19"/>
          <w:szCs w:val="19"/>
        </w:rPr>
        <w:t>,</w:t>
      </w:r>
      <w:r w:rsidRPr="006C1650">
        <w:rPr>
          <w:rFonts w:ascii="Tahoma" w:hAnsi="Tahoma" w:cs="Tahoma"/>
          <w:sz w:val="19"/>
          <w:szCs w:val="19"/>
        </w:rPr>
        <w:t xml:space="preserve"> representaram um crescimento de 335% em relação a 2021 e 93% em relação a 2022.</w:t>
      </w:r>
      <w:r w:rsidRPr="009E5683">
        <w:rPr>
          <w:rFonts w:ascii="Tahoma" w:hAnsi="Tahoma" w:cs="Tahoma"/>
          <w:sz w:val="19"/>
          <w:szCs w:val="19"/>
        </w:rPr>
        <w:t xml:space="preserve"> </w:t>
      </w:r>
      <w:r w:rsidRPr="006C1650">
        <w:rPr>
          <w:rFonts w:ascii="Tahoma" w:hAnsi="Tahoma" w:cs="Tahoma"/>
          <w:sz w:val="19"/>
          <w:szCs w:val="19"/>
        </w:rPr>
        <w:t>O gráfico apresenta a evolução da quantidade de pessoal desde 2009, bem como o volume de operações, medido em R$ milhões de liberações para operações de crédito e não reembolsáveis.</w:t>
      </w:r>
    </w:p>
    <w:p w14:paraId="5E0B5C01" w14:textId="74D58C45" w:rsidR="00B52BE1" w:rsidRPr="006C1650" w:rsidRDefault="00B52BE1" w:rsidP="00997FA2">
      <w:pPr>
        <w:spacing w:before="120" w:after="120" w:line="360" w:lineRule="auto"/>
        <w:rPr>
          <w:rFonts w:ascii="Tahoma" w:hAnsi="Tahoma" w:cs="Tahoma"/>
          <w:sz w:val="19"/>
          <w:szCs w:val="19"/>
        </w:rPr>
      </w:pPr>
      <w:r>
        <w:rPr>
          <w:noProof/>
        </w:rPr>
        <w:drawing>
          <wp:inline distT="0" distB="0" distL="0" distR="0" wp14:anchorId="3F732136" wp14:editId="3ECDEF0E">
            <wp:extent cx="5205909" cy="2720340"/>
            <wp:effectExtent l="0" t="0" r="13970" b="3810"/>
            <wp:docPr id="745163098" name="Gráfico 1">
              <a:extLst xmlns:a="http://schemas.openxmlformats.org/drawingml/2006/main">
                <a:ext uri="{FF2B5EF4-FFF2-40B4-BE49-F238E27FC236}">
                  <a16:creationId xmlns:a16="http://schemas.microsoft.com/office/drawing/2014/main" id="{1357A23D-CDE9-4017-9956-83051B035D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6FCB2D6A" w14:textId="77777777" w:rsidR="00997FA2" w:rsidRPr="006C1650" w:rsidRDefault="00997FA2" w:rsidP="00997FA2">
      <w:pPr>
        <w:spacing w:before="120" w:after="120" w:line="360" w:lineRule="auto"/>
        <w:jc w:val="both"/>
        <w:rPr>
          <w:rFonts w:ascii="Tahoma" w:hAnsi="Tahoma" w:cs="Tahoma"/>
          <w:strike/>
          <w:sz w:val="19"/>
          <w:szCs w:val="19"/>
        </w:rPr>
      </w:pPr>
      <w:r w:rsidRPr="006C1650">
        <w:rPr>
          <w:rFonts w:ascii="Tahoma" w:hAnsi="Tahoma" w:cs="Tahoma"/>
          <w:sz w:val="19"/>
          <w:szCs w:val="19"/>
        </w:rPr>
        <w:t>Apesar da redução de pessoal, não foi percebida queda na qualidade dos serviços prestados. Isso se deveu a esforços de revisão de processos de digitalização e automação de atividades e</w:t>
      </w:r>
      <w:r>
        <w:rPr>
          <w:rFonts w:ascii="Tahoma" w:hAnsi="Tahoma" w:cs="Tahoma"/>
          <w:sz w:val="19"/>
          <w:szCs w:val="19"/>
        </w:rPr>
        <w:t>, sobretudo,</w:t>
      </w:r>
      <w:r w:rsidRPr="006C1650">
        <w:rPr>
          <w:rFonts w:ascii="Tahoma" w:hAnsi="Tahoma" w:cs="Tahoma"/>
          <w:sz w:val="19"/>
          <w:szCs w:val="19"/>
        </w:rPr>
        <w:t xml:space="preserve"> à qualidade do corpo funcional da empresa. Outro fato que se pode observar no gráfico é que estivemos sempre abaixo do quadro máximo de pessoal autorizado pela SEST. Para 2024</w:t>
      </w:r>
      <w:r>
        <w:rPr>
          <w:rFonts w:ascii="Tahoma" w:hAnsi="Tahoma" w:cs="Tahoma"/>
          <w:sz w:val="19"/>
          <w:szCs w:val="19"/>
        </w:rPr>
        <w:t>,</w:t>
      </w:r>
      <w:r w:rsidRPr="006C1650">
        <w:rPr>
          <w:rFonts w:ascii="Tahoma" w:hAnsi="Tahoma" w:cs="Tahoma"/>
          <w:sz w:val="19"/>
          <w:szCs w:val="19"/>
        </w:rPr>
        <w:t xml:space="preserve"> espera-se um cenário diferente com a recomposição do quadro através de contratação via concurso público.</w:t>
      </w:r>
    </w:p>
    <w:p w14:paraId="609A2348" w14:textId="77777777" w:rsidR="00997FA2" w:rsidRDefault="00997FA2" w:rsidP="00997FA2">
      <w:pPr>
        <w:spacing w:before="120" w:after="120" w:line="360" w:lineRule="auto"/>
        <w:jc w:val="both"/>
      </w:pPr>
    </w:p>
    <w:p w14:paraId="14487107" w14:textId="77777777" w:rsidR="00997FA2" w:rsidRDefault="00997FA2" w:rsidP="00997FA2">
      <w:pPr>
        <w:spacing w:before="120" w:after="120" w:line="360" w:lineRule="auto"/>
        <w:rPr>
          <w:rFonts w:ascii="Tahoma" w:hAnsi="Tahoma" w:cs="Tahoma"/>
          <w:sz w:val="20"/>
          <w:szCs w:val="20"/>
        </w:rPr>
      </w:pPr>
      <w:r w:rsidRPr="00210336">
        <w:rPr>
          <w:rFonts w:ascii="Tahoma" w:hAnsi="Tahoma" w:cs="Tahoma"/>
          <w:noProof/>
          <w:sz w:val="22"/>
          <w:szCs w:val="22"/>
        </w:rPr>
        <w:lastRenderedPageBreak/>
        <mc:AlternateContent>
          <mc:Choice Requires="wps">
            <w:drawing>
              <wp:anchor distT="0" distB="0" distL="114300" distR="114300" simplePos="0" relativeHeight="251904000" behindDoc="0" locked="0" layoutInCell="1" allowOverlap="1" wp14:anchorId="2CE70E55" wp14:editId="371DA3A7">
                <wp:simplePos x="0" y="0"/>
                <wp:positionH relativeFrom="column">
                  <wp:posOffset>1490345</wp:posOffset>
                </wp:positionH>
                <wp:positionV relativeFrom="paragraph">
                  <wp:posOffset>619020</wp:posOffset>
                </wp:positionV>
                <wp:extent cx="4185269" cy="403761"/>
                <wp:effectExtent l="0" t="0" r="6350" b="0"/>
                <wp:wrapNone/>
                <wp:docPr id="3948849" name="Text Box 237"/>
                <wp:cNvGraphicFramePr/>
                <a:graphic xmlns:a="http://schemas.openxmlformats.org/drawingml/2006/main">
                  <a:graphicData uri="http://schemas.microsoft.com/office/word/2010/wordprocessingShape">
                    <wps:wsp>
                      <wps:cNvSpPr txBox="1"/>
                      <wps:spPr>
                        <a:xfrm>
                          <a:off x="0" y="0"/>
                          <a:ext cx="4185269" cy="403761"/>
                        </a:xfrm>
                        <a:prstGeom prst="rect">
                          <a:avLst/>
                        </a:prstGeom>
                        <a:solidFill>
                          <a:srgbClr val="0098BA">
                            <a:alpha val="25098"/>
                          </a:srgbClr>
                        </a:solidFill>
                        <a:ln w="6345">
                          <a:noFill/>
                          <a:prstDash val="dash"/>
                        </a:ln>
                      </wps:spPr>
                      <wps:txbx>
                        <w:txbxContent>
                          <w:p w14:paraId="3144585E" w14:textId="77777777" w:rsidR="00997FA2" w:rsidRPr="0082438F" w:rsidRDefault="00997FA2" w:rsidP="00997FA2">
                            <w:pPr>
                              <w:jc w:val="right"/>
                              <w:rPr>
                                <w:rFonts w:ascii="Tahoma" w:hAnsi="Tahoma" w:cs="Tahoma"/>
                                <w:sz w:val="16"/>
                                <w:szCs w:val="16"/>
                              </w:rPr>
                            </w:pPr>
                            <w:r w:rsidRPr="004D1D20">
                              <w:rPr>
                                <w:rFonts w:ascii="Tahoma" w:hAnsi="Tahoma" w:cs="Tahoma"/>
                                <w:sz w:val="16"/>
                                <w:szCs w:val="16"/>
                              </w:rPr>
                              <w:t xml:space="preserve">A relação dos empregados públicos lotados ou em exercício na Finep e informação sobre sua remuneração podem ser encontrados em </w:t>
                            </w:r>
                            <w:hyperlink r:id="rId219" w:history="1">
                              <w:r w:rsidRPr="00E7794C">
                                <w:rPr>
                                  <w:rStyle w:val="Hyperlink"/>
                                  <w:rFonts w:ascii="Tahoma" w:hAnsi="Tahoma" w:cs="Tahoma"/>
                                  <w:sz w:val="16"/>
                                  <w:szCs w:val="16"/>
                                </w:rPr>
                                <w:t>http://www.finep.gov.br/servidores</w:t>
                              </w:r>
                            </w:hyperlink>
                            <w:r>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2CE70E55" id="_x0000_s1051" type="#_x0000_t202" style="position:absolute;margin-left:117.35pt;margin-top:48.75pt;width:329.55pt;height:31.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" fillcolor="#0098ba" stroked="f" strokeweight=".17625mm">
                <v:fill opacity="16448f"/>
                <v:stroke dashstyle="dash"/>
                <v:textbox>
                  <w:txbxContent>
                    <w:p w14:paraId="3144585E" w14:textId="77777777" w:rsidR="00997FA2" w:rsidRPr="0082438F" w:rsidRDefault="00997FA2" w:rsidP="00997FA2">
                      <w:pPr>
                        <w:jc w:val="right"/>
                        <w:rPr>
                          <w:rFonts w:ascii="Tahoma" w:hAnsi="Tahoma" w:cs="Tahoma"/>
                          <w:sz w:val="16"/>
                          <w:szCs w:val="16"/>
                        </w:rPr>
                      </w:pPr>
                      <w:r w:rsidRPr="004D1D20">
                        <w:rPr>
                          <w:rFonts w:ascii="Tahoma" w:hAnsi="Tahoma" w:cs="Tahoma"/>
                          <w:sz w:val="16"/>
                          <w:szCs w:val="16"/>
                        </w:rPr>
                        <w:t xml:space="preserve">A relação dos empregados públicos lotados ou em exercício na Finep e informação sobre sua remuneração podem ser encontrados em </w:t>
                      </w:r>
                      <w:hyperlink r:id="rId220" w:history="1">
                        <w:r w:rsidRPr="00E7794C">
                          <w:rPr>
                            <w:rStyle w:val="Hyperlink"/>
                            <w:rFonts w:ascii="Tahoma" w:hAnsi="Tahoma" w:cs="Tahoma"/>
                            <w:sz w:val="16"/>
                            <w:szCs w:val="16"/>
                          </w:rPr>
                          <w:t>http://www.finep.gov.br/servidores</w:t>
                        </w:r>
                      </w:hyperlink>
                      <w:r>
                        <w:rPr>
                          <w:rFonts w:ascii="Tahoma" w:hAnsi="Tahoma" w:cs="Tahoma"/>
                          <w:sz w:val="16"/>
                          <w:szCs w:val="16"/>
                        </w:rPr>
                        <w:t>.</w:t>
                      </w:r>
                    </w:p>
                  </w:txbxContent>
                </v:textbox>
              </v:shape>
            </w:pict>
          </mc:Fallback>
        </mc:AlternateContent>
      </w:r>
      <w:r w:rsidRPr="000F51E1">
        <w:rPr>
          <w:rFonts w:ascii="Tahoma" w:hAnsi="Tahoma" w:cs="Tahoma"/>
          <w:sz w:val="20"/>
          <w:szCs w:val="20"/>
        </w:rPr>
        <w:t>Em 31 de dezembro de 2023, a Finep contava com 541 profissionais altamente qualificados</w:t>
      </w:r>
      <w:r>
        <w:rPr>
          <w:rFonts w:ascii="Tahoma" w:hAnsi="Tahoma" w:cs="Tahoma"/>
          <w:sz w:val="20"/>
          <w:szCs w:val="20"/>
        </w:rPr>
        <w:t xml:space="preserve">, sendo 515 (95%) do quadro efetivo da empresa e 26 (5%) extraquadro. </w:t>
      </w:r>
    </w:p>
    <w:p w14:paraId="5D077644" w14:textId="77777777" w:rsidR="00B52BE1" w:rsidRDefault="00B52BE1" w:rsidP="00997FA2">
      <w:pPr>
        <w:spacing w:before="120" w:after="120" w:line="360" w:lineRule="auto"/>
        <w:rPr>
          <w:rFonts w:ascii="Tahoma" w:hAnsi="Tahoma" w:cs="Tahoma"/>
          <w:sz w:val="20"/>
          <w:szCs w:val="20"/>
        </w:rPr>
      </w:pPr>
    </w:p>
    <w:p w14:paraId="3A24D44A" w14:textId="77777777" w:rsidR="00997FA2" w:rsidRDefault="00997FA2" w:rsidP="00997FA2">
      <w:pPr>
        <w:spacing w:before="120" w:after="120" w:line="360" w:lineRule="auto"/>
        <w:rPr>
          <w:rFonts w:ascii="Tahoma" w:hAnsi="Tahoma" w:cs="Tahoma"/>
          <w:sz w:val="20"/>
          <w:szCs w:val="20"/>
        </w:rPr>
      </w:pPr>
      <w:r w:rsidRPr="002E7096">
        <w:rPr>
          <w:rFonts w:ascii="Tahoma" w:hAnsi="Tahoma" w:cs="Tahoma"/>
          <w:noProof/>
          <w:sz w:val="20"/>
          <w:szCs w:val="20"/>
        </w:rPr>
        <w:drawing>
          <wp:inline distT="0" distB="0" distL="0" distR="0" wp14:anchorId="071C102B" wp14:editId="4C9692B1">
            <wp:extent cx="3083560" cy="2292824"/>
            <wp:effectExtent l="0" t="0" r="2540" b="0"/>
            <wp:docPr id="763149222" name="Imagem 1" descr="Text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49222" name="Imagem 1" descr="Texto&#10;&#10;Descrição gerada automaticamente com confiança baixa"/>
                    <pic:cNvPicPr/>
                  </pic:nvPicPr>
                  <pic:blipFill rotWithShape="1">
                    <a:blip r:embed="rId221"/>
                    <a:srcRect l="13524" t="5125" r="10081" b="8753"/>
                    <a:stretch/>
                  </pic:blipFill>
                  <pic:spPr bwMode="auto">
                    <a:xfrm>
                      <a:off x="0" y="0"/>
                      <a:ext cx="3090412" cy="2297919"/>
                    </a:xfrm>
                    <a:prstGeom prst="rect">
                      <a:avLst/>
                    </a:prstGeom>
                    <a:ln>
                      <a:noFill/>
                    </a:ln>
                    <a:extLst>
                      <a:ext uri="{53640926-AAD7-44D8-BBD7-CCE9431645EC}">
                        <a14:shadowObscured xmlns:a14="http://schemas.microsoft.com/office/drawing/2010/main"/>
                      </a:ext>
                    </a:extLst>
                  </pic:spPr>
                </pic:pic>
              </a:graphicData>
            </a:graphic>
          </wp:inline>
        </w:drawing>
      </w:r>
    </w:p>
    <w:p w14:paraId="31F0DDF2" w14:textId="77777777" w:rsidR="00997FA2" w:rsidRDefault="00997FA2" w:rsidP="00997FA2">
      <w:pPr>
        <w:spacing w:before="120" w:after="120" w:line="360" w:lineRule="auto"/>
        <w:rPr>
          <w:rFonts w:ascii="Tahoma" w:hAnsi="Tahoma" w:cs="Tahoma"/>
          <w:sz w:val="20"/>
          <w:szCs w:val="20"/>
        </w:rPr>
      </w:pPr>
      <w:r>
        <w:rPr>
          <w:rFonts w:ascii="Tahoma" w:hAnsi="Tahoma" w:cs="Tahoma"/>
          <w:sz w:val="20"/>
          <w:szCs w:val="20"/>
        </w:rPr>
        <w:t>Do total de profissionais efetivos, 20% são da carreira de nível médio – assistentes e 80% da carreira de nível superior – analistas.</w:t>
      </w:r>
    </w:p>
    <w:p w14:paraId="007F5633" w14:textId="180223CD" w:rsidR="00997FA2" w:rsidRDefault="00997FA2" w:rsidP="00997FA2">
      <w:pPr>
        <w:autoSpaceDE w:val="0"/>
        <w:spacing w:before="120" w:after="120" w:line="360" w:lineRule="auto"/>
        <w:rPr>
          <w:rFonts w:ascii="Tahoma" w:hAnsi="Tahoma" w:cs="Tahoma"/>
          <w:sz w:val="19"/>
          <w:szCs w:val="19"/>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400"/>
        <w:gridCol w:w="4716"/>
      </w:tblGrid>
      <w:tr w:rsidR="00997FA2" w14:paraId="49BADCA8" w14:textId="77777777" w:rsidTr="006C1650">
        <w:trPr>
          <w:jc w:val="center"/>
        </w:trPr>
        <w:tc>
          <w:tcPr>
            <w:tcW w:w="4400" w:type="dxa"/>
            <w:vAlign w:val="center"/>
          </w:tcPr>
          <w:p w14:paraId="5BFF605B" w14:textId="25241DB5" w:rsidR="00997FA2" w:rsidRDefault="00313CC0" w:rsidP="006C1650">
            <w:pPr>
              <w:jc w:val="center"/>
              <w:rPr>
                <w:rFonts w:ascii="Tahoma" w:hAnsi="Tahoma" w:cs="Tahoma"/>
                <w:sz w:val="20"/>
                <w:szCs w:val="20"/>
              </w:rPr>
            </w:pPr>
            <w:r w:rsidRPr="00210336">
              <w:rPr>
                <w:rFonts w:ascii="Tahoma" w:hAnsi="Tahoma" w:cs="Tahoma"/>
                <w:noProof/>
                <w:sz w:val="22"/>
                <w:szCs w:val="22"/>
              </w:rPr>
              <mc:AlternateContent>
                <mc:Choice Requires="wps">
                  <w:drawing>
                    <wp:anchor distT="0" distB="0" distL="114300" distR="114300" simplePos="0" relativeHeight="251906048" behindDoc="0" locked="0" layoutInCell="1" allowOverlap="1" wp14:anchorId="676861F4" wp14:editId="5E4AE6E1">
                      <wp:simplePos x="0" y="0"/>
                      <wp:positionH relativeFrom="margin">
                        <wp:posOffset>493395</wp:posOffset>
                      </wp:positionH>
                      <wp:positionV relativeFrom="paragraph">
                        <wp:posOffset>-88900</wp:posOffset>
                      </wp:positionV>
                      <wp:extent cx="1971675" cy="1241425"/>
                      <wp:effectExtent l="0" t="0" r="9525" b="0"/>
                      <wp:wrapNone/>
                      <wp:docPr id="91312178" name="Text Box 237"/>
                      <wp:cNvGraphicFramePr/>
                      <a:graphic xmlns:a="http://schemas.openxmlformats.org/drawingml/2006/main">
                        <a:graphicData uri="http://schemas.microsoft.com/office/word/2010/wordprocessingShape">
                          <wps:wsp>
                            <wps:cNvSpPr txBox="1"/>
                            <wps:spPr>
                              <a:xfrm>
                                <a:off x="0" y="0"/>
                                <a:ext cx="1971675" cy="1241425"/>
                              </a:xfrm>
                              <a:prstGeom prst="rect">
                                <a:avLst/>
                              </a:prstGeom>
                              <a:solidFill>
                                <a:srgbClr val="0098BA">
                                  <a:alpha val="25098"/>
                                </a:srgbClr>
                              </a:solidFill>
                              <a:ln w="6345">
                                <a:noFill/>
                                <a:prstDash val="dash"/>
                              </a:ln>
                            </wps:spPr>
                            <wps:txbx>
                              <w:txbxContent>
                                <w:p w14:paraId="0E21C3D5" w14:textId="7253CA6F" w:rsidR="00313CC0" w:rsidRPr="0082438F" w:rsidRDefault="00313CC0" w:rsidP="00313CC0">
                                  <w:pPr>
                                    <w:jc w:val="right"/>
                                    <w:rPr>
                                      <w:rFonts w:ascii="Tahoma" w:hAnsi="Tahoma" w:cs="Tahoma"/>
                                      <w:sz w:val="16"/>
                                      <w:szCs w:val="16"/>
                                    </w:rPr>
                                  </w:pPr>
                                  <w:r w:rsidRPr="00313CC0">
                                    <w:rPr>
                                      <w:rFonts w:ascii="Tahoma" w:hAnsi="Tahoma" w:cs="Tahoma"/>
                                      <w:sz w:val="16"/>
                                      <w:szCs w:val="16"/>
                                    </w:rPr>
                                    <w:t>Contamos com 95% do corpo funcional com formação de nível superior, dos quais 63% têm pós-graduação. Do total de pós-graduados, 50% contam com titulação de mestrado, doutorado ou pós-doutorado. Do total de funcionários da carreira de nível médio, 74% concluíram curso superior.</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676861F4" id="_x0000_s1052" type="#_x0000_t202" style="position:absolute;left:0;text-align:left;margin-left:38.85pt;margin-top:-7pt;width:155.25pt;height:97.7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" fillcolor="#0098ba" stroked="f" strokeweight=".17625mm">
                      <v:fill opacity="16448f"/>
                      <v:stroke dashstyle="dash"/>
                      <v:textbox>
                        <w:txbxContent>
                          <w:p w14:paraId="0E21C3D5" w14:textId="7253CA6F" w:rsidR="00313CC0" w:rsidRPr="0082438F" w:rsidRDefault="00313CC0" w:rsidP="00313CC0">
                            <w:pPr>
                              <w:jc w:val="right"/>
                              <w:rPr>
                                <w:rFonts w:ascii="Tahoma" w:hAnsi="Tahoma" w:cs="Tahoma"/>
                                <w:sz w:val="16"/>
                                <w:szCs w:val="16"/>
                              </w:rPr>
                            </w:pPr>
                            <w:r w:rsidRPr="00313CC0">
                              <w:rPr>
                                <w:rFonts w:ascii="Tahoma" w:hAnsi="Tahoma" w:cs="Tahoma"/>
                                <w:sz w:val="16"/>
                                <w:szCs w:val="16"/>
                              </w:rPr>
                              <w:t>Contamos com 95% do corpo funcional com formação de nível superior, dos quais 63% têm pós-graduação. Do total de pós-graduados, 50% contam com titulação de mestrado, doutorado ou pós-doutorado. Do total de funcionários da carreira de nível médio, 74% concluíram curso superior.</w:t>
                            </w:r>
                          </w:p>
                        </w:txbxContent>
                      </v:textbox>
                      <w10:wrap anchorx="margin"/>
                    </v:shape>
                  </w:pict>
                </mc:Fallback>
              </mc:AlternateContent>
            </w:r>
          </w:p>
        </w:tc>
        <w:tc>
          <w:tcPr>
            <w:tcW w:w="4716" w:type="dxa"/>
            <w:vAlign w:val="center"/>
          </w:tcPr>
          <w:p w14:paraId="6F206B22" w14:textId="77777777" w:rsidR="00997FA2" w:rsidRDefault="00997FA2" w:rsidP="006C1650">
            <w:pPr>
              <w:jc w:val="center"/>
              <w:rPr>
                <w:rFonts w:ascii="Tahoma" w:hAnsi="Tahoma" w:cs="Tahoma"/>
                <w:sz w:val="20"/>
                <w:szCs w:val="20"/>
              </w:rPr>
            </w:pPr>
            <w:r>
              <w:rPr>
                <w:noProof/>
              </w:rPr>
              <w:drawing>
                <wp:inline distT="0" distB="0" distL="0" distR="0" wp14:anchorId="054772AA" wp14:editId="21068D45">
                  <wp:extent cx="2624965" cy="1957826"/>
                  <wp:effectExtent l="0" t="0" r="4445" b="4445"/>
                  <wp:docPr id="350129697" name="Gráfico 1">
                    <a:extLst xmlns:a="http://schemas.openxmlformats.org/drawingml/2006/main">
                      <a:ext uri="{FF2B5EF4-FFF2-40B4-BE49-F238E27FC236}">
                        <a16:creationId xmlns:a16="http://schemas.microsoft.com/office/drawing/2014/main" id="{3D4589EF-9A5F-0E73-BE87-24F7A245D0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tc>
      </w:tr>
    </w:tbl>
    <w:p w14:paraId="20AFE2B0" w14:textId="77777777" w:rsidR="00997FA2" w:rsidRDefault="00997FA2" w:rsidP="00997FA2">
      <w:pPr>
        <w:spacing w:before="120" w:after="120" w:line="360" w:lineRule="auto"/>
        <w:rPr>
          <w:rFonts w:ascii="Tahoma" w:hAnsi="Tahoma" w:cs="Tahoma"/>
          <w:sz w:val="20"/>
          <w:szCs w:val="20"/>
        </w:rPr>
      </w:pPr>
      <w:r>
        <w:rPr>
          <w:rFonts w:ascii="Tahoma" w:hAnsi="Tahoma" w:cs="Tahoma"/>
          <w:sz w:val="20"/>
          <w:szCs w:val="20"/>
        </w:rPr>
        <w:t xml:space="preserve">Analisando sob uma perspectiva de diversidade da composição do quadro de empregados da Finep, observa-se que a empresa reflete desigualdades estruturantes da sociedade brasileira em termos de gênero e de raça e cor. </w:t>
      </w:r>
    </w:p>
    <w:p w14:paraId="1698429F" w14:textId="77777777" w:rsidR="00997FA2" w:rsidRDefault="00997FA2" w:rsidP="00997FA2">
      <w:pPr>
        <w:spacing w:before="120" w:after="120" w:line="360" w:lineRule="auto"/>
        <w:rPr>
          <w:rFonts w:ascii="Tahoma" w:hAnsi="Tahoma" w:cs="Tahoma"/>
          <w:sz w:val="20"/>
          <w:szCs w:val="20"/>
        </w:rPr>
      </w:pPr>
    </w:p>
    <w:p w14:paraId="48C48628" w14:textId="77777777" w:rsidR="00997FA2" w:rsidRDefault="00997FA2" w:rsidP="00997FA2">
      <w:pPr>
        <w:spacing w:before="120" w:after="120" w:line="360" w:lineRule="auto"/>
        <w:rPr>
          <w:rFonts w:ascii="Tahoma" w:hAnsi="Tahoma" w:cs="Tahoma"/>
          <w:sz w:val="20"/>
          <w:szCs w:val="20"/>
        </w:rPr>
      </w:pPr>
      <w:r>
        <w:rPr>
          <w:rFonts w:ascii="Tahoma" w:hAnsi="Tahoma" w:cs="Tahoma"/>
          <w:sz w:val="20"/>
          <w:szCs w:val="20"/>
        </w:rPr>
        <w:t>Do ponto de vista</w:t>
      </w:r>
      <w:r w:rsidRPr="00EA1BBA">
        <w:rPr>
          <w:rFonts w:ascii="Tahoma" w:hAnsi="Tahoma" w:cs="Tahoma"/>
          <w:sz w:val="20"/>
          <w:szCs w:val="20"/>
        </w:rPr>
        <w:t xml:space="preserve"> de gênero, 41%</w:t>
      </w:r>
      <w:r>
        <w:rPr>
          <w:rFonts w:ascii="Tahoma" w:hAnsi="Tahoma" w:cs="Tahoma"/>
          <w:sz w:val="20"/>
          <w:szCs w:val="20"/>
        </w:rPr>
        <w:t xml:space="preserve"> dos funcionários</w:t>
      </w:r>
      <w:r w:rsidRPr="00EA1BBA">
        <w:rPr>
          <w:rFonts w:ascii="Tahoma" w:hAnsi="Tahoma" w:cs="Tahoma"/>
          <w:sz w:val="20"/>
          <w:szCs w:val="20"/>
        </w:rPr>
        <w:t xml:space="preserve"> são mulheres e 59% são homens.</w:t>
      </w:r>
      <w:r>
        <w:rPr>
          <w:rFonts w:ascii="Tahoma" w:hAnsi="Tahoma" w:cs="Tahoma"/>
          <w:sz w:val="20"/>
          <w:szCs w:val="20"/>
        </w:rPr>
        <w:t xml:space="preserve"> Os homens são maioria entre os profissionais analistas, cargo da carreira de nível superior, e são minoria entre os profissionais assistentes, cargo da carreira de nível médio.</w:t>
      </w:r>
    </w:p>
    <w:p w14:paraId="365B980E" w14:textId="77777777" w:rsidR="00997FA2" w:rsidRDefault="00997FA2" w:rsidP="00997FA2">
      <w:pPr>
        <w:autoSpaceDE w:val="0"/>
        <w:spacing w:before="120" w:after="120" w:line="360" w:lineRule="auto"/>
        <w:rPr>
          <w:rFonts w:ascii="Tahoma" w:hAnsi="Tahoma" w:cs="Tahoma"/>
          <w:sz w:val="19"/>
          <w:szCs w:val="19"/>
        </w:rPr>
      </w:pPr>
      <w:r>
        <w:rPr>
          <w:rFonts w:ascii="Tahoma" w:hAnsi="Tahoma" w:cs="Tahoma"/>
          <w:sz w:val="19"/>
          <w:szCs w:val="19"/>
        </w:rPr>
        <w:t xml:space="preserve"> </w:t>
      </w:r>
      <w:r w:rsidRPr="00D97147">
        <w:rPr>
          <w:rFonts w:ascii="Tahoma" w:hAnsi="Tahoma" w:cs="Tahoma"/>
          <w:sz w:val="19"/>
          <w:szCs w:val="19"/>
        </w:rPr>
        <w:t>A representatividade das mulheres se apresenta decrescente conforme o aumento da complexidade dos cargos e funções, como pode ser visto no próximo gráfico.</w:t>
      </w:r>
      <w:r>
        <w:rPr>
          <w:rFonts w:ascii="Tahoma" w:hAnsi="Tahoma" w:cs="Tahoma"/>
          <w:sz w:val="19"/>
          <w:szCs w:val="19"/>
        </w:rPr>
        <w:t xml:space="preserve"> A prevalência masculina é maior entre os colaboradores extraquadro, ou seja, aqueles com vínculo transitório com a Finep. As mulheres em exercício </w:t>
      </w:r>
      <w:r>
        <w:rPr>
          <w:rFonts w:ascii="Tahoma" w:hAnsi="Tahoma" w:cs="Tahoma"/>
          <w:sz w:val="19"/>
          <w:szCs w:val="19"/>
        </w:rPr>
        <w:lastRenderedPageBreak/>
        <w:t xml:space="preserve">com esse tipo de vínculo estão, majoritariamente, alocadas na função de secretárias da Diretoria Executiva, como explicitam os gráficos a seguir. </w:t>
      </w:r>
    </w:p>
    <w:p w14:paraId="72E51DA9" w14:textId="77777777" w:rsidR="00997FA2" w:rsidRDefault="00997FA2" w:rsidP="00997FA2">
      <w:pPr>
        <w:autoSpaceDE w:val="0"/>
        <w:spacing w:before="120" w:after="120" w:line="360" w:lineRule="auto"/>
        <w:rPr>
          <w:rFonts w:ascii="Tahoma" w:hAnsi="Tahoma" w:cs="Tahoma"/>
          <w:sz w:val="19"/>
          <w:szCs w:val="19"/>
        </w:rPr>
      </w:pPr>
    </w:p>
    <w:p w14:paraId="5AAFCEA9" w14:textId="77777777" w:rsidR="00997FA2" w:rsidRDefault="00997FA2" w:rsidP="00997FA2">
      <w:pPr>
        <w:autoSpaceDE w:val="0"/>
        <w:spacing w:before="120" w:after="120" w:line="360" w:lineRule="auto"/>
        <w:rPr>
          <w:rFonts w:ascii="Tahoma" w:hAnsi="Tahoma" w:cs="Tahoma"/>
          <w:sz w:val="19"/>
          <w:szCs w:val="19"/>
        </w:rPr>
      </w:pPr>
      <w:r w:rsidRPr="00241D0F">
        <w:rPr>
          <w:rFonts w:ascii="Tahoma" w:hAnsi="Tahoma" w:cs="Tahoma"/>
          <w:noProof/>
          <w:sz w:val="19"/>
          <w:szCs w:val="19"/>
        </w:rPr>
        <w:drawing>
          <wp:inline distT="0" distB="0" distL="0" distR="0" wp14:anchorId="13665BAC" wp14:editId="38D5143D">
            <wp:extent cx="5295331" cy="5053816"/>
            <wp:effectExtent l="0" t="0" r="635" b="0"/>
            <wp:docPr id="311985174"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85174" name="Imagem 1" descr="Interface gráfica do usuário&#10;&#10;Descrição gerada automaticamente"/>
                    <pic:cNvPicPr/>
                  </pic:nvPicPr>
                  <pic:blipFill rotWithShape="1">
                    <a:blip r:embed="rId223"/>
                    <a:srcRect l="6423" t="6480" r="13379" b="3414"/>
                    <a:stretch/>
                  </pic:blipFill>
                  <pic:spPr bwMode="auto">
                    <a:xfrm>
                      <a:off x="0" y="0"/>
                      <a:ext cx="5306978" cy="5064932"/>
                    </a:xfrm>
                    <a:prstGeom prst="rect">
                      <a:avLst/>
                    </a:prstGeom>
                    <a:ln>
                      <a:noFill/>
                    </a:ln>
                    <a:extLst>
                      <a:ext uri="{53640926-AAD7-44D8-BBD7-CCE9431645EC}">
                        <a14:shadowObscured xmlns:a14="http://schemas.microsoft.com/office/drawing/2010/main"/>
                      </a:ext>
                    </a:extLst>
                  </pic:spPr>
                </pic:pic>
              </a:graphicData>
            </a:graphic>
          </wp:inline>
        </w:drawing>
      </w:r>
    </w:p>
    <w:p w14:paraId="0F02E05E" w14:textId="77777777" w:rsidR="00F44F56" w:rsidRDefault="00F44F56" w:rsidP="00997FA2">
      <w:pPr>
        <w:autoSpaceDE w:val="0"/>
        <w:spacing w:before="120" w:after="120" w:line="360" w:lineRule="auto"/>
        <w:rPr>
          <w:rFonts w:ascii="Tahoma" w:hAnsi="Tahoma" w:cs="Tahoma"/>
          <w:sz w:val="19"/>
          <w:szCs w:val="19"/>
        </w:rPr>
      </w:pPr>
    </w:p>
    <w:p w14:paraId="53C6A636" w14:textId="61763602" w:rsidR="00997FA2" w:rsidRPr="00D97147" w:rsidRDefault="00997FA2" w:rsidP="00997FA2">
      <w:pPr>
        <w:autoSpaceDE w:val="0"/>
        <w:spacing w:before="120" w:after="120" w:line="360" w:lineRule="auto"/>
        <w:rPr>
          <w:rFonts w:ascii="Tahoma" w:hAnsi="Tahoma" w:cs="Tahoma"/>
          <w:sz w:val="19"/>
          <w:szCs w:val="19"/>
        </w:rPr>
      </w:pPr>
      <w:r w:rsidRPr="00D97147">
        <w:rPr>
          <w:rFonts w:ascii="Tahoma" w:hAnsi="Tahoma" w:cs="Tahoma"/>
          <w:sz w:val="19"/>
          <w:szCs w:val="19"/>
        </w:rPr>
        <w:t>A atual gestão pretende combater esse tipo de desigualdade e para 2024 estabeleceu indicador de equidade de gênero em posições de liderança, com meta de 40% de mulheres nas posições de superintendência, assessoria e gerência.</w:t>
      </w:r>
    </w:p>
    <w:p w14:paraId="55B8CC2D" w14:textId="61E57F65" w:rsidR="00997FA2" w:rsidRDefault="00997FA2" w:rsidP="00997FA2">
      <w:pPr>
        <w:autoSpaceDE w:val="0"/>
        <w:spacing w:before="120" w:after="120" w:line="360" w:lineRule="auto"/>
        <w:rPr>
          <w:rFonts w:ascii="Tahoma" w:hAnsi="Tahoma" w:cs="Tahoma"/>
          <w:sz w:val="19"/>
          <w:szCs w:val="19"/>
        </w:rPr>
      </w:pPr>
      <w:r w:rsidRPr="009E5683">
        <w:rPr>
          <w:rFonts w:ascii="Tahoma" w:hAnsi="Tahoma" w:cs="Tahoma"/>
          <w:sz w:val="19"/>
          <w:szCs w:val="19"/>
        </w:rPr>
        <w:t xml:space="preserve">Já na perspectiva de raça, observa-se que </w:t>
      </w:r>
      <w:r>
        <w:rPr>
          <w:rFonts w:ascii="Tahoma" w:hAnsi="Tahoma" w:cs="Tahoma"/>
          <w:sz w:val="19"/>
          <w:szCs w:val="19"/>
        </w:rPr>
        <w:t>mais de 80% dos empregados se autodeclaram brancos, proporção que se repete ao considerarmos o tipo de vínculo dos colaboradores (extraquadro ou efetivos) e a maior parte das posições de liderança exercidas na empresa. Como os gráficos a seguir ilustram, as pessoas pretas e pardas só ultrapassam os 20% das categorias de encarregado operacional e de secretário da Diretoria Executiva, funções gratificadas desempenhadas por pessoas da carreira de assistente na empresa.</w:t>
      </w:r>
    </w:p>
    <w:p w14:paraId="2D7DC56C" w14:textId="77777777" w:rsidR="00997FA2" w:rsidRDefault="00997FA2" w:rsidP="00997FA2">
      <w:pPr>
        <w:autoSpaceDE w:val="0"/>
        <w:spacing w:before="120" w:after="120" w:line="360" w:lineRule="auto"/>
        <w:rPr>
          <w:rFonts w:ascii="Tahoma" w:hAnsi="Tahoma" w:cs="Tahoma"/>
          <w:sz w:val="19"/>
          <w:szCs w:val="19"/>
        </w:rPr>
      </w:pPr>
    </w:p>
    <w:p w14:paraId="4D0B895D" w14:textId="423FF64A" w:rsidR="00997FA2" w:rsidRDefault="001929B2" w:rsidP="00997FA2">
      <w:pPr>
        <w:autoSpaceDE w:val="0"/>
        <w:spacing w:before="120" w:after="120" w:line="360" w:lineRule="auto"/>
        <w:rPr>
          <w:rFonts w:ascii="Tahoma" w:hAnsi="Tahoma" w:cs="Tahoma"/>
          <w:sz w:val="19"/>
          <w:szCs w:val="19"/>
        </w:rPr>
      </w:pPr>
      <w:r>
        <w:rPr>
          <w:rFonts w:ascii="Tahoma" w:hAnsi="Tahoma" w:cs="Tahoma"/>
          <w:noProof/>
          <w:sz w:val="19"/>
          <w:szCs w:val="19"/>
        </w:rPr>
        <w:lastRenderedPageBreak/>
        <mc:AlternateContent>
          <mc:Choice Requires="wps">
            <w:drawing>
              <wp:anchor distT="0" distB="0" distL="114300" distR="114300" simplePos="0" relativeHeight="251909120" behindDoc="0" locked="0" layoutInCell="1" allowOverlap="1" wp14:anchorId="6D86E4A8" wp14:editId="3DF2A90B">
                <wp:simplePos x="0" y="0"/>
                <wp:positionH relativeFrom="margin">
                  <wp:posOffset>1971675</wp:posOffset>
                </wp:positionH>
                <wp:positionV relativeFrom="paragraph">
                  <wp:posOffset>361950</wp:posOffset>
                </wp:positionV>
                <wp:extent cx="1009650" cy="372139"/>
                <wp:effectExtent l="0" t="0" r="0" b="8890"/>
                <wp:wrapNone/>
                <wp:docPr id="557928612" name="Retângulo 2"/>
                <wp:cNvGraphicFramePr/>
                <a:graphic xmlns:a="http://schemas.openxmlformats.org/drawingml/2006/main">
                  <a:graphicData uri="http://schemas.microsoft.com/office/word/2010/wordprocessingShape">
                    <wps:wsp>
                      <wps:cNvSpPr/>
                      <wps:spPr>
                        <a:xfrm>
                          <a:off x="0" y="0"/>
                          <a:ext cx="1009650" cy="3721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26B8B7" id="Retângulo 2" o:spid="_x0000_s1026" style="position:absolute;margin-left:155.25pt;margin-top:28.5pt;width:79.5pt;height:29.3pt;z-index:251909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" fillcolor="white [3212]" stroked="f" strokeweight="1pt">
                <w10:wrap anchorx="margin"/>
              </v:rect>
            </w:pict>
          </mc:Fallback>
        </mc:AlternateContent>
      </w:r>
      <w:r>
        <w:rPr>
          <w:rFonts w:ascii="Tahoma" w:hAnsi="Tahoma" w:cs="Tahoma"/>
          <w:noProof/>
          <w:sz w:val="19"/>
          <w:szCs w:val="19"/>
        </w:rPr>
        <mc:AlternateContent>
          <mc:Choice Requires="wps">
            <w:drawing>
              <wp:anchor distT="0" distB="0" distL="114300" distR="114300" simplePos="0" relativeHeight="251907072" behindDoc="0" locked="0" layoutInCell="1" allowOverlap="1" wp14:anchorId="51507D39" wp14:editId="3680765A">
                <wp:simplePos x="0" y="0"/>
                <wp:positionH relativeFrom="margin">
                  <wp:align>right</wp:align>
                </wp:positionH>
                <wp:positionV relativeFrom="paragraph">
                  <wp:posOffset>10160</wp:posOffset>
                </wp:positionV>
                <wp:extent cx="659219" cy="372139"/>
                <wp:effectExtent l="0" t="0" r="7620" b="8890"/>
                <wp:wrapNone/>
                <wp:docPr id="1148498967" name="Retângulo 2"/>
                <wp:cNvGraphicFramePr/>
                <a:graphic xmlns:a="http://schemas.openxmlformats.org/drawingml/2006/main">
                  <a:graphicData uri="http://schemas.microsoft.com/office/word/2010/wordprocessingShape">
                    <wps:wsp>
                      <wps:cNvSpPr/>
                      <wps:spPr>
                        <a:xfrm>
                          <a:off x="0" y="0"/>
                          <a:ext cx="659219" cy="3721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BE8077" id="Retângulo 2" o:spid="_x0000_s1026" style="position:absolute;margin-left:.7pt;margin-top:.8pt;width:51.9pt;height:29.3pt;z-index:25190707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" fillcolor="white [3212]" stroked="f" strokeweight="1pt">
                <w10:wrap anchorx="margin"/>
              </v:rect>
            </w:pict>
          </mc:Fallback>
        </mc:AlternateContent>
      </w:r>
      <w:r w:rsidR="00997FA2" w:rsidRPr="00514EFB">
        <w:rPr>
          <w:rFonts w:ascii="Tahoma" w:hAnsi="Tahoma" w:cs="Tahoma"/>
          <w:noProof/>
          <w:sz w:val="19"/>
          <w:szCs w:val="19"/>
        </w:rPr>
        <w:drawing>
          <wp:inline distT="0" distB="0" distL="0" distR="0" wp14:anchorId="614364CD" wp14:editId="6577B439">
            <wp:extent cx="5784112" cy="5113833"/>
            <wp:effectExtent l="0" t="0" r="7620" b="0"/>
            <wp:docPr id="55948958"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8958" name="Imagem 1" descr="Interface gráfica do usuário&#10;&#10;Descrição gerada automaticamente"/>
                    <pic:cNvPicPr/>
                  </pic:nvPicPr>
                  <pic:blipFill rotWithShape="1">
                    <a:blip r:embed="rId224"/>
                    <a:srcRect l="2569" t="5586" r="5681" b="2942"/>
                    <a:stretch/>
                  </pic:blipFill>
                  <pic:spPr bwMode="auto">
                    <a:xfrm>
                      <a:off x="0" y="0"/>
                      <a:ext cx="5788283" cy="5117521"/>
                    </a:xfrm>
                    <a:prstGeom prst="rect">
                      <a:avLst/>
                    </a:prstGeom>
                    <a:ln>
                      <a:noFill/>
                    </a:ln>
                    <a:extLst>
                      <a:ext uri="{53640926-AAD7-44D8-BBD7-CCE9431645EC}">
                        <a14:shadowObscured xmlns:a14="http://schemas.microsoft.com/office/drawing/2010/main"/>
                      </a:ext>
                    </a:extLst>
                  </pic:spPr>
                </pic:pic>
              </a:graphicData>
            </a:graphic>
          </wp:inline>
        </w:drawing>
      </w:r>
    </w:p>
    <w:p w14:paraId="69F538C1" w14:textId="77777777" w:rsidR="00997FA2" w:rsidRDefault="00997FA2" w:rsidP="00997FA2">
      <w:pPr>
        <w:autoSpaceDE w:val="0"/>
        <w:spacing w:before="120" w:after="120" w:line="360" w:lineRule="auto"/>
        <w:rPr>
          <w:rFonts w:ascii="Tahoma" w:hAnsi="Tahoma" w:cs="Tahoma"/>
          <w:sz w:val="19"/>
          <w:szCs w:val="19"/>
        </w:rPr>
      </w:pPr>
      <w:r>
        <w:rPr>
          <w:rFonts w:ascii="Tahoma" w:hAnsi="Tahoma" w:cs="Tahoma"/>
          <w:sz w:val="19"/>
          <w:szCs w:val="19"/>
        </w:rPr>
        <w:t xml:space="preserve">No </w:t>
      </w:r>
      <w:r w:rsidRPr="009E5683">
        <w:rPr>
          <w:rFonts w:ascii="Tahoma" w:hAnsi="Tahoma" w:cs="Tahoma"/>
          <w:sz w:val="19"/>
          <w:szCs w:val="19"/>
        </w:rPr>
        <w:t xml:space="preserve">quadro atual de funcionários efetivos, há 12 </w:t>
      </w:r>
      <w:r>
        <w:rPr>
          <w:rFonts w:ascii="Tahoma" w:hAnsi="Tahoma" w:cs="Tahoma"/>
          <w:sz w:val="19"/>
          <w:szCs w:val="19"/>
        </w:rPr>
        <w:t>– p</w:t>
      </w:r>
      <w:r w:rsidRPr="009E5683">
        <w:rPr>
          <w:rFonts w:ascii="Tahoma" w:hAnsi="Tahoma" w:cs="Tahoma"/>
          <w:sz w:val="19"/>
          <w:szCs w:val="19"/>
        </w:rPr>
        <w:t>essoas com deficiências, que correspondem a 2,2% do total de empregados</w:t>
      </w:r>
      <w:r>
        <w:rPr>
          <w:rFonts w:ascii="Tahoma" w:hAnsi="Tahoma" w:cs="Tahoma"/>
          <w:sz w:val="19"/>
          <w:szCs w:val="19"/>
        </w:rPr>
        <w:t xml:space="preserve">. </w:t>
      </w:r>
    </w:p>
    <w:p w14:paraId="17F021BC" w14:textId="77777777" w:rsidR="00997FA2" w:rsidRDefault="00997FA2" w:rsidP="00997FA2">
      <w:pPr>
        <w:autoSpaceDN w:val="0"/>
        <w:spacing w:after="160"/>
        <w:textAlignment w:val="baseline"/>
        <w:rPr>
          <w:rFonts w:ascii="Tahoma" w:hAnsi="Tahoma" w:cs="Tahoma"/>
          <w:sz w:val="19"/>
          <w:szCs w:val="19"/>
        </w:rPr>
      </w:pPr>
    </w:p>
    <w:p w14:paraId="724AEBFB" w14:textId="77777777" w:rsidR="00997FA2" w:rsidRPr="003C168E" w:rsidRDefault="00997FA2" w:rsidP="00997FA2">
      <w:pPr>
        <w:spacing w:before="120" w:after="120" w:line="360" w:lineRule="auto"/>
        <w:jc w:val="both"/>
        <w:rPr>
          <w:rFonts w:ascii="Tahoma" w:hAnsi="Tahoma" w:cs="Tahoma"/>
          <w:sz w:val="19"/>
          <w:szCs w:val="19"/>
        </w:rPr>
      </w:pPr>
      <w:r>
        <w:rPr>
          <w:rFonts w:ascii="Tahoma" w:hAnsi="Tahoma" w:cs="Tahoma"/>
          <w:sz w:val="19"/>
          <w:szCs w:val="19"/>
        </w:rPr>
        <w:t xml:space="preserve">Em média, os funcionários da Finep recebem remuneração mensal de </w:t>
      </w:r>
      <w:r w:rsidRPr="00D97147">
        <w:rPr>
          <w:rFonts w:ascii="Tahoma" w:hAnsi="Tahoma" w:cs="Tahoma"/>
          <w:sz w:val="19"/>
          <w:szCs w:val="19"/>
        </w:rPr>
        <w:t>R$23,3 mil</w:t>
      </w:r>
      <w:r>
        <w:rPr>
          <w:rFonts w:ascii="Tahoma" w:hAnsi="Tahoma" w:cs="Tahoma"/>
          <w:sz w:val="19"/>
          <w:szCs w:val="19"/>
        </w:rPr>
        <w:t xml:space="preserve"> e sua idade média era de 50 anos ao final de 2023. </w:t>
      </w:r>
      <w:r w:rsidRPr="003C168E">
        <w:rPr>
          <w:rFonts w:ascii="Tahoma" w:hAnsi="Tahoma" w:cs="Tahoma"/>
          <w:sz w:val="19"/>
          <w:szCs w:val="19"/>
        </w:rPr>
        <w:t>Há concentração da quantidade de funcionários na faixa etária de 41-60 (49) anos e com 11-30 (17) anos de empresa.</w:t>
      </w:r>
      <w:r w:rsidRPr="003C168E">
        <w:rPr>
          <w:rFonts w:ascii="Tahoma" w:hAnsi="Tahoma" w:cs="Tahoma"/>
          <w:i/>
          <w:iCs/>
          <w:noProof/>
          <w:color w:val="ED7D31" w:themeColor="accent2"/>
          <w:sz w:val="19"/>
          <w:szCs w:val="19"/>
        </w:rPr>
        <w:t xml:space="preserve"> </w:t>
      </w:r>
    </w:p>
    <w:p w14:paraId="3F4BEF59" w14:textId="77777777" w:rsidR="00997FA2" w:rsidRDefault="00997FA2" w:rsidP="00997FA2">
      <w:pPr>
        <w:spacing w:before="120" w:after="120" w:line="360" w:lineRule="auto"/>
        <w:jc w:val="both"/>
        <w:rPr>
          <w:rStyle w:val="Hyperlink"/>
          <w:rFonts w:ascii="Tahoma" w:hAnsi="Tahoma" w:cs="Tahoma"/>
          <w:color w:val="auto"/>
          <w:sz w:val="19"/>
          <w:szCs w:val="19"/>
        </w:rPr>
      </w:pPr>
    </w:p>
    <w:p w14:paraId="5F2A0A36" w14:textId="77777777" w:rsidR="00997FA2" w:rsidRDefault="00997FA2" w:rsidP="00997FA2">
      <w:pPr>
        <w:autoSpaceDE w:val="0"/>
        <w:spacing w:before="120" w:after="120" w:line="360" w:lineRule="auto"/>
        <w:rPr>
          <w:rFonts w:ascii="Tahoma" w:hAnsi="Tahoma" w:cs="Tahoma"/>
          <w:sz w:val="19"/>
          <w:szCs w:val="19"/>
        </w:rPr>
      </w:pPr>
      <w:r w:rsidRPr="003C168E">
        <w:rPr>
          <w:rFonts w:ascii="Tahoma" w:hAnsi="Tahoma" w:cs="Tahoma"/>
          <w:noProof/>
          <w:sz w:val="19"/>
          <w:szCs w:val="19"/>
        </w:rPr>
        <w:drawing>
          <wp:inline distT="0" distB="0" distL="0" distR="0" wp14:anchorId="312D44FF" wp14:editId="5B4DB0ED">
            <wp:extent cx="2866030" cy="1609336"/>
            <wp:effectExtent l="0" t="0" r="0" b="0"/>
            <wp:docPr id="1112317468" name="Imagem 3"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57411" name="Imagem 3" descr="Gráfico, Gráfico de barras&#10;&#10;Descrição gerada automaticamente"/>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93055" cy="1624511"/>
                    </a:xfrm>
                    <a:prstGeom prst="rect">
                      <a:avLst/>
                    </a:prstGeom>
                    <a:noFill/>
                  </pic:spPr>
                </pic:pic>
              </a:graphicData>
            </a:graphic>
          </wp:inline>
        </w:drawing>
      </w:r>
      <w:r w:rsidRPr="003C168E">
        <w:rPr>
          <w:rFonts w:ascii="Tahoma" w:hAnsi="Tahoma" w:cs="Tahoma"/>
          <w:noProof/>
          <w:sz w:val="19"/>
          <w:szCs w:val="19"/>
        </w:rPr>
        <w:drawing>
          <wp:inline distT="0" distB="0" distL="0" distR="0" wp14:anchorId="5304226D" wp14:editId="0F59E2C3">
            <wp:extent cx="2788692" cy="1620501"/>
            <wp:effectExtent l="0" t="0" r="0" b="0"/>
            <wp:docPr id="2039358648" name="Imagem 4"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03828" name="Imagem 4" descr="Gráfico, Gráfico de barras&#10;&#10;Descrição gerada automaticament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11428" cy="1633713"/>
                    </a:xfrm>
                    <a:prstGeom prst="rect">
                      <a:avLst/>
                    </a:prstGeom>
                    <a:noFill/>
                  </pic:spPr>
                </pic:pic>
              </a:graphicData>
            </a:graphic>
          </wp:inline>
        </w:drawing>
      </w:r>
    </w:p>
    <w:p w14:paraId="6AD6B47F" w14:textId="77777777" w:rsidR="00997FA2" w:rsidRDefault="00997FA2" w:rsidP="005C3A5A">
      <w:pPr>
        <w:autoSpaceDE w:val="0"/>
        <w:spacing w:before="120" w:after="120" w:line="360" w:lineRule="auto"/>
        <w:jc w:val="center"/>
        <w:rPr>
          <w:rFonts w:ascii="Tahoma" w:hAnsi="Tahoma" w:cs="Tahoma"/>
          <w:sz w:val="19"/>
          <w:szCs w:val="19"/>
        </w:rPr>
      </w:pPr>
      <w:r w:rsidRPr="008A3BC2">
        <w:rPr>
          <w:rStyle w:val="Hyperlink"/>
          <w:rFonts w:ascii="Tahoma" w:hAnsi="Tahoma" w:cs="Tahoma"/>
          <w:i/>
          <w:iCs/>
          <w:noProof/>
          <w:sz w:val="20"/>
          <w:szCs w:val="20"/>
          <w:u w:val="none"/>
        </w:rPr>
        <w:lastRenderedPageBreak/>
        <w:drawing>
          <wp:inline distT="0" distB="0" distL="0" distR="0" wp14:anchorId="62D0E1F2" wp14:editId="0278E001">
            <wp:extent cx="3041650" cy="2248729"/>
            <wp:effectExtent l="0" t="0" r="6350" b="0"/>
            <wp:docPr id="1055753244" name="Imagem 1"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400492" name="Imagem 1" descr="Gráfico, Gráfico de barras&#10;&#10;Descrição gerada automaticamente"/>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046847" cy="2252571"/>
                    </a:xfrm>
                    <a:prstGeom prst="rect">
                      <a:avLst/>
                    </a:prstGeom>
                    <a:noFill/>
                  </pic:spPr>
                </pic:pic>
              </a:graphicData>
            </a:graphic>
          </wp:inline>
        </w:drawing>
      </w:r>
    </w:p>
    <w:p w14:paraId="4BE49D86" w14:textId="77777777" w:rsidR="005C3A5A" w:rsidRDefault="005C3A5A" w:rsidP="00997FA2">
      <w:pPr>
        <w:spacing w:before="120" w:after="120" w:line="360" w:lineRule="auto"/>
        <w:rPr>
          <w:rFonts w:ascii="Tahoma" w:hAnsi="Tahoma" w:cs="Tahoma"/>
          <w:sz w:val="20"/>
          <w:szCs w:val="20"/>
        </w:rPr>
      </w:pPr>
    </w:p>
    <w:p w14:paraId="67C31E98" w14:textId="45FE67E5" w:rsidR="00997FA2" w:rsidRDefault="00997FA2" w:rsidP="00997FA2">
      <w:pPr>
        <w:spacing w:before="120" w:after="120" w:line="360" w:lineRule="auto"/>
        <w:rPr>
          <w:rFonts w:ascii="Tahoma" w:hAnsi="Tahoma" w:cs="Tahoma"/>
          <w:sz w:val="20"/>
          <w:szCs w:val="20"/>
        </w:rPr>
      </w:pPr>
      <w:r>
        <w:rPr>
          <w:rFonts w:ascii="Tahoma" w:hAnsi="Tahoma" w:cs="Tahoma"/>
          <w:sz w:val="20"/>
          <w:szCs w:val="20"/>
        </w:rPr>
        <w:t xml:space="preserve">Enfrentar esse diagnóstico é importante para se pensar em iniciativas voltadas à promoção da diversidade, da equidade e da inclusão na empresa. Do novo modelo de concurso público, passando pela aprovação de uma Política de Promoção de Equidade, até chegar ao compromisso com metas estratégicas de diversidade no Plano de Negócios de 2024, o tema ganhou relevância ao longo de 2023 e será mais bem explorado em outras seções deste relatório. </w:t>
      </w:r>
    </w:p>
    <w:p w14:paraId="43798E2D" w14:textId="77777777" w:rsidR="00997FA2" w:rsidRDefault="00997FA2" w:rsidP="00997FA2">
      <w:pPr>
        <w:autoSpaceDN w:val="0"/>
        <w:spacing w:after="160"/>
        <w:textAlignment w:val="baseline"/>
        <w:rPr>
          <w:rFonts w:ascii="Tahoma" w:hAnsi="Tahoma" w:cs="Tahoma"/>
          <w:sz w:val="19"/>
          <w:szCs w:val="19"/>
        </w:rPr>
      </w:pPr>
    </w:p>
    <w:p w14:paraId="29502FD6" w14:textId="77777777" w:rsidR="00997FA2" w:rsidRPr="003C168E" w:rsidRDefault="00997FA2" w:rsidP="00997FA2">
      <w:pPr>
        <w:spacing w:before="120" w:after="120" w:line="360" w:lineRule="auto"/>
        <w:jc w:val="both"/>
        <w:rPr>
          <w:rFonts w:ascii="Tahoma" w:hAnsi="Tahoma" w:cs="Tahoma"/>
          <w:sz w:val="19"/>
          <w:szCs w:val="19"/>
        </w:rPr>
      </w:pPr>
    </w:p>
    <w:p w14:paraId="0447F645" w14:textId="77777777" w:rsidR="00997FA2" w:rsidRDefault="00997FA2" w:rsidP="00997FA2">
      <w:pPr>
        <w:spacing w:before="120" w:after="120" w:line="360" w:lineRule="auto"/>
        <w:jc w:val="both"/>
        <w:rPr>
          <w:rFonts w:ascii="Tahoma" w:hAnsi="Tahoma" w:cs="Tahoma"/>
          <w:sz w:val="19"/>
          <w:szCs w:val="19"/>
        </w:rPr>
      </w:pPr>
    </w:p>
    <w:p w14:paraId="57BF5A28" w14:textId="77777777" w:rsidR="00997FA2" w:rsidRDefault="00997FA2" w:rsidP="00997FA2">
      <w:pPr>
        <w:autoSpaceDN w:val="0"/>
        <w:spacing w:after="160"/>
        <w:textAlignment w:val="baseline"/>
        <w:rPr>
          <w:rFonts w:ascii="Tahoma" w:hAnsi="Tahoma" w:cs="Tahoma"/>
          <w:sz w:val="19"/>
          <w:szCs w:val="19"/>
        </w:rPr>
      </w:pPr>
      <w:r>
        <w:rPr>
          <w:rFonts w:ascii="Tahoma" w:hAnsi="Tahoma" w:cs="Tahoma"/>
          <w:sz w:val="19"/>
          <w:szCs w:val="19"/>
        </w:rPr>
        <w:br w:type="page"/>
      </w:r>
    </w:p>
    <w:p w14:paraId="62F286FF" w14:textId="77777777" w:rsidR="00997FA2" w:rsidRPr="003D0607" w:rsidRDefault="00997FA2" w:rsidP="00997FA2">
      <w:pPr>
        <w:pStyle w:val="Ttulo2"/>
        <w:spacing w:before="0" w:after="120" w:line="360" w:lineRule="auto"/>
        <w:ind w:left="862" w:hanging="578"/>
        <w:rPr>
          <w:rFonts w:ascii="Tahoma" w:hAnsi="Tahoma" w:cs="Tahoma"/>
          <w:color w:val="0098BA"/>
          <w:sz w:val="24"/>
          <w:szCs w:val="24"/>
        </w:rPr>
      </w:pPr>
      <w:bookmarkStart w:id="201" w:name="_Toc65494340"/>
      <w:bookmarkStart w:id="202" w:name="_Toc93683648"/>
      <w:bookmarkStart w:id="203" w:name="_Toc94256486"/>
      <w:bookmarkStart w:id="204" w:name="_Toc94278211"/>
      <w:bookmarkStart w:id="205" w:name="_Toc97244818"/>
      <w:bookmarkStart w:id="206" w:name="_Toc105003806"/>
      <w:bookmarkStart w:id="207" w:name="_Toc105006489"/>
      <w:bookmarkStart w:id="208" w:name="_Toc131692256"/>
      <w:bookmarkStart w:id="209" w:name="_Toc163025268"/>
      <w:bookmarkStart w:id="210" w:name="_Toc162512605"/>
      <w:r w:rsidRPr="009E5683">
        <w:rPr>
          <w:rFonts w:ascii="Tahoma" w:hAnsi="Tahoma" w:cs="Tahoma"/>
          <w:color w:val="0098BA"/>
          <w:sz w:val="24"/>
          <w:szCs w:val="24"/>
        </w:rPr>
        <w:lastRenderedPageBreak/>
        <w:t>Capital social e de relacionamento</w:t>
      </w:r>
      <w:bookmarkEnd w:id="201"/>
      <w:bookmarkEnd w:id="202"/>
      <w:bookmarkEnd w:id="203"/>
      <w:bookmarkEnd w:id="204"/>
      <w:bookmarkEnd w:id="205"/>
      <w:bookmarkEnd w:id="206"/>
      <w:bookmarkEnd w:id="207"/>
      <w:bookmarkEnd w:id="208"/>
      <w:bookmarkEnd w:id="209"/>
      <w:bookmarkEnd w:id="210"/>
    </w:p>
    <w:p w14:paraId="0D31D602" w14:textId="77777777" w:rsidR="00997FA2" w:rsidRPr="00193D50" w:rsidRDefault="00997FA2" w:rsidP="00997FA2">
      <w:pPr>
        <w:spacing w:before="120" w:after="120" w:line="360" w:lineRule="auto"/>
        <w:rPr>
          <w:rFonts w:ascii="Tahoma" w:hAnsi="Tahoma" w:cs="Tahoma"/>
          <w:sz w:val="19"/>
          <w:szCs w:val="19"/>
        </w:rPr>
      </w:pPr>
      <w:r w:rsidRPr="009E5683">
        <w:rPr>
          <w:rFonts w:ascii="Tahoma" w:hAnsi="Tahoma" w:cs="Tahoma"/>
          <w:sz w:val="19"/>
          <w:szCs w:val="19"/>
        </w:rPr>
        <w:t xml:space="preserve">Em 19 de dezembro de 2023, a Finep iniciou uma série de seminários sobre o tema “Neoindustrialização em novas bases e apoio à inovação nas empresas”, criada com o objetivo de promover debates sobre questões relativas à Ciência, Tecnologia e Inovação que gerassem subsídios para a 5ª CNCTI – Conferência Nacional de Ciência, Tecnologia e Inovação, que acontecerá em junho de 2024. </w:t>
      </w:r>
    </w:p>
    <w:p w14:paraId="4BEBB762" w14:textId="77777777" w:rsidR="00997FA2" w:rsidRPr="00193D50" w:rsidRDefault="00997FA2" w:rsidP="00997FA2">
      <w:pPr>
        <w:spacing w:before="120" w:after="120" w:line="360" w:lineRule="auto"/>
        <w:rPr>
          <w:rFonts w:ascii="Tahoma" w:hAnsi="Tahoma" w:cs="Tahoma"/>
          <w:sz w:val="19"/>
          <w:szCs w:val="19"/>
        </w:rPr>
      </w:pPr>
      <w:r w:rsidRPr="009E5683">
        <w:rPr>
          <w:rFonts w:ascii="Tahoma" w:hAnsi="Tahoma" w:cs="Tahoma"/>
          <w:sz w:val="19"/>
          <w:szCs w:val="19"/>
        </w:rPr>
        <w:t xml:space="preserve">Em reconhecimento ao capital social e de relacionamento construído pela Finep, a missão de organizar debates sobre a neoindustrialização nos foi dada pelo Ministério da Ciência, Tecnologia e Inovação — coordenador da 5ª Conferência, na pessoa da Ministra Luciana Santos. </w:t>
      </w:r>
      <w:r w:rsidRPr="00193D50">
        <w:rPr>
          <w:rFonts w:ascii="Tahoma" w:hAnsi="Tahoma" w:cs="Tahoma"/>
          <w:sz w:val="19"/>
          <w:szCs w:val="19"/>
        </w:rPr>
        <w:t>Convocada pelo Presidente Luiz Inácio Lula da Silva, em julho de 2023, após um hiato de cinco anos, a 5ª Conferência adquire singular importância, uma vez que marca a retomada do Conselho Nacional de Ciência e Tecnologia (CCT), principal fórum de debate com a comunidade científica, a sociedade e o setor produtivo sobre a Política Nacional de Ciência e Tecnologia, e cuja última reunião ocorreu em 1º de agosto de 2018.</w:t>
      </w:r>
    </w:p>
    <w:p w14:paraId="6DF04A83" w14:textId="77777777" w:rsidR="00997FA2" w:rsidRDefault="00997FA2" w:rsidP="00997FA2">
      <w:pPr>
        <w:spacing w:before="120" w:after="120" w:line="360" w:lineRule="auto"/>
        <w:rPr>
          <w:rFonts w:ascii="Tahoma" w:hAnsi="Tahoma" w:cs="Tahoma"/>
          <w:sz w:val="19"/>
          <w:szCs w:val="19"/>
        </w:rPr>
      </w:pPr>
      <w:r w:rsidRPr="009E5683">
        <w:rPr>
          <w:rFonts w:ascii="Tahoma" w:hAnsi="Tahoma" w:cs="Tahoma"/>
          <w:sz w:val="19"/>
          <w:szCs w:val="19"/>
        </w:rPr>
        <w:t xml:space="preserve">Como saldo da série virtuosa de seminários, a Finep compilou 30 horas de debates, disponibilizados em seu </w:t>
      </w:r>
      <w:hyperlink r:id="rId228" w:history="1">
        <w:r w:rsidRPr="009E5683">
          <w:rPr>
            <w:rStyle w:val="Hyperlink"/>
            <w:rFonts w:ascii="Tahoma" w:hAnsi="Tahoma" w:cs="Tahoma"/>
            <w:sz w:val="19"/>
            <w:szCs w:val="19"/>
          </w:rPr>
          <w:t>canal no YouTube</w:t>
        </w:r>
      </w:hyperlink>
      <w:r w:rsidRPr="009E5683">
        <w:rPr>
          <w:rFonts w:ascii="Tahoma" w:hAnsi="Tahoma" w:cs="Tahoma"/>
          <w:sz w:val="19"/>
          <w:szCs w:val="19"/>
        </w:rPr>
        <w:t xml:space="preserve"> e sistematizou o resultado das discussões em um </w:t>
      </w:r>
      <w:hyperlink r:id="rId229" w:history="1">
        <w:r w:rsidRPr="009E5683">
          <w:rPr>
            <w:rStyle w:val="Hyperlink"/>
            <w:rFonts w:ascii="Tahoma" w:hAnsi="Tahoma" w:cs="Tahoma"/>
            <w:sz w:val="19"/>
            <w:szCs w:val="19"/>
          </w:rPr>
          <w:t>Relatório Sumário</w:t>
        </w:r>
      </w:hyperlink>
      <w:r w:rsidRPr="009E5683">
        <w:rPr>
          <w:rFonts w:ascii="Tahoma" w:hAnsi="Tahoma" w:cs="Tahoma"/>
          <w:sz w:val="19"/>
          <w:szCs w:val="19"/>
        </w:rPr>
        <w:t>.</w:t>
      </w:r>
    </w:p>
    <w:p w14:paraId="6D5EEF5F" w14:textId="33390296" w:rsidR="004214A0" w:rsidRPr="004214A0" w:rsidRDefault="004214A0" w:rsidP="004214A0">
      <w:pPr>
        <w:pStyle w:val="Ttulo3"/>
        <w:spacing w:before="120" w:after="120" w:line="360" w:lineRule="auto"/>
        <w:rPr>
          <w:rFonts w:ascii="Tahoma" w:hAnsi="Tahoma" w:cs="Tahoma"/>
          <w:color w:val="0098BA"/>
          <w:sz w:val="22"/>
          <w:szCs w:val="22"/>
        </w:rPr>
      </w:pPr>
      <w:bookmarkStart w:id="211" w:name="_Toc163025269"/>
      <w:bookmarkStart w:id="212" w:name="_Toc162512606"/>
      <w:r w:rsidRPr="004214A0">
        <w:rPr>
          <w:rFonts w:ascii="Tahoma" w:hAnsi="Tahoma" w:cs="Tahoma"/>
          <w:color w:val="0098BA"/>
          <w:sz w:val="22"/>
          <w:szCs w:val="22"/>
        </w:rPr>
        <w:t>Comunicação</w:t>
      </w:r>
      <w:bookmarkEnd w:id="211"/>
      <w:bookmarkEnd w:id="212"/>
    </w:p>
    <w:p w14:paraId="67AC6ED8" w14:textId="3E6D208E" w:rsidR="00193D50" w:rsidRDefault="00B94DE8">
      <w:pPr>
        <w:spacing w:before="120" w:after="120" w:line="360" w:lineRule="auto"/>
        <w:rPr>
          <w:rFonts w:ascii="Tahoma" w:hAnsi="Tahoma" w:cs="Tahoma"/>
          <w:sz w:val="19"/>
          <w:szCs w:val="19"/>
          <w:highlight w:val="yellow"/>
        </w:rPr>
      </w:pPr>
      <w:r>
        <w:rPr>
          <w:rFonts w:ascii="Tahoma" w:hAnsi="Tahoma" w:cs="Tahoma"/>
          <w:noProof/>
          <w:sz w:val="19"/>
          <w:szCs w:val="19"/>
        </w:rPr>
        <w:drawing>
          <wp:inline distT="0" distB="0" distL="0" distR="0" wp14:anchorId="7B86C757" wp14:editId="41E80FA6">
            <wp:extent cx="4591050" cy="5114247"/>
            <wp:effectExtent l="0" t="0" r="0" b="0"/>
            <wp:docPr id="307277719" name="Imagem 13"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77719" name="Imagem 13" descr="Interface gráfica do usuário, Texto, Aplicativo, chat ou mensagem de texto&#10;&#10;Descrição gerada automaticament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599854" cy="5124054"/>
                    </a:xfrm>
                    <a:prstGeom prst="rect">
                      <a:avLst/>
                    </a:prstGeom>
                  </pic:spPr>
                </pic:pic>
              </a:graphicData>
            </a:graphic>
          </wp:inline>
        </w:drawing>
      </w:r>
    </w:p>
    <w:p w14:paraId="1767F91E" w14:textId="48E3E1D7" w:rsidR="001656EB" w:rsidRPr="00254F4A" w:rsidRDefault="001656EB" w:rsidP="00254F4A">
      <w:pPr>
        <w:pStyle w:val="Ttulo3"/>
        <w:spacing w:before="120" w:after="120" w:line="360" w:lineRule="auto"/>
        <w:rPr>
          <w:rFonts w:ascii="Tahoma" w:hAnsi="Tahoma"/>
          <w:color w:val="0098BA"/>
          <w:sz w:val="22"/>
        </w:rPr>
      </w:pPr>
      <w:bookmarkStart w:id="213" w:name="_Toc163025270"/>
      <w:r w:rsidRPr="00254F4A">
        <w:rPr>
          <w:rFonts w:ascii="Tahoma" w:hAnsi="Tahoma"/>
          <w:color w:val="0098BA"/>
          <w:sz w:val="22"/>
        </w:rPr>
        <w:lastRenderedPageBreak/>
        <w:t xml:space="preserve">Participação </w:t>
      </w:r>
      <w:r w:rsidR="000245A9" w:rsidRPr="00254F4A">
        <w:rPr>
          <w:rFonts w:ascii="Tahoma" w:hAnsi="Tahoma"/>
          <w:color w:val="0098BA"/>
          <w:sz w:val="22"/>
        </w:rPr>
        <w:t xml:space="preserve">da Finep </w:t>
      </w:r>
      <w:r w:rsidRPr="00254F4A">
        <w:rPr>
          <w:rFonts w:ascii="Tahoma" w:hAnsi="Tahoma"/>
          <w:color w:val="0098BA"/>
          <w:sz w:val="22"/>
        </w:rPr>
        <w:t>em associações</w:t>
      </w:r>
      <w:bookmarkEnd w:id="213"/>
    </w:p>
    <w:tbl>
      <w:tblPr>
        <w:tblStyle w:val="Tabelacomgrade"/>
        <w:tblW w:w="0" w:type="auto"/>
        <w:tblBorders>
          <w:top w:val="single" w:sz="4" w:space="0" w:color="0098BA"/>
          <w:left w:val="single" w:sz="4" w:space="0" w:color="0098BA"/>
          <w:bottom w:val="single" w:sz="4" w:space="0" w:color="0098BA"/>
          <w:right w:val="single" w:sz="4" w:space="0" w:color="0098BA"/>
          <w:insideH w:val="none" w:sz="0" w:space="0" w:color="auto"/>
          <w:insideV w:val="none" w:sz="0" w:space="0" w:color="auto"/>
        </w:tblBorders>
        <w:tblLook w:val="04A0" w:firstRow="1" w:lastRow="0" w:firstColumn="1" w:lastColumn="0" w:noHBand="0" w:noVBand="1"/>
      </w:tblPr>
      <w:tblGrid>
        <w:gridCol w:w="9116"/>
      </w:tblGrid>
      <w:tr w:rsidR="009D1F4C" w:rsidRPr="009D1F4C" w14:paraId="27514F74" w14:textId="77777777" w:rsidTr="00254F4A">
        <w:tc>
          <w:tcPr>
            <w:tcW w:w="9116" w:type="dxa"/>
            <w:shd w:val="clear" w:color="auto" w:fill="auto"/>
          </w:tcPr>
          <w:p w14:paraId="134709D8"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GERH - Grupo Executivo de RH Rio </w:t>
            </w:r>
          </w:p>
        </w:tc>
      </w:tr>
      <w:tr w:rsidR="009D1F4C" w:rsidRPr="009D1F4C" w14:paraId="46EF1DD1" w14:textId="77777777" w:rsidTr="00254F4A">
        <w:tc>
          <w:tcPr>
            <w:tcW w:w="9116" w:type="dxa"/>
            <w:shd w:val="clear" w:color="auto" w:fill="auto"/>
          </w:tcPr>
          <w:p w14:paraId="7561E084"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GRH-RIO - Grupo de Gestão de Pessoas </w:t>
            </w:r>
          </w:p>
        </w:tc>
      </w:tr>
      <w:tr w:rsidR="009D1F4C" w:rsidRPr="009D1F4C" w14:paraId="6426673D" w14:textId="77777777" w:rsidTr="00254F4A">
        <w:tc>
          <w:tcPr>
            <w:tcW w:w="9116" w:type="dxa"/>
            <w:shd w:val="clear" w:color="auto" w:fill="auto"/>
          </w:tcPr>
          <w:p w14:paraId="5E57AA20"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ABRH RJ - Associação Brasileira de Recursos Humanos </w:t>
            </w:r>
          </w:p>
        </w:tc>
      </w:tr>
      <w:tr w:rsidR="009D1F4C" w:rsidRPr="009D1F4C" w14:paraId="0C5466A4" w14:textId="77777777" w:rsidTr="00254F4A">
        <w:tc>
          <w:tcPr>
            <w:tcW w:w="9116" w:type="dxa"/>
            <w:shd w:val="clear" w:color="auto" w:fill="auto"/>
          </w:tcPr>
          <w:p w14:paraId="3053724B"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ABTD - Associação Brasileira de Treinamento e Desenvolvimento </w:t>
            </w:r>
          </w:p>
        </w:tc>
      </w:tr>
      <w:tr w:rsidR="009D1F4C" w:rsidRPr="009D1F4C" w14:paraId="15CD21BF" w14:textId="77777777" w:rsidTr="00254F4A">
        <w:tc>
          <w:tcPr>
            <w:tcW w:w="9116" w:type="dxa"/>
            <w:shd w:val="clear" w:color="auto" w:fill="auto"/>
          </w:tcPr>
          <w:p w14:paraId="1CF24852" w14:textId="77777777" w:rsidR="009D1F4C" w:rsidRPr="009D1F4C" w:rsidRDefault="009D1F4C" w:rsidP="009D1F4C">
            <w:pPr>
              <w:rPr>
                <w:rFonts w:ascii="Tahoma" w:hAnsi="Tahoma" w:cs="Tahoma"/>
                <w:sz w:val="19"/>
                <w:szCs w:val="19"/>
              </w:rPr>
            </w:pPr>
            <w:r w:rsidRPr="009D1F4C">
              <w:rPr>
                <w:rFonts w:ascii="Tahoma" w:hAnsi="Tahoma" w:cs="Tahoma"/>
                <w:sz w:val="19"/>
                <w:szCs w:val="19"/>
              </w:rPr>
              <w:t>Pacto Global das Nações Unidas</w:t>
            </w:r>
          </w:p>
        </w:tc>
      </w:tr>
      <w:tr w:rsidR="009D1F4C" w:rsidRPr="009D1F4C" w14:paraId="4B389267" w14:textId="77777777" w:rsidTr="00254F4A">
        <w:tc>
          <w:tcPr>
            <w:tcW w:w="9116" w:type="dxa"/>
            <w:shd w:val="clear" w:color="auto" w:fill="auto"/>
          </w:tcPr>
          <w:p w14:paraId="79945973" w14:textId="77777777" w:rsidR="009D1F4C" w:rsidRPr="009D1F4C" w:rsidRDefault="009D1F4C" w:rsidP="009D1F4C">
            <w:pPr>
              <w:rPr>
                <w:rFonts w:ascii="Tahoma" w:hAnsi="Tahoma" w:cs="Tahoma"/>
                <w:sz w:val="19"/>
                <w:szCs w:val="19"/>
              </w:rPr>
            </w:pPr>
            <w:r w:rsidRPr="009D1F4C">
              <w:rPr>
                <w:rFonts w:ascii="Tahoma" w:hAnsi="Tahoma" w:cs="Tahoma"/>
                <w:sz w:val="19"/>
                <w:szCs w:val="19"/>
              </w:rPr>
              <w:t>ABIPTI - Associação Brasileira das Instituições de Pesquisa Tecnológica e Inovação</w:t>
            </w:r>
          </w:p>
        </w:tc>
      </w:tr>
      <w:tr w:rsidR="009D1F4C" w:rsidRPr="009D1F4C" w14:paraId="69CC4C9C" w14:textId="77777777" w:rsidTr="00254F4A">
        <w:tc>
          <w:tcPr>
            <w:tcW w:w="9116" w:type="dxa"/>
            <w:shd w:val="clear" w:color="auto" w:fill="auto"/>
          </w:tcPr>
          <w:p w14:paraId="54555C8C" w14:textId="77777777" w:rsidR="009D1F4C" w:rsidRPr="009D1F4C" w:rsidRDefault="009D1F4C" w:rsidP="009D1F4C">
            <w:pPr>
              <w:rPr>
                <w:rFonts w:ascii="Tahoma" w:hAnsi="Tahoma" w:cs="Tahoma"/>
                <w:sz w:val="19"/>
                <w:szCs w:val="19"/>
              </w:rPr>
            </w:pPr>
            <w:r w:rsidRPr="009D1F4C">
              <w:rPr>
                <w:rFonts w:ascii="Tahoma" w:hAnsi="Tahoma" w:cs="Tahoma"/>
                <w:sz w:val="19"/>
                <w:szCs w:val="19"/>
              </w:rPr>
              <w:t>ANPROTEC - Associação Nacional de Apoio às Entidades Promotoras de Empreendimentos Inovadores</w:t>
            </w:r>
          </w:p>
        </w:tc>
      </w:tr>
      <w:tr w:rsidR="009D1F4C" w:rsidRPr="009D1F4C" w14:paraId="75404508" w14:textId="77777777" w:rsidTr="00254F4A">
        <w:tc>
          <w:tcPr>
            <w:tcW w:w="9116" w:type="dxa"/>
            <w:shd w:val="clear" w:color="auto" w:fill="auto"/>
          </w:tcPr>
          <w:p w14:paraId="5DA3F023"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ABVCAP - Associação Brasileira de Private Equity e Venture Capital </w:t>
            </w:r>
          </w:p>
        </w:tc>
      </w:tr>
      <w:tr w:rsidR="009D1F4C" w:rsidRPr="00541FB6" w14:paraId="03E2E995" w14:textId="77777777" w:rsidTr="00254F4A">
        <w:tc>
          <w:tcPr>
            <w:tcW w:w="9116" w:type="dxa"/>
            <w:shd w:val="clear" w:color="auto" w:fill="auto"/>
          </w:tcPr>
          <w:p w14:paraId="3DA52756" w14:textId="77777777" w:rsidR="009D1F4C" w:rsidRPr="009D1F4C" w:rsidRDefault="009D1F4C" w:rsidP="009D1F4C">
            <w:pPr>
              <w:rPr>
                <w:rFonts w:ascii="Tahoma" w:hAnsi="Tahoma" w:cs="Tahoma"/>
                <w:sz w:val="19"/>
                <w:szCs w:val="19"/>
                <w:lang w:val="en-US"/>
              </w:rPr>
            </w:pPr>
            <w:r w:rsidRPr="009D1F4C">
              <w:rPr>
                <w:rFonts w:ascii="Tahoma" w:hAnsi="Tahoma" w:cs="Tahoma"/>
                <w:sz w:val="19"/>
                <w:szCs w:val="19"/>
                <w:lang w:val="en-US"/>
              </w:rPr>
              <w:t>LAVCA - Association for Private Capital Investment in Latin America</w:t>
            </w:r>
          </w:p>
        </w:tc>
      </w:tr>
      <w:tr w:rsidR="009D1F4C" w:rsidRPr="009D1F4C" w14:paraId="167F8C2E" w14:textId="77777777" w:rsidTr="00254F4A">
        <w:tc>
          <w:tcPr>
            <w:tcW w:w="9116" w:type="dxa"/>
            <w:shd w:val="clear" w:color="auto" w:fill="auto"/>
          </w:tcPr>
          <w:p w14:paraId="3327BCB7" w14:textId="77777777" w:rsidR="009D1F4C" w:rsidRPr="009D1F4C" w:rsidRDefault="009D1F4C" w:rsidP="00254F4A">
            <w:pPr>
              <w:ind w:left="310" w:hanging="310"/>
              <w:rPr>
                <w:rFonts w:ascii="Tahoma" w:hAnsi="Tahoma" w:cs="Tahoma"/>
                <w:sz w:val="19"/>
                <w:szCs w:val="19"/>
              </w:rPr>
            </w:pPr>
            <w:r w:rsidRPr="009D1F4C">
              <w:rPr>
                <w:rFonts w:ascii="Tahoma" w:hAnsi="Tahoma" w:cs="Tahoma"/>
                <w:sz w:val="19"/>
                <w:szCs w:val="19"/>
              </w:rPr>
              <w:t>ANFIDC - Associação Nacional dos Participantes em Fundos de Investimentos em Direitos Creditórios Multicedentes e Multissacados</w:t>
            </w:r>
          </w:p>
        </w:tc>
      </w:tr>
      <w:tr w:rsidR="009D1F4C" w:rsidRPr="009D1F4C" w14:paraId="21A50E39" w14:textId="77777777" w:rsidTr="00254F4A">
        <w:tc>
          <w:tcPr>
            <w:tcW w:w="9116" w:type="dxa"/>
            <w:shd w:val="clear" w:color="auto" w:fill="auto"/>
          </w:tcPr>
          <w:p w14:paraId="36317011"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ANPEI - Associação Nacional de Pesquisa e Desenvolvimento das Empresas Inovadoras </w:t>
            </w:r>
          </w:p>
        </w:tc>
      </w:tr>
      <w:tr w:rsidR="009D1F4C" w:rsidRPr="009D1F4C" w14:paraId="5614C562" w14:textId="77777777" w:rsidTr="00254F4A">
        <w:tc>
          <w:tcPr>
            <w:tcW w:w="9116" w:type="dxa"/>
            <w:shd w:val="clear" w:color="auto" w:fill="auto"/>
          </w:tcPr>
          <w:p w14:paraId="541F7693"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FORTEC - Fórum Nacional dos Gestores de Inovação e Transferência de Tecnologia </w:t>
            </w:r>
          </w:p>
        </w:tc>
      </w:tr>
      <w:tr w:rsidR="009D1F4C" w:rsidRPr="009D1F4C" w14:paraId="751F6596" w14:textId="77777777" w:rsidTr="00254F4A">
        <w:tc>
          <w:tcPr>
            <w:tcW w:w="9116" w:type="dxa"/>
            <w:shd w:val="clear" w:color="auto" w:fill="auto"/>
          </w:tcPr>
          <w:p w14:paraId="75E53496"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ABPI - Associação Brasileira de Propriedade Intelectual </w:t>
            </w:r>
          </w:p>
        </w:tc>
      </w:tr>
      <w:tr w:rsidR="009D1F4C" w:rsidRPr="009D1F4C" w14:paraId="367E3E85" w14:textId="77777777" w:rsidTr="00254F4A">
        <w:tc>
          <w:tcPr>
            <w:tcW w:w="9116" w:type="dxa"/>
            <w:shd w:val="clear" w:color="auto" w:fill="auto"/>
          </w:tcPr>
          <w:p w14:paraId="50891883"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FNQ - Fundação Nacional de Qualidade </w:t>
            </w:r>
          </w:p>
        </w:tc>
      </w:tr>
      <w:tr w:rsidR="009D1F4C" w:rsidRPr="009D1F4C" w14:paraId="10AA5C10" w14:textId="77777777" w:rsidTr="00254F4A">
        <w:tc>
          <w:tcPr>
            <w:tcW w:w="9116" w:type="dxa"/>
            <w:shd w:val="clear" w:color="auto" w:fill="auto"/>
          </w:tcPr>
          <w:p w14:paraId="2431417F"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ABDE - Associação Brasileira de Desenvolvimento </w:t>
            </w:r>
          </w:p>
        </w:tc>
      </w:tr>
      <w:tr w:rsidR="009D1F4C" w:rsidRPr="009D1F4C" w14:paraId="2DCA101E" w14:textId="77777777" w:rsidTr="00254F4A">
        <w:tc>
          <w:tcPr>
            <w:tcW w:w="9116" w:type="dxa"/>
            <w:shd w:val="clear" w:color="auto" w:fill="auto"/>
          </w:tcPr>
          <w:p w14:paraId="729A8AC1" w14:textId="77777777" w:rsidR="009D1F4C" w:rsidRPr="009D1F4C" w:rsidRDefault="009D1F4C" w:rsidP="009D1F4C">
            <w:pPr>
              <w:rPr>
                <w:rFonts w:ascii="Tahoma" w:hAnsi="Tahoma" w:cs="Tahoma"/>
                <w:sz w:val="19"/>
                <w:szCs w:val="19"/>
              </w:rPr>
            </w:pPr>
            <w:r w:rsidRPr="009D1F4C">
              <w:rPr>
                <w:rFonts w:ascii="Tahoma" w:hAnsi="Tahoma" w:cs="Tahoma"/>
                <w:sz w:val="19"/>
                <w:szCs w:val="19"/>
              </w:rPr>
              <w:t xml:space="preserve">ABC - Academia Brasileira de Ciências </w:t>
            </w:r>
          </w:p>
        </w:tc>
      </w:tr>
      <w:tr w:rsidR="009D1F4C" w:rsidRPr="009D1F4C" w14:paraId="101764B9" w14:textId="77777777" w:rsidTr="00254F4A">
        <w:tc>
          <w:tcPr>
            <w:tcW w:w="9116" w:type="dxa"/>
            <w:shd w:val="clear" w:color="auto" w:fill="auto"/>
          </w:tcPr>
          <w:p w14:paraId="3BD90812" w14:textId="77777777" w:rsidR="009D1F4C" w:rsidRPr="009D1F4C" w:rsidRDefault="009D1F4C" w:rsidP="009D1F4C">
            <w:pPr>
              <w:rPr>
                <w:rFonts w:ascii="Tahoma" w:hAnsi="Tahoma" w:cs="Tahoma"/>
                <w:sz w:val="19"/>
                <w:szCs w:val="19"/>
              </w:rPr>
            </w:pPr>
            <w:r w:rsidRPr="009D1F4C">
              <w:rPr>
                <w:rFonts w:ascii="Tahoma" w:hAnsi="Tahoma" w:cs="Tahoma"/>
                <w:sz w:val="19"/>
                <w:szCs w:val="19"/>
              </w:rPr>
              <w:t>SBPC - Sociedade Brasileira para o Progresso da Ciência</w:t>
            </w:r>
          </w:p>
        </w:tc>
      </w:tr>
    </w:tbl>
    <w:p w14:paraId="5A8B9E38" w14:textId="77777777" w:rsidR="005C3A5A" w:rsidRPr="005C3A5A" w:rsidRDefault="005C3A5A" w:rsidP="005C3A5A">
      <w:pPr>
        <w:spacing w:before="120" w:after="120" w:line="360" w:lineRule="auto"/>
        <w:rPr>
          <w:rFonts w:ascii="Tahoma" w:hAnsi="Tahoma" w:cs="Tahoma"/>
          <w:sz w:val="19"/>
          <w:szCs w:val="19"/>
        </w:rPr>
      </w:pPr>
      <w:bookmarkStart w:id="214" w:name="_Toc93683650"/>
      <w:bookmarkStart w:id="215" w:name="_Toc94256488"/>
      <w:bookmarkStart w:id="216" w:name="_Toc94278213"/>
      <w:bookmarkStart w:id="217" w:name="_Toc97244820"/>
      <w:bookmarkStart w:id="218" w:name="_Toc98429507"/>
      <w:bookmarkStart w:id="219" w:name="_Toc98970151"/>
      <w:bookmarkStart w:id="220" w:name="_Toc105003450"/>
      <w:bookmarkStart w:id="221" w:name="_Toc105003808"/>
      <w:bookmarkStart w:id="222" w:name="_Toc105006491"/>
      <w:bookmarkStart w:id="223" w:name="_Toc105008238"/>
      <w:bookmarkStart w:id="224" w:name="_Toc129115541"/>
      <w:bookmarkStart w:id="225" w:name="_Toc131692257"/>
      <w:bookmarkStart w:id="226" w:name="_Toc163025271"/>
      <w:bookmarkStart w:id="227" w:name="_Toc162512607"/>
    </w:p>
    <w:p w14:paraId="38FADA63" w14:textId="1C7BF5A6" w:rsidR="000D6D0A" w:rsidRPr="00835417" w:rsidRDefault="00BB0E07">
      <w:pPr>
        <w:pStyle w:val="Ttulo3"/>
        <w:spacing w:before="120" w:after="120" w:line="360" w:lineRule="auto"/>
        <w:rPr>
          <w:rFonts w:ascii="Tahoma" w:hAnsi="Tahoma" w:cs="Tahoma"/>
          <w:color w:val="0098BA"/>
          <w:sz w:val="22"/>
          <w:szCs w:val="22"/>
        </w:rPr>
      </w:pPr>
      <w:r w:rsidRPr="00835417">
        <w:rPr>
          <w:rFonts w:ascii="Tahoma" w:hAnsi="Tahoma" w:cs="Tahoma"/>
          <w:color w:val="0098BA"/>
          <w:sz w:val="22"/>
          <w:szCs w:val="22"/>
        </w:rPr>
        <w:t>Ouvidoria e Transparência</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14:paraId="7F96D0D7" w14:textId="370B122B" w:rsidR="00835417" w:rsidRPr="00835417" w:rsidRDefault="00835417" w:rsidP="00835417">
      <w:pPr>
        <w:spacing w:before="120" w:after="120" w:line="360" w:lineRule="auto"/>
        <w:rPr>
          <w:rFonts w:ascii="Tahoma" w:hAnsi="Tahoma" w:cs="Tahoma"/>
          <w:sz w:val="19"/>
          <w:szCs w:val="19"/>
        </w:rPr>
      </w:pPr>
      <w:r w:rsidRPr="00835417">
        <w:rPr>
          <w:rFonts w:ascii="Tahoma" w:hAnsi="Tahoma" w:cs="Tahoma"/>
          <w:sz w:val="19"/>
          <w:szCs w:val="19"/>
        </w:rPr>
        <w:t>A Ouvidoria tem como responsabilidade representar todo cidadão, seja do público externo ou interno, garantindo que as manifestações sobre as atividades e os serviços que prestamos sejam apreciadas com independência e imparcialidade.</w:t>
      </w:r>
    </w:p>
    <w:p w14:paraId="57D6C3F6" w14:textId="08A8DEF8" w:rsidR="00835417" w:rsidRPr="00835417" w:rsidRDefault="00835417" w:rsidP="00835417">
      <w:pPr>
        <w:spacing w:before="120" w:after="120" w:line="360" w:lineRule="auto"/>
        <w:rPr>
          <w:rFonts w:ascii="Tahoma" w:hAnsi="Tahoma" w:cs="Tahoma"/>
          <w:sz w:val="19"/>
          <w:szCs w:val="19"/>
        </w:rPr>
      </w:pPr>
      <w:r w:rsidRPr="00835417">
        <w:rPr>
          <w:rFonts w:ascii="Tahoma" w:hAnsi="Tahoma" w:cs="Tahoma"/>
          <w:sz w:val="19"/>
          <w:szCs w:val="19"/>
        </w:rPr>
        <w:t xml:space="preserve">A Ouvidoria também é responsável pela gestão do canal de atendimento aos pedidos de informação realizados com base na Lei de Acesso à Informação – LAI (Lei nº 12.527/11). O acesso à Ouvidoria é assegurado pela plataforma digital Fala.BR da Controladoria-Geral da União (CGU) no endereço: </w:t>
      </w:r>
      <w:hyperlink r:id="rId231" w:history="1">
        <w:r w:rsidRPr="00E7794C">
          <w:rPr>
            <w:rStyle w:val="Hyperlink"/>
            <w:rFonts w:ascii="Tahoma" w:hAnsi="Tahoma" w:cs="Tahoma"/>
            <w:sz w:val="19"/>
            <w:szCs w:val="19"/>
          </w:rPr>
          <w:t>https://falabr.cgu.gov.br/</w:t>
        </w:r>
      </w:hyperlink>
      <w:r w:rsidRPr="00835417">
        <w:rPr>
          <w:rFonts w:ascii="Tahoma" w:hAnsi="Tahoma" w:cs="Tahoma"/>
          <w:sz w:val="19"/>
          <w:szCs w:val="19"/>
        </w:rPr>
        <w:t xml:space="preserve">, podendo ser feito também por e-mail, telefone ou presencialmente. Nesse canal, foram registradas 128 manifestações em 2023. </w:t>
      </w:r>
    </w:p>
    <w:p w14:paraId="652897F2" w14:textId="77777777" w:rsidR="00835417" w:rsidRPr="00835417" w:rsidRDefault="00835417" w:rsidP="00835417">
      <w:pPr>
        <w:spacing w:before="120" w:after="120" w:line="360" w:lineRule="auto"/>
        <w:rPr>
          <w:rFonts w:ascii="Tahoma" w:hAnsi="Tahoma" w:cs="Tahoma"/>
          <w:sz w:val="19"/>
          <w:szCs w:val="19"/>
        </w:rPr>
      </w:pPr>
      <w:r w:rsidRPr="00835417">
        <w:rPr>
          <w:rFonts w:ascii="Tahoma" w:hAnsi="Tahoma" w:cs="Tahoma"/>
          <w:sz w:val="19"/>
          <w:szCs w:val="19"/>
        </w:rPr>
        <w:t>Destacaram-se assuntos envolvendo gestão de pessoas e atendimentos diversos a cidadãos que ainda não haviam tido a chance de conhecer bem o papel e as funções da Finep. A maioria das manifestações recebidas foi respondida diretamente pela Ouvidoria, após triagem de informações internas. O restante foi direcionado e tratado pelas unidades responsáveis.</w:t>
      </w:r>
    </w:p>
    <w:p w14:paraId="615A081D" w14:textId="77777777" w:rsidR="00835417" w:rsidRPr="000B7B07" w:rsidRDefault="00835417" w:rsidP="000B7B07">
      <w:pPr>
        <w:spacing w:before="120" w:after="120" w:line="360" w:lineRule="auto"/>
        <w:ind w:left="708"/>
        <w:rPr>
          <w:rFonts w:ascii="Tahoma" w:hAnsi="Tahoma" w:cs="Tahoma"/>
          <w:color w:val="0098BA"/>
          <w:sz w:val="19"/>
          <w:szCs w:val="19"/>
        </w:rPr>
      </w:pPr>
      <w:r w:rsidRPr="000B7B07">
        <w:rPr>
          <w:rFonts w:ascii="Tahoma" w:hAnsi="Tahoma" w:cs="Tahoma"/>
          <w:color w:val="0098BA"/>
          <w:sz w:val="19"/>
          <w:szCs w:val="19"/>
        </w:rPr>
        <w:t>Manifestações por tipo – 2023</w:t>
      </w:r>
    </w:p>
    <w:tbl>
      <w:tblPr>
        <w:tblW w:w="776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000" w:firstRow="0" w:lastRow="0" w:firstColumn="0" w:lastColumn="0" w:noHBand="0" w:noVBand="0"/>
      </w:tblPr>
      <w:tblGrid>
        <w:gridCol w:w="4248"/>
        <w:gridCol w:w="1843"/>
        <w:gridCol w:w="1674"/>
      </w:tblGrid>
      <w:tr w:rsidR="00835417" w:rsidRPr="00835417" w14:paraId="33AEA3B0" w14:textId="77777777" w:rsidTr="005C3A5A">
        <w:trPr>
          <w:trHeight w:val="340"/>
          <w:jc w:val="center"/>
        </w:trPr>
        <w:tc>
          <w:tcPr>
            <w:tcW w:w="424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0098BA"/>
            <w:noWrap/>
            <w:tcMar>
              <w:top w:w="0" w:type="dxa"/>
              <w:left w:w="108" w:type="dxa"/>
              <w:bottom w:w="0" w:type="dxa"/>
              <w:right w:w="108" w:type="dxa"/>
            </w:tcMar>
            <w:vAlign w:val="center"/>
          </w:tcPr>
          <w:p w14:paraId="2B44D779" w14:textId="77777777" w:rsidR="00835417" w:rsidRPr="00835417" w:rsidRDefault="00835417" w:rsidP="00835417">
            <w:pPr>
              <w:rPr>
                <w:rFonts w:ascii="Tahoma" w:hAnsi="Tahoma" w:cs="Tahoma"/>
                <w:color w:val="FFFFFF" w:themeColor="background1"/>
                <w:sz w:val="19"/>
                <w:szCs w:val="19"/>
              </w:rPr>
            </w:pPr>
            <w:r w:rsidRPr="00835417">
              <w:rPr>
                <w:rFonts w:ascii="Tahoma" w:hAnsi="Tahoma" w:cs="Tahoma"/>
                <w:color w:val="FFFFFF" w:themeColor="background1"/>
                <w:sz w:val="19"/>
                <w:szCs w:val="19"/>
              </w:rPr>
              <w:t>Tipo de manifestação</w:t>
            </w:r>
          </w:p>
        </w:tc>
        <w:tc>
          <w:tcPr>
            <w:tcW w:w="18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8BA"/>
            <w:noWrap/>
            <w:tcMar>
              <w:top w:w="0" w:type="dxa"/>
              <w:left w:w="108" w:type="dxa"/>
              <w:bottom w:w="0" w:type="dxa"/>
              <w:right w:w="108" w:type="dxa"/>
            </w:tcMar>
            <w:vAlign w:val="center"/>
          </w:tcPr>
          <w:p w14:paraId="0B0B0604" w14:textId="77777777" w:rsidR="00835417" w:rsidRPr="00835417" w:rsidRDefault="00835417" w:rsidP="00097EE2">
            <w:pPr>
              <w:jc w:val="center"/>
              <w:rPr>
                <w:rFonts w:ascii="Tahoma" w:hAnsi="Tahoma" w:cs="Tahoma"/>
                <w:color w:val="FFFFFF" w:themeColor="background1"/>
                <w:sz w:val="19"/>
                <w:szCs w:val="19"/>
              </w:rPr>
            </w:pPr>
            <w:r w:rsidRPr="00835417">
              <w:rPr>
                <w:rFonts w:ascii="Tahoma" w:hAnsi="Tahoma" w:cs="Tahoma"/>
                <w:color w:val="FFFFFF" w:themeColor="background1"/>
                <w:sz w:val="19"/>
                <w:szCs w:val="19"/>
              </w:rPr>
              <w:t>Quantidade</w:t>
            </w:r>
          </w:p>
        </w:tc>
        <w:tc>
          <w:tcPr>
            <w:tcW w:w="167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0098BA"/>
            <w:noWrap/>
            <w:tcMar>
              <w:top w:w="0" w:type="dxa"/>
              <w:left w:w="108" w:type="dxa"/>
              <w:bottom w:w="0" w:type="dxa"/>
              <w:right w:w="108" w:type="dxa"/>
            </w:tcMar>
            <w:vAlign w:val="center"/>
          </w:tcPr>
          <w:p w14:paraId="40F28A41" w14:textId="77777777" w:rsidR="00835417" w:rsidRPr="00835417" w:rsidRDefault="00835417" w:rsidP="00097EE2">
            <w:pPr>
              <w:jc w:val="center"/>
              <w:rPr>
                <w:rFonts w:ascii="Tahoma" w:hAnsi="Tahoma" w:cs="Tahoma"/>
                <w:color w:val="FFFFFF" w:themeColor="background1"/>
                <w:sz w:val="19"/>
                <w:szCs w:val="19"/>
              </w:rPr>
            </w:pPr>
            <w:r w:rsidRPr="00835417">
              <w:rPr>
                <w:rFonts w:ascii="Tahoma" w:hAnsi="Tahoma" w:cs="Tahoma"/>
                <w:color w:val="FFFFFF" w:themeColor="background1"/>
                <w:sz w:val="19"/>
                <w:szCs w:val="19"/>
              </w:rPr>
              <w:t>Percentual</w:t>
            </w:r>
          </w:p>
        </w:tc>
      </w:tr>
      <w:tr w:rsidR="00835417" w:rsidRPr="00835417" w14:paraId="626C54C2" w14:textId="77777777" w:rsidTr="005C3A5A">
        <w:trPr>
          <w:trHeight w:val="340"/>
          <w:jc w:val="center"/>
        </w:trPr>
        <w:tc>
          <w:tcPr>
            <w:tcW w:w="424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679513A6" w14:textId="13253ED4" w:rsidR="00835417" w:rsidRPr="00835417" w:rsidRDefault="00835417" w:rsidP="00835417">
            <w:pPr>
              <w:rPr>
                <w:rFonts w:ascii="Tahoma" w:hAnsi="Tahoma" w:cs="Tahoma"/>
                <w:sz w:val="19"/>
                <w:szCs w:val="19"/>
              </w:rPr>
            </w:pPr>
            <w:r w:rsidRPr="00835417">
              <w:rPr>
                <w:rFonts w:ascii="Tahoma" w:hAnsi="Tahoma" w:cs="Tahoma"/>
                <w:sz w:val="19"/>
                <w:szCs w:val="19"/>
              </w:rPr>
              <w:t>Denúncia e Comunicação de irregularidade</w:t>
            </w:r>
          </w:p>
        </w:tc>
        <w:tc>
          <w:tcPr>
            <w:tcW w:w="18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5D1FACE8"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64</w:t>
            </w:r>
          </w:p>
        </w:tc>
        <w:tc>
          <w:tcPr>
            <w:tcW w:w="167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noWrap/>
            <w:tcMar>
              <w:top w:w="0" w:type="dxa"/>
              <w:left w:w="108" w:type="dxa"/>
              <w:bottom w:w="0" w:type="dxa"/>
              <w:right w:w="108" w:type="dxa"/>
            </w:tcMar>
            <w:vAlign w:val="center"/>
          </w:tcPr>
          <w:p w14:paraId="233925D0"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50,00%</w:t>
            </w:r>
          </w:p>
        </w:tc>
      </w:tr>
      <w:tr w:rsidR="00835417" w:rsidRPr="00835417" w14:paraId="26CAAD1C" w14:textId="77777777" w:rsidTr="005C3A5A">
        <w:trPr>
          <w:trHeight w:val="340"/>
          <w:jc w:val="center"/>
        </w:trPr>
        <w:tc>
          <w:tcPr>
            <w:tcW w:w="424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70FC7928" w14:textId="77777777" w:rsidR="00835417" w:rsidRPr="00835417" w:rsidRDefault="00835417" w:rsidP="00835417">
            <w:pPr>
              <w:rPr>
                <w:rFonts w:ascii="Tahoma" w:hAnsi="Tahoma" w:cs="Tahoma"/>
                <w:sz w:val="19"/>
                <w:szCs w:val="19"/>
              </w:rPr>
            </w:pPr>
            <w:r w:rsidRPr="00835417">
              <w:rPr>
                <w:rFonts w:ascii="Tahoma" w:hAnsi="Tahoma" w:cs="Tahoma"/>
                <w:sz w:val="19"/>
                <w:szCs w:val="19"/>
              </w:rPr>
              <w:t>Solicitação de providências</w:t>
            </w:r>
          </w:p>
        </w:tc>
        <w:tc>
          <w:tcPr>
            <w:tcW w:w="18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20C0D5D7"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41</w:t>
            </w:r>
          </w:p>
        </w:tc>
        <w:tc>
          <w:tcPr>
            <w:tcW w:w="167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tcMar>
              <w:top w:w="0" w:type="dxa"/>
              <w:left w:w="108" w:type="dxa"/>
              <w:bottom w:w="0" w:type="dxa"/>
              <w:right w:w="108" w:type="dxa"/>
            </w:tcMar>
            <w:vAlign w:val="center"/>
          </w:tcPr>
          <w:p w14:paraId="20D85892"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32,03%</w:t>
            </w:r>
          </w:p>
        </w:tc>
      </w:tr>
      <w:tr w:rsidR="00835417" w:rsidRPr="00835417" w14:paraId="400817FA" w14:textId="77777777" w:rsidTr="005C3A5A">
        <w:trPr>
          <w:trHeight w:val="340"/>
          <w:jc w:val="center"/>
        </w:trPr>
        <w:tc>
          <w:tcPr>
            <w:tcW w:w="424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485FDD5E" w14:textId="77777777" w:rsidR="00835417" w:rsidRPr="00835417" w:rsidRDefault="00835417" w:rsidP="00835417">
            <w:pPr>
              <w:rPr>
                <w:rFonts w:ascii="Tahoma" w:hAnsi="Tahoma" w:cs="Tahoma"/>
                <w:sz w:val="19"/>
                <w:szCs w:val="19"/>
              </w:rPr>
            </w:pPr>
            <w:r w:rsidRPr="00835417">
              <w:rPr>
                <w:rFonts w:ascii="Tahoma" w:hAnsi="Tahoma" w:cs="Tahoma"/>
                <w:sz w:val="19"/>
                <w:szCs w:val="19"/>
              </w:rPr>
              <w:t>Reclamação</w:t>
            </w:r>
          </w:p>
        </w:tc>
        <w:tc>
          <w:tcPr>
            <w:tcW w:w="18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20BC42F5"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16</w:t>
            </w:r>
          </w:p>
        </w:tc>
        <w:tc>
          <w:tcPr>
            <w:tcW w:w="167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tcMar>
              <w:top w:w="0" w:type="dxa"/>
              <w:left w:w="108" w:type="dxa"/>
              <w:bottom w:w="0" w:type="dxa"/>
              <w:right w:w="108" w:type="dxa"/>
            </w:tcMar>
            <w:vAlign w:val="center"/>
          </w:tcPr>
          <w:p w14:paraId="71616261"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12,50%</w:t>
            </w:r>
          </w:p>
        </w:tc>
      </w:tr>
      <w:tr w:rsidR="00835417" w:rsidRPr="00835417" w14:paraId="7C539DE6" w14:textId="77777777" w:rsidTr="005C3A5A">
        <w:trPr>
          <w:trHeight w:val="340"/>
          <w:jc w:val="center"/>
        </w:trPr>
        <w:tc>
          <w:tcPr>
            <w:tcW w:w="424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118CABAA" w14:textId="77777777" w:rsidR="00835417" w:rsidRPr="00835417" w:rsidRDefault="00835417" w:rsidP="00835417">
            <w:pPr>
              <w:rPr>
                <w:rFonts w:ascii="Tahoma" w:hAnsi="Tahoma" w:cs="Tahoma"/>
                <w:sz w:val="19"/>
                <w:szCs w:val="19"/>
              </w:rPr>
            </w:pPr>
            <w:r w:rsidRPr="00835417">
              <w:rPr>
                <w:rFonts w:ascii="Tahoma" w:hAnsi="Tahoma" w:cs="Tahoma"/>
                <w:sz w:val="19"/>
                <w:szCs w:val="19"/>
              </w:rPr>
              <w:t>Sugestão</w:t>
            </w:r>
          </w:p>
        </w:tc>
        <w:tc>
          <w:tcPr>
            <w:tcW w:w="18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5CA24411"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7</w:t>
            </w:r>
          </w:p>
        </w:tc>
        <w:tc>
          <w:tcPr>
            <w:tcW w:w="167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tcMar>
              <w:top w:w="0" w:type="dxa"/>
              <w:left w:w="108" w:type="dxa"/>
              <w:bottom w:w="0" w:type="dxa"/>
              <w:right w:w="108" w:type="dxa"/>
            </w:tcMar>
            <w:vAlign w:val="center"/>
          </w:tcPr>
          <w:p w14:paraId="581A1990"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5,47%</w:t>
            </w:r>
          </w:p>
        </w:tc>
      </w:tr>
      <w:tr w:rsidR="00835417" w:rsidRPr="00835417" w14:paraId="0739D32A" w14:textId="77777777" w:rsidTr="005C3A5A">
        <w:trPr>
          <w:trHeight w:val="340"/>
          <w:jc w:val="center"/>
        </w:trPr>
        <w:tc>
          <w:tcPr>
            <w:tcW w:w="424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2EDD72AC" w14:textId="77777777" w:rsidR="00835417" w:rsidRPr="00835417" w:rsidRDefault="00835417" w:rsidP="00835417">
            <w:pPr>
              <w:rPr>
                <w:rFonts w:ascii="Tahoma" w:hAnsi="Tahoma" w:cs="Tahoma"/>
                <w:sz w:val="19"/>
                <w:szCs w:val="19"/>
              </w:rPr>
            </w:pPr>
            <w:r w:rsidRPr="00835417">
              <w:rPr>
                <w:rFonts w:ascii="Tahoma" w:hAnsi="Tahoma" w:cs="Tahoma"/>
                <w:sz w:val="19"/>
                <w:szCs w:val="19"/>
              </w:rPr>
              <w:t>Elogio</w:t>
            </w:r>
          </w:p>
        </w:tc>
        <w:tc>
          <w:tcPr>
            <w:tcW w:w="18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0084FC8A"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0</w:t>
            </w:r>
          </w:p>
        </w:tc>
        <w:tc>
          <w:tcPr>
            <w:tcW w:w="167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tcMar>
              <w:top w:w="0" w:type="dxa"/>
              <w:left w:w="108" w:type="dxa"/>
              <w:bottom w:w="0" w:type="dxa"/>
              <w:right w:w="108" w:type="dxa"/>
            </w:tcMar>
            <w:vAlign w:val="center"/>
          </w:tcPr>
          <w:p w14:paraId="08D8FBA0"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0,00%</w:t>
            </w:r>
          </w:p>
        </w:tc>
      </w:tr>
      <w:tr w:rsidR="00835417" w:rsidRPr="00835417" w14:paraId="15ACE4FE" w14:textId="77777777" w:rsidTr="005C3A5A">
        <w:trPr>
          <w:trHeight w:val="340"/>
          <w:jc w:val="center"/>
        </w:trPr>
        <w:tc>
          <w:tcPr>
            <w:tcW w:w="424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5066AD6A" w14:textId="77777777" w:rsidR="00835417" w:rsidRPr="00835417" w:rsidRDefault="00835417" w:rsidP="00835417">
            <w:pPr>
              <w:rPr>
                <w:rFonts w:ascii="Tahoma" w:hAnsi="Tahoma" w:cs="Tahoma"/>
                <w:sz w:val="19"/>
                <w:szCs w:val="19"/>
              </w:rPr>
            </w:pPr>
            <w:r w:rsidRPr="00835417">
              <w:rPr>
                <w:rFonts w:ascii="Tahoma" w:hAnsi="Tahoma" w:cs="Tahoma"/>
                <w:sz w:val="19"/>
                <w:szCs w:val="19"/>
              </w:rPr>
              <w:t>Solicitação de simplificação</w:t>
            </w:r>
          </w:p>
        </w:tc>
        <w:tc>
          <w:tcPr>
            <w:tcW w:w="18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tcMar>
              <w:top w:w="0" w:type="dxa"/>
              <w:left w:w="108" w:type="dxa"/>
              <w:bottom w:w="0" w:type="dxa"/>
              <w:right w:w="108" w:type="dxa"/>
            </w:tcMar>
            <w:vAlign w:val="center"/>
          </w:tcPr>
          <w:p w14:paraId="0E1791B7" w14:textId="77777777" w:rsidR="00835417" w:rsidRPr="00835417" w:rsidRDefault="00835417" w:rsidP="00097EE2">
            <w:pPr>
              <w:jc w:val="center"/>
              <w:rPr>
                <w:rFonts w:ascii="Tahoma" w:hAnsi="Tahoma" w:cs="Tahoma"/>
                <w:sz w:val="19"/>
                <w:szCs w:val="19"/>
              </w:rPr>
            </w:pPr>
            <w:r w:rsidRPr="00835417">
              <w:rPr>
                <w:rFonts w:ascii="Tahoma" w:hAnsi="Tahoma" w:cs="Tahoma"/>
                <w:sz w:val="19"/>
                <w:szCs w:val="19"/>
              </w:rPr>
              <w:t>0</w:t>
            </w:r>
          </w:p>
        </w:tc>
        <w:tc>
          <w:tcPr>
            <w:tcW w:w="167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tcMar>
              <w:top w:w="0" w:type="dxa"/>
              <w:left w:w="108" w:type="dxa"/>
              <w:bottom w:w="0" w:type="dxa"/>
              <w:right w:w="108" w:type="dxa"/>
            </w:tcMar>
            <w:vAlign w:val="center"/>
          </w:tcPr>
          <w:p w14:paraId="393DDF50" w14:textId="16E80610" w:rsidR="00835417" w:rsidRPr="00835417" w:rsidRDefault="00835417" w:rsidP="00097EE2">
            <w:pPr>
              <w:jc w:val="center"/>
              <w:rPr>
                <w:rFonts w:ascii="Tahoma" w:hAnsi="Tahoma" w:cs="Tahoma"/>
                <w:sz w:val="19"/>
                <w:szCs w:val="19"/>
              </w:rPr>
            </w:pPr>
            <w:r w:rsidRPr="00835417">
              <w:rPr>
                <w:rFonts w:ascii="Tahoma" w:hAnsi="Tahoma" w:cs="Tahoma"/>
                <w:sz w:val="19"/>
                <w:szCs w:val="19"/>
              </w:rPr>
              <w:t>0,00%</w:t>
            </w:r>
          </w:p>
        </w:tc>
      </w:tr>
      <w:tr w:rsidR="00835417" w:rsidRPr="00835417" w14:paraId="0B7AA7E7" w14:textId="77777777" w:rsidTr="005C3A5A">
        <w:trPr>
          <w:trHeight w:val="340"/>
          <w:jc w:val="center"/>
        </w:trPr>
        <w:tc>
          <w:tcPr>
            <w:tcW w:w="424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0098BA"/>
            <w:noWrap/>
            <w:tcMar>
              <w:top w:w="0" w:type="dxa"/>
              <w:left w:w="108" w:type="dxa"/>
              <w:bottom w:w="0" w:type="dxa"/>
              <w:right w:w="108" w:type="dxa"/>
            </w:tcMar>
            <w:vAlign w:val="center"/>
          </w:tcPr>
          <w:p w14:paraId="24D9B174" w14:textId="77777777" w:rsidR="00835417" w:rsidRPr="00835417" w:rsidRDefault="00835417" w:rsidP="00835417">
            <w:pPr>
              <w:rPr>
                <w:rFonts w:ascii="Tahoma" w:hAnsi="Tahoma" w:cs="Tahoma"/>
                <w:color w:val="FFFFFF" w:themeColor="background1"/>
                <w:sz w:val="19"/>
                <w:szCs w:val="19"/>
              </w:rPr>
            </w:pPr>
            <w:r w:rsidRPr="00835417">
              <w:rPr>
                <w:rFonts w:ascii="Tahoma" w:hAnsi="Tahoma" w:cs="Tahoma"/>
                <w:color w:val="FFFFFF" w:themeColor="background1"/>
                <w:sz w:val="19"/>
                <w:szCs w:val="19"/>
              </w:rPr>
              <w:t>Total</w:t>
            </w:r>
          </w:p>
        </w:tc>
        <w:tc>
          <w:tcPr>
            <w:tcW w:w="18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8BA"/>
            <w:noWrap/>
            <w:tcMar>
              <w:top w:w="0" w:type="dxa"/>
              <w:left w:w="108" w:type="dxa"/>
              <w:bottom w:w="0" w:type="dxa"/>
              <w:right w:w="108" w:type="dxa"/>
            </w:tcMar>
            <w:vAlign w:val="center"/>
          </w:tcPr>
          <w:p w14:paraId="4E796610" w14:textId="77777777" w:rsidR="00835417" w:rsidRPr="00835417" w:rsidRDefault="00835417" w:rsidP="00097EE2">
            <w:pPr>
              <w:jc w:val="center"/>
              <w:rPr>
                <w:rFonts w:ascii="Tahoma" w:hAnsi="Tahoma" w:cs="Tahoma"/>
                <w:color w:val="FFFFFF" w:themeColor="background1"/>
                <w:sz w:val="19"/>
                <w:szCs w:val="19"/>
              </w:rPr>
            </w:pPr>
            <w:r w:rsidRPr="00835417">
              <w:rPr>
                <w:rFonts w:ascii="Tahoma" w:hAnsi="Tahoma" w:cs="Tahoma"/>
                <w:color w:val="FFFFFF" w:themeColor="background1"/>
                <w:sz w:val="19"/>
                <w:szCs w:val="19"/>
              </w:rPr>
              <w:t>128</w:t>
            </w:r>
          </w:p>
        </w:tc>
        <w:tc>
          <w:tcPr>
            <w:tcW w:w="167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0098BA"/>
            <w:vAlign w:val="center"/>
          </w:tcPr>
          <w:p w14:paraId="224D5320" w14:textId="77777777" w:rsidR="00835417" w:rsidRPr="00835417" w:rsidRDefault="00835417" w:rsidP="00097EE2">
            <w:pPr>
              <w:jc w:val="center"/>
              <w:rPr>
                <w:rFonts w:ascii="Tahoma" w:hAnsi="Tahoma" w:cs="Tahoma"/>
                <w:color w:val="FFFFFF" w:themeColor="background1"/>
                <w:sz w:val="19"/>
                <w:szCs w:val="19"/>
              </w:rPr>
            </w:pPr>
            <w:r w:rsidRPr="00835417">
              <w:rPr>
                <w:rFonts w:ascii="Tahoma" w:hAnsi="Tahoma" w:cs="Tahoma"/>
                <w:color w:val="FFFFFF" w:themeColor="background1"/>
                <w:sz w:val="19"/>
                <w:szCs w:val="19"/>
              </w:rPr>
              <w:t>100%</w:t>
            </w:r>
          </w:p>
        </w:tc>
      </w:tr>
    </w:tbl>
    <w:p w14:paraId="6AB72A24" w14:textId="77777777" w:rsidR="000B7B07" w:rsidRDefault="000B7B07" w:rsidP="00835417">
      <w:pPr>
        <w:spacing w:before="120" w:after="120" w:line="360" w:lineRule="auto"/>
        <w:rPr>
          <w:rFonts w:ascii="Tahoma" w:hAnsi="Tahoma" w:cs="Tahoma"/>
          <w:sz w:val="19"/>
          <w:szCs w:val="19"/>
        </w:rPr>
      </w:pPr>
    </w:p>
    <w:p w14:paraId="2ED4D18A" w14:textId="77777777" w:rsidR="00F82BF9" w:rsidRDefault="00F82BF9" w:rsidP="00835417">
      <w:pPr>
        <w:spacing w:before="120" w:after="120" w:line="360" w:lineRule="auto"/>
        <w:rPr>
          <w:rFonts w:ascii="Tahoma" w:hAnsi="Tahoma" w:cs="Tahoma"/>
          <w:color w:val="0098BA"/>
          <w:sz w:val="19"/>
          <w:szCs w:val="19"/>
        </w:rPr>
      </w:pPr>
    </w:p>
    <w:p w14:paraId="59084828" w14:textId="6BA1876A" w:rsidR="00835417" w:rsidRPr="000B7B07" w:rsidRDefault="00835417" w:rsidP="00835417">
      <w:pPr>
        <w:spacing w:before="120" w:after="120" w:line="360" w:lineRule="auto"/>
        <w:rPr>
          <w:rFonts w:ascii="Tahoma" w:hAnsi="Tahoma" w:cs="Tahoma"/>
          <w:color w:val="0098BA"/>
          <w:sz w:val="19"/>
          <w:szCs w:val="19"/>
        </w:rPr>
      </w:pPr>
      <w:r w:rsidRPr="000B7B07">
        <w:rPr>
          <w:rFonts w:ascii="Tahoma" w:hAnsi="Tahoma" w:cs="Tahoma"/>
          <w:color w:val="0098BA"/>
          <w:sz w:val="19"/>
          <w:szCs w:val="19"/>
        </w:rPr>
        <w:t>Manifestações por assunto – 2023</w:t>
      </w:r>
    </w:p>
    <w:p w14:paraId="2DC4FCED" w14:textId="43DA05EE" w:rsidR="00835417" w:rsidRPr="00835417" w:rsidRDefault="000B7B07" w:rsidP="00835417">
      <w:pPr>
        <w:spacing w:before="120" w:after="120" w:line="360" w:lineRule="auto"/>
        <w:rPr>
          <w:rFonts w:ascii="Tahoma" w:hAnsi="Tahoma" w:cs="Tahoma"/>
          <w:sz w:val="19"/>
          <w:szCs w:val="19"/>
        </w:rPr>
      </w:pPr>
      <w:r w:rsidRPr="000B7B07">
        <w:rPr>
          <w:noProof/>
          <w:shd w:val="clear" w:color="auto" w:fill="0098BA"/>
        </w:rPr>
        <w:drawing>
          <wp:inline distT="0" distB="0" distL="0" distR="0" wp14:anchorId="1E224A37" wp14:editId="7DCBA43A">
            <wp:extent cx="5295417" cy="2100806"/>
            <wp:effectExtent l="0" t="0" r="635" b="13970"/>
            <wp:docPr id="1774531290" name="Gráfico 1">
              <a:extLst xmlns:a="http://schemas.openxmlformats.org/drawingml/2006/main">
                <a:ext uri="{FF2B5EF4-FFF2-40B4-BE49-F238E27FC236}">
                  <a16:creationId xmlns:a16="http://schemas.microsoft.com/office/drawing/2014/main" id="{D55E4E5F-E2DD-4A61-B281-96F1EE1E07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14:paraId="5354D42B" w14:textId="722ED597" w:rsidR="000B7B07" w:rsidRDefault="00287F57">
      <w:pPr>
        <w:autoSpaceDN w:val="0"/>
        <w:spacing w:after="160"/>
        <w:textAlignment w:val="baseline"/>
        <w:rPr>
          <w:rFonts w:ascii="Tahoma" w:hAnsi="Tahoma" w:cs="Tahoma"/>
          <w:sz w:val="19"/>
          <w:szCs w:val="19"/>
        </w:rPr>
      </w:pPr>
      <w:r w:rsidRPr="00287F57">
        <w:rPr>
          <w:rFonts w:ascii="Tahoma" w:hAnsi="Tahoma" w:cs="Tahoma"/>
          <w:sz w:val="19"/>
          <w:szCs w:val="19"/>
        </w:rPr>
        <w:t>Nota: Entendem-se como Ineptas as manifestações impróprias, inadequadas, sem clareza ou incompreensíveis</w:t>
      </w:r>
    </w:p>
    <w:p w14:paraId="636EA7E8" w14:textId="77777777" w:rsidR="005C3A5A" w:rsidRDefault="005C3A5A">
      <w:pPr>
        <w:autoSpaceDN w:val="0"/>
        <w:spacing w:after="160"/>
        <w:textAlignment w:val="baseline"/>
        <w:rPr>
          <w:rFonts w:ascii="Tahoma" w:hAnsi="Tahoma" w:cs="Tahoma"/>
          <w:sz w:val="19"/>
          <w:szCs w:val="19"/>
        </w:rPr>
      </w:pPr>
    </w:p>
    <w:p w14:paraId="0801F37F" w14:textId="35F6ACED" w:rsidR="00835417" w:rsidRPr="000B7B07" w:rsidRDefault="00835417" w:rsidP="00835417">
      <w:pPr>
        <w:spacing w:before="120" w:after="120" w:line="360" w:lineRule="auto"/>
        <w:rPr>
          <w:rFonts w:ascii="Tahoma" w:hAnsi="Tahoma" w:cs="Tahoma"/>
          <w:color w:val="0098BA"/>
          <w:sz w:val="19"/>
          <w:szCs w:val="19"/>
        </w:rPr>
      </w:pPr>
      <w:r w:rsidRPr="000B7B07">
        <w:rPr>
          <w:rFonts w:ascii="Tahoma" w:hAnsi="Tahoma" w:cs="Tahoma"/>
          <w:color w:val="0098BA"/>
          <w:sz w:val="19"/>
          <w:szCs w:val="19"/>
        </w:rPr>
        <w:t xml:space="preserve">Registros SIC </w:t>
      </w:r>
    </w:p>
    <w:p w14:paraId="4DE70C34" w14:textId="6363C18C" w:rsidR="00835417" w:rsidRPr="00835417" w:rsidRDefault="00835417" w:rsidP="00835417">
      <w:pPr>
        <w:spacing w:before="120" w:after="120" w:line="360" w:lineRule="auto"/>
        <w:rPr>
          <w:rFonts w:ascii="Tahoma" w:hAnsi="Tahoma" w:cs="Tahoma"/>
          <w:sz w:val="19"/>
          <w:szCs w:val="19"/>
        </w:rPr>
      </w:pPr>
      <w:r w:rsidRPr="00835417">
        <w:rPr>
          <w:rFonts w:ascii="Tahoma" w:hAnsi="Tahoma" w:cs="Tahoma"/>
          <w:sz w:val="19"/>
          <w:szCs w:val="19"/>
        </w:rPr>
        <w:t>Em 2023</w:t>
      </w:r>
      <w:r w:rsidR="00997FA2">
        <w:rPr>
          <w:rFonts w:ascii="Tahoma" w:hAnsi="Tahoma" w:cs="Tahoma"/>
          <w:sz w:val="19"/>
          <w:szCs w:val="19"/>
        </w:rPr>
        <w:t>,</w:t>
      </w:r>
      <w:r w:rsidRPr="00835417">
        <w:rPr>
          <w:rFonts w:ascii="Tahoma" w:hAnsi="Tahoma" w:cs="Tahoma"/>
          <w:sz w:val="19"/>
          <w:szCs w:val="19"/>
        </w:rPr>
        <w:t xml:space="preserve"> foram registrados 156 pedidos de informação e o prazo médio de atendimento foi de 8,96 dias, representando uma redução em relação à média do ano anterior que foi de 13,29 dias. De acordo com o gráfico de tipos de respostas fornecidas, extraído do Painel Lei de Acesso à Informação, em 2023, 136 pedidos de informações foram deferidos pela Finep e cinco pedidos tiveram acesso às informações negado, em razão, principalmente, de se tratar de informações com restrição de acesso ou de pedido desproporcional.</w:t>
      </w:r>
    </w:p>
    <w:p w14:paraId="33CC0228" w14:textId="77777777" w:rsidR="00835417" w:rsidRPr="000B7B07" w:rsidRDefault="00835417" w:rsidP="00835417">
      <w:pPr>
        <w:spacing w:before="120" w:after="120" w:line="360" w:lineRule="auto"/>
        <w:rPr>
          <w:rFonts w:ascii="Tahoma" w:hAnsi="Tahoma" w:cs="Tahoma"/>
          <w:color w:val="0098BA"/>
          <w:sz w:val="19"/>
          <w:szCs w:val="19"/>
        </w:rPr>
      </w:pPr>
      <w:r w:rsidRPr="000B7B07">
        <w:rPr>
          <w:rFonts w:ascii="Tahoma" w:hAnsi="Tahoma" w:cs="Tahoma"/>
          <w:color w:val="0098BA"/>
          <w:sz w:val="19"/>
          <w:szCs w:val="19"/>
        </w:rPr>
        <w:t>Tipos de respostas fornecidas aos pedidos de acesso à informação</w:t>
      </w:r>
    </w:p>
    <w:p w14:paraId="347B7526" w14:textId="1BB39128" w:rsidR="00835417" w:rsidRPr="00835417" w:rsidRDefault="000B7B07" w:rsidP="00835417">
      <w:pPr>
        <w:spacing w:before="120" w:after="120" w:line="360" w:lineRule="auto"/>
        <w:rPr>
          <w:rFonts w:ascii="Tahoma" w:hAnsi="Tahoma" w:cs="Tahoma"/>
          <w:sz w:val="19"/>
          <w:szCs w:val="19"/>
        </w:rPr>
      </w:pPr>
      <w:r>
        <w:rPr>
          <w:rFonts w:cstheme="minorHAnsi"/>
          <w:noProof/>
          <w:lang w:eastAsia="zh-CN"/>
        </w:rPr>
        <w:drawing>
          <wp:inline distT="0" distB="0" distL="0" distR="0" wp14:anchorId="52D4611B" wp14:editId="030747C3">
            <wp:extent cx="5795010" cy="2693034"/>
            <wp:effectExtent l="0" t="0" r="15240" b="1270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7F4A0A9E" w14:textId="77777777" w:rsidR="00835417" w:rsidRPr="00835417" w:rsidRDefault="00835417" w:rsidP="00835417">
      <w:pPr>
        <w:spacing w:before="120" w:after="120" w:line="360" w:lineRule="auto"/>
        <w:rPr>
          <w:rFonts w:ascii="Tahoma" w:hAnsi="Tahoma" w:cs="Tahoma"/>
          <w:sz w:val="19"/>
          <w:szCs w:val="19"/>
        </w:rPr>
      </w:pPr>
      <w:r w:rsidRPr="00835417">
        <w:rPr>
          <w:rFonts w:ascii="Tahoma" w:hAnsi="Tahoma" w:cs="Tahoma"/>
          <w:sz w:val="19"/>
          <w:szCs w:val="19"/>
        </w:rPr>
        <w:lastRenderedPageBreak/>
        <w:t>Em relação à transparência ativa, seguindo as orientações da Política de Divulgação de Informações da Finep, em processo de normatização, nosso sítio eletrônico disponibiliza importante conjunto de informações, que permitem à sociedade acompanhar nossas ações. Destacamos as seções:</w:t>
      </w:r>
    </w:p>
    <w:p w14:paraId="56864B1B" w14:textId="01E81F97" w:rsidR="00835417" w:rsidRPr="00B20EC8" w:rsidRDefault="00541FB6" w:rsidP="00B20EC8">
      <w:pPr>
        <w:pStyle w:val="PargrafodaLista"/>
        <w:numPr>
          <w:ilvl w:val="0"/>
          <w:numId w:val="44"/>
        </w:numPr>
        <w:spacing w:before="120" w:after="120" w:line="360" w:lineRule="auto"/>
        <w:rPr>
          <w:rFonts w:ascii="Tahoma" w:hAnsi="Tahoma" w:cs="Tahoma"/>
          <w:sz w:val="19"/>
          <w:szCs w:val="19"/>
        </w:rPr>
      </w:pPr>
      <w:hyperlink r:id="rId234" w:history="1">
        <w:r w:rsidR="00835417" w:rsidRPr="00982789">
          <w:rPr>
            <w:rStyle w:val="Hyperlink"/>
            <w:rFonts w:ascii="Tahoma" w:hAnsi="Tahoma" w:cs="Tahoma"/>
            <w:sz w:val="19"/>
            <w:szCs w:val="19"/>
          </w:rPr>
          <w:t>Governança</w:t>
        </w:r>
      </w:hyperlink>
    </w:p>
    <w:p w14:paraId="7B75CD37" w14:textId="58A1E0CC" w:rsidR="00835417" w:rsidRPr="00B20EC8" w:rsidRDefault="00541FB6" w:rsidP="00B20EC8">
      <w:pPr>
        <w:pStyle w:val="PargrafodaLista"/>
        <w:numPr>
          <w:ilvl w:val="0"/>
          <w:numId w:val="44"/>
        </w:numPr>
        <w:spacing w:before="120" w:after="120" w:line="360" w:lineRule="auto"/>
        <w:rPr>
          <w:rFonts w:ascii="Tahoma" w:hAnsi="Tahoma" w:cs="Tahoma"/>
          <w:sz w:val="19"/>
          <w:szCs w:val="19"/>
        </w:rPr>
      </w:pPr>
      <w:hyperlink r:id="rId235" w:history="1">
        <w:r w:rsidR="00835417" w:rsidRPr="00982789">
          <w:rPr>
            <w:rStyle w:val="Hyperlink"/>
            <w:rFonts w:ascii="Tahoma" w:hAnsi="Tahoma" w:cs="Tahoma"/>
            <w:sz w:val="19"/>
            <w:szCs w:val="19"/>
          </w:rPr>
          <w:t>Acesso à Informação</w:t>
        </w:r>
      </w:hyperlink>
    </w:p>
    <w:p w14:paraId="73E1D74D" w14:textId="67376DB3" w:rsidR="00835417" w:rsidRPr="00B20EC8" w:rsidRDefault="00541FB6" w:rsidP="00B20EC8">
      <w:pPr>
        <w:pStyle w:val="PargrafodaLista"/>
        <w:numPr>
          <w:ilvl w:val="0"/>
          <w:numId w:val="44"/>
        </w:numPr>
        <w:spacing w:before="120" w:after="120" w:line="360" w:lineRule="auto"/>
        <w:rPr>
          <w:rFonts w:ascii="Tahoma" w:hAnsi="Tahoma" w:cs="Tahoma"/>
          <w:sz w:val="19"/>
          <w:szCs w:val="19"/>
        </w:rPr>
      </w:pPr>
      <w:hyperlink r:id="rId236" w:history="1">
        <w:r w:rsidR="00835417" w:rsidRPr="00461649">
          <w:rPr>
            <w:rStyle w:val="Hyperlink"/>
            <w:rFonts w:ascii="Tahoma" w:hAnsi="Tahoma" w:cs="Tahoma"/>
            <w:sz w:val="19"/>
            <w:szCs w:val="19"/>
          </w:rPr>
          <w:t>Transparência e Prestação de Contas</w:t>
        </w:r>
      </w:hyperlink>
    </w:p>
    <w:p w14:paraId="747D1E6C" w14:textId="5B440426" w:rsidR="000B7B07" w:rsidRDefault="000B7B07" w:rsidP="00835417">
      <w:pPr>
        <w:spacing w:before="120" w:after="120" w:line="360" w:lineRule="auto"/>
        <w:rPr>
          <w:rFonts w:ascii="Tahoma" w:hAnsi="Tahoma" w:cs="Tahoma"/>
          <w:sz w:val="19"/>
          <w:szCs w:val="19"/>
        </w:rPr>
      </w:pPr>
    </w:p>
    <w:p w14:paraId="314DFA38" w14:textId="272C49CC" w:rsidR="00217D27" w:rsidRDefault="00217D27">
      <w:pPr>
        <w:autoSpaceDN w:val="0"/>
        <w:spacing w:after="160"/>
        <w:textAlignment w:val="baseline"/>
        <w:rPr>
          <w:rFonts w:ascii="Tahoma" w:hAnsi="Tahoma" w:cs="Tahoma"/>
          <w:sz w:val="19"/>
          <w:szCs w:val="19"/>
        </w:rPr>
      </w:pPr>
    </w:p>
    <w:p w14:paraId="4B983D26" w14:textId="77777777" w:rsidR="000D6D0A" w:rsidRPr="00F718CF" w:rsidRDefault="00BB0E07" w:rsidP="00F718CF">
      <w:pPr>
        <w:pStyle w:val="Ttulo3"/>
        <w:spacing w:before="120" w:after="120" w:line="360" w:lineRule="auto"/>
        <w:rPr>
          <w:rFonts w:ascii="Tahoma" w:hAnsi="Tahoma" w:cs="Tahoma"/>
          <w:color w:val="0098BA"/>
          <w:sz w:val="22"/>
          <w:szCs w:val="22"/>
        </w:rPr>
      </w:pPr>
      <w:bookmarkStart w:id="228" w:name="_Toc94256489"/>
      <w:bookmarkStart w:id="229" w:name="_Toc94278214"/>
      <w:bookmarkStart w:id="230" w:name="_Toc97244821"/>
      <w:bookmarkStart w:id="231" w:name="_Toc98429508"/>
      <w:bookmarkStart w:id="232" w:name="_Toc98970152"/>
      <w:bookmarkStart w:id="233" w:name="_Toc105003451"/>
      <w:bookmarkStart w:id="234" w:name="_Toc105003809"/>
      <w:bookmarkStart w:id="235" w:name="_Toc105006492"/>
      <w:bookmarkStart w:id="236" w:name="_Toc105008239"/>
      <w:bookmarkStart w:id="237" w:name="_Toc163025272"/>
      <w:bookmarkStart w:id="238" w:name="_Toc162512608"/>
      <w:r w:rsidRPr="00F718CF">
        <w:rPr>
          <w:rFonts w:ascii="Tahoma" w:hAnsi="Tahoma" w:cs="Tahoma"/>
          <w:color w:val="0098BA"/>
          <w:sz w:val="22"/>
          <w:szCs w:val="22"/>
        </w:rPr>
        <w:t>Lei Geral de Proteção de Dados - LGPD</w:t>
      </w:r>
      <w:bookmarkEnd w:id="228"/>
      <w:bookmarkEnd w:id="229"/>
      <w:bookmarkEnd w:id="230"/>
      <w:bookmarkEnd w:id="231"/>
      <w:bookmarkEnd w:id="232"/>
      <w:bookmarkEnd w:id="233"/>
      <w:bookmarkEnd w:id="234"/>
      <w:bookmarkEnd w:id="235"/>
      <w:bookmarkEnd w:id="236"/>
      <w:bookmarkEnd w:id="237"/>
      <w:bookmarkEnd w:id="238"/>
    </w:p>
    <w:p w14:paraId="2A6EBE3C" w14:textId="77777777" w:rsidR="000D6D0A" w:rsidRDefault="00BB0E07">
      <w:pPr>
        <w:spacing w:before="120" w:after="120" w:line="360" w:lineRule="auto"/>
        <w:rPr>
          <w:rFonts w:ascii="Tahoma" w:hAnsi="Tahoma" w:cs="Tahoma"/>
          <w:sz w:val="19"/>
          <w:szCs w:val="19"/>
        </w:rPr>
      </w:pPr>
      <w:r>
        <w:rPr>
          <w:rFonts w:ascii="Tahoma" w:hAnsi="Tahoma" w:cs="Tahoma"/>
          <w:sz w:val="19"/>
          <w:szCs w:val="19"/>
        </w:rPr>
        <w:t xml:space="preserve">Em atenção às denominações previstas na Lei Geral de Proteção de Dados Pessoais - Lei nº 13.709/2018 - a Finep, que atua como Controladora e pode atuar ou dispor de Operadores, confere transparência a informações úteis para os usuários de seus serviços e para os titulares de dados pessoais. </w:t>
      </w:r>
    </w:p>
    <w:p w14:paraId="7584DF0E" w14:textId="46B04745" w:rsidR="000D6D0A" w:rsidRDefault="00F718CF">
      <w:pPr>
        <w:spacing w:before="120" w:after="120" w:line="360" w:lineRule="auto"/>
      </w:pPr>
      <w:r w:rsidRPr="00210336">
        <w:rPr>
          <w:rFonts w:ascii="Tahoma" w:hAnsi="Tahoma" w:cs="Tahoma"/>
          <w:noProof/>
          <w:sz w:val="22"/>
          <w:szCs w:val="22"/>
        </w:rPr>
        <mc:AlternateContent>
          <mc:Choice Requires="wps">
            <w:drawing>
              <wp:anchor distT="0" distB="0" distL="114300" distR="114300" simplePos="0" relativeHeight="251848704" behindDoc="0" locked="0" layoutInCell="1" allowOverlap="1" wp14:anchorId="1244A1D6" wp14:editId="06755BD2">
                <wp:simplePos x="0" y="0"/>
                <wp:positionH relativeFrom="column">
                  <wp:posOffset>774494</wp:posOffset>
                </wp:positionH>
                <wp:positionV relativeFrom="paragraph">
                  <wp:posOffset>928527</wp:posOffset>
                </wp:positionV>
                <wp:extent cx="4957948" cy="385948"/>
                <wp:effectExtent l="0" t="0" r="0" b="0"/>
                <wp:wrapNone/>
                <wp:docPr id="1570691371" name="Text Box 237"/>
                <wp:cNvGraphicFramePr/>
                <a:graphic xmlns:a="http://schemas.openxmlformats.org/drawingml/2006/main">
                  <a:graphicData uri="http://schemas.microsoft.com/office/word/2010/wordprocessingShape">
                    <wps:wsp>
                      <wps:cNvSpPr txBox="1"/>
                      <wps:spPr>
                        <a:xfrm>
                          <a:off x="0" y="0"/>
                          <a:ext cx="4957948" cy="385948"/>
                        </a:xfrm>
                        <a:prstGeom prst="rect">
                          <a:avLst/>
                        </a:prstGeom>
                        <a:solidFill>
                          <a:srgbClr val="0098BA">
                            <a:alpha val="25098"/>
                          </a:srgbClr>
                        </a:solidFill>
                        <a:ln w="6345">
                          <a:noFill/>
                          <a:prstDash val="dash"/>
                        </a:ln>
                      </wps:spPr>
                      <wps:txbx>
                        <w:txbxContent>
                          <w:p w14:paraId="7F166167" w14:textId="07177306" w:rsidR="00F718CF" w:rsidRPr="00F718CF" w:rsidRDefault="00541FB6" w:rsidP="00F718CF">
                            <w:pPr>
                              <w:rPr>
                                <w:rFonts w:ascii="Tahoma" w:hAnsi="Tahoma" w:cs="Tahoma"/>
                                <w:sz w:val="16"/>
                                <w:szCs w:val="16"/>
                              </w:rPr>
                            </w:pPr>
                            <w:hyperlink r:id="rId237" w:history="1">
                              <w:r w:rsidR="00F718CF" w:rsidRPr="00E7794C">
                                <w:rPr>
                                  <w:rStyle w:val="Hyperlink"/>
                                  <w:rFonts w:ascii="Tahoma" w:hAnsi="Tahoma" w:cs="Tahoma"/>
                                  <w:sz w:val="16"/>
                                  <w:szCs w:val="16"/>
                                </w:rPr>
                                <w:t>http://www.finep.gov.br/aviso-de-privacidade-lei-geral-de-protecao-de-dados-lgpd</w:t>
                              </w:r>
                            </w:hyperlink>
                          </w:p>
                          <w:p w14:paraId="1FB89A40" w14:textId="54D3CB05" w:rsidR="00F718CF" w:rsidRPr="00F718CF" w:rsidRDefault="00541FB6" w:rsidP="00F718CF">
                            <w:pPr>
                              <w:rPr>
                                <w:sz w:val="28"/>
                                <w:szCs w:val="28"/>
                              </w:rPr>
                            </w:pPr>
                            <w:hyperlink r:id="rId238" w:history="1">
                              <w:r w:rsidR="00F718CF" w:rsidRPr="00E7794C">
                                <w:rPr>
                                  <w:rStyle w:val="Hyperlink"/>
                                  <w:rFonts w:ascii="Tahoma" w:hAnsi="Tahoma" w:cs="Tahoma"/>
                                  <w:sz w:val="16"/>
                                  <w:szCs w:val="16"/>
                                </w:rPr>
                                <w:t>http://www.finep.gov.br/images/contratos-Adm/2021/13_12_2021_Aviso_de_Privacidade_v01.pdf</w:t>
                              </w:r>
                            </w:hyperlink>
                          </w:p>
                          <w:p w14:paraId="41ADA195" w14:textId="28EE085D" w:rsidR="00F718CF" w:rsidRPr="0082438F" w:rsidRDefault="00F718CF" w:rsidP="00F718CF">
                            <w:pPr>
                              <w:jc w:val="right"/>
                              <w:rPr>
                                <w:rFonts w:ascii="Tahoma" w:hAnsi="Tahoma" w:cs="Tahoma"/>
                                <w:sz w:val="16"/>
                                <w:szCs w:val="16"/>
                              </w:rPr>
                            </w:pPr>
                            <w:r>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1244A1D6" id="_x0000_s1053" type="#_x0000_t202" style="position:absolute;margin-left:61pt;margin-top:73.1pt;width:390.4pt;height:30.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" fillcolor="#0098ba" stroked="f" strokeweight=".17625mm">
                <v:fill opacity="16448f"/>
                <v:stroke dashstyle="dash"/>
                <v:textbox>
                  <w:txbxContent>
                    <w:p w14:paraId="7F166167" w14:textId="07177306" w:rsidR="00F718CF" w:rsidRPr="00F718CF" w:rsidRDefault="00541FB6" w:rsidP="00F718CF">
                      <w:pPr>
                        <w:rPr>
                          <w:rFonts w:ascii="Tahoma" w:hAnsi="Tahoma" w:cs="Tahoma"/>
                          <w:sz w:val="16"/>
                          <w:szCs w:val="16"/>
                        </w:rPr>
                      </w:pPr>
                      <w:hyperlink r:id="rId239" w:history="1">
                        <w:r w:rsidR="00F718CF" w:rsidRPr="00E7794C">
                          <w:rPr>
                            <w:rStyle w:val="Hyperlink"/>
                            <w:rFonts w:ascii="Tahoma" w:hAnsi="Tahoma" w:cs="Tahoma"/>
                            <w:sz w:val="16"/>
                            <w:szCs w:val="16"/>
                          </w:rPr>
                          <w:t>http://www.finep.gov.br/aviso-de-privacidade-lei-geral-de-protecao-de-dados-lgpd</w:t>
                        </w:r>
                      </w:hyperlink>
                    </w:p>
                    <w:p w14:paraId="1FB89A40" w14:textId="54D3CB05" w:rsidR="00F718CF" w:rsidRPr="00F718CF" w:rsidRDefault="00541FB6" w:rsidP="00F718CF">
                      <w:pPr>
                        <w:rPr>
                          <w:sz w:val="28"/>
                          <w:szCs w:val="28"/>
                        </w:rPr>
                      </w:pPr>
                      <w:hyperlink r:id="rId240" w:history="1">
                        <w:r w:rsidR="00F718CF" w:rsidRPr="00E7794C">
                          <w:rPr>
                            <w:rStyle w:val="Hyperlink"/>
                            <w:rFonts w:ascii="Tahoma" w:hAnsi="Tahoma" w:cs="Tahoma"/>
                            <w:sz w:val="16"/>
                            <w:szCs w:val="16"/>
                          </w:rPr>
                          <w:t>http://www.finep.gov.br/images/contratos-Adm/2021/13_12_2021_Aviso_de_Privacidade_v01.pdf</w:t>
                        </w:r>
                      </w:hyperlink>
                    </w:p>
                    <w:p w14:paraId="41ADA195" w14:textId="28EE085D" w:rsidR="00F718CF" w:rsidRPr="0082438F" w:rsidRDefault="00F718CF" w:rsidP="00F718CF">
                      <w:pPr>
                        <w:jc w:val="right"/>
                        <w:rPr>
                          <w:rFonts w:ascii="Tahoma" w:hAnsi="Tahoma" w:cs="Tahoma"/>
                          <w:sz w:val="16"/>
                          <w:szCs w:val="16"/>
                        </w:rPr>
                      </w:pPr>
                      <w:r>
                        <w:rPr>
                          <w:rFonts w:ascii="Tahoma" w:hAnsi="Tahoma" w:cs="Tahoma"/>
                          <w:sz w:val="16"/>
                          <w:szCs w:val="16"/>
                        </w:rPr>
                        <w:t>.</w:t>
                      </w:r>
                    </w:p>
                  </w:txbxContent>
                </v:textbox>
              </v:shape>
            </w:pict>
          </mc:Fallback>
        </mc:AlternateContent>
      </w:r>
      <w:r w:rsidR="00BB0E07">
        <w:rPr>
          <w:rFonts w:ascii="Tahoma" w:hAnsi="Tahoma" w:cs="Tahoma"/>
          <w:sz w:val="19"/>
          <w:szCs w:val="19"/>
        </w:rPr>
        <w:t>Nesse sentido, divulga em seu site, Avisos de Privacidade, tanto relativos às atividades de aquisições como para as suas atividades finalísticas, permitindo que os titulares de dados pessoais compreendam como a Finep realiza o tratamento dos seus dados. Os Avisos estão refletidos em seus instrumentos contratuais que foram atualizados em conformidade com a LGPD.</w:t>
      </w:r>
    </w:p>
    <w:p w14:paraId="056E256F" w14:textId="569E69A4" w:rsidR="000D6D0A" w:rsidRDefault="000D6D0A">
      <w:pPr>
        <w:spacing w:before="120" w:after="120" w:line="360" w:lineRule="auto"/>
        <w:rPr>
          <w:rFonts w:ascii="Tahoma" w:hAnsi="Tahoma" w:cs="Tahoma"/>
          <w:sz w:val="19"/>
          <w:szCs w:val="19"/>
        </w:rPr>
      </w:pPr>
    </w:p>
    <w:p w14:paraId="6D9EC4D9" w14:textId="715E38A7" w:rsidR="000D6D0A" w:rsidRDefault="000D6D0A">
      <w:pPr>
        <w:spacing w:before="120" w:after="120" w:line="360" w:lineRule="auto"/>
        <w:rPr>
          <w:rFonts w:ascii="Tahoma" w:hAnsi="Tahoma" w:cs="Tahoma"/>
          <w:sz w:val="19"/>
          <w:szCs w:val="19"/>
        </w:rPr>
      </w:pPr>
    </w:p>
    <w:p w14:paraId="7EF2BB81" w14:textId="0297CC1F" w:rsidR="000D6D0A" w:rsidRDefault="00BB0E07">
      <w:pPr>
        <w:spacing w:before="120" w:after="120" w:line="360" w:lineRule="auto"/>
      </w:pPr>
      <w:r>
        <w:rPr>
          <w:rFonts w:ascii="Tahoma" w:hAnsi="Tahoma" w:cs="Tahoma"/>
          <w:sz w:val="19"/>
          <w:szCs w:val="19"/>
        </w:rPr>
        <w:t xml:space="preserve">A função de encarregado, responsável pela comunicação entre o controlador, os titulares dos dados e a Autoridade Nacional de Proteção de Dados é exercida, temporariamente, pelo titular da Ouvidoria da Finep. As informações de </w:t>
      </w:r>
      <w:hyperlink r:id="rId241" w:history="1">
        <w:r w:rsidRPr="00F718CF">
          <w:rPr>
            <w:rStyle w:val="Hyperlink"/>
            <w:rFonts w:ascii="Tahoma" w:hAnsi="Tahoma" w:cs="Tahoma"/>
            <w:sz w:val="19"/>
            <w:szCs w:val="19"/>
          </w:rPr>
          <w:t>contato do encarregado</w:t>
        </w:r>
      </w:hyperlink>
      <w:r w:rsidRPr="00F718CF">
        <w:rPr>
          <w:rFonts w:ascii="Tahoma" w:hAnsi="Tahoma" w:cs="Tahoma"/>
          <w:sz w:val="19"/>
          <w:szCs w:val="19"/>
        </w:rPr>
        <w:t xml:space="preserve"> </w:t>
      </w:r>
      <w:r>
        <w:rPr>
          <w:rFonts w:ascii="Tahoma" w:hAnsi="Tahoma" w:cs="Tahoma"/>
          <w:sz w:val="19"/>
          <w:szCs w:val="19"/>
        </w:rPr>
        <w:t>foram disponibilizadas no sítio eletrônico da Finep, juntamente com orientações expedidas pela empresa.</w:t>
      </w:r>
    </w:p>
    <w:p w14:paraId="26CE2069" w14:textId="03A0101B" w:rsidR="000D6D0A" w:rsidRDefault="00F718CF">
      <w:pPr>
        <w:spacing w:before="120" w:after="120" w:line="360" w:lineRule="auto"/>
        <w:rPr>
          <w:rFonts w:ascii="Tahoma" w:hAnsi="Tahoma" w:cs="Tahoma"/>
          <w:sz w:val="19"/>
          <w:szCs w:val="19"/>
        </w:rPr>
      </w:pPr>
      <w:r w:rsidRPr="00F718CF">
        <w:rPr>
          <w:rFonts w:ascii="Tahoma" w:hAnsi="Tahoma" w:cs="Tahoma"/>
          <w:sz w:val="19"/>
          <w:szCs w:val="19"/>
        </w:rPr>
        <w:t>No ano de 2023</w:t>
      </w:r>
      <w:r>
        <w:rPr>
          <w:rFonts w:ascii="Tahoma" w:hAnsi="Tahoma" w:cs="Tahoma"/>
          <w:sz w:val="19"/>
          <w:szCs w:val="19"/>
        </w:rPr>
        <w:t>, seguimos</w:t>
      </w:r>
      <w:r w:rsidRPr="00F718CF">
        <w:rPr>
          <w:rFonts w:ascii="Tahoma" w:hAnsi="Tahoma" w:cs="Tahoma"/>
          <w:sz w:val="19"/>
          <w:szCs w:val="19"/>
        </w:rPr>
        <w:t xml:space="preserve"> no acompanhamento dos trabalhos conduzidos por consultorias contratadas para o processo de adequação da Finep à Lei Geral de Proteção de Dados.</w:t>
      </w:r>
    </w:p>
    <w:p w14:paraId="457F5AFD" w14:textId="77777777" w:rsidR="00F718CF" w:rsidRDefault="00F718CF">
      <w:pPr>
        <w:spacing w:before="120" w:after="120" w:line="360" w:lineRule="auto"/>
        <w:rPr>
          <w:rFonts w:ascii="Tahoma" w:hAnsi="Tahoma" w:cs="Tahoma"/>
          <w:sz w:val="19"/>
          <w:szCs w:val="19"/>
        </w:rPr>
      </w:pPr>
    </w:p>
    <w:p w14:paraId="35AE9ED4" w14:textId="6917DAC4" w:rsidR="005C3A5A" w:rsidRDefault="005C3A5A">
      <w:pPr>
        <w:autoSpaceDN w:val="0"/>
        <w:spacing w:after="160"/>
        <w:textAlignment w:val="baseline"/>
        <w:rPr>
          <w:rFonts w:ascii="Tahoma" w:hAnsi="Tahoma" w:cs="Tahoma"/>
          <w:sz w:val="19"/>
          <w:szCs w:val="19"/>
        </w:rPr>
      </w:pPr>
      <w:r>
        <w:rPr>
          <w:rFonts w:ascii="Tahoma" w:hAnsi="Tahoma" w:cs="Tahoma"/>
          <w:sz w:val="19"/>
          <w:szCs w:val="19"/>
        </w:rPr>
        <w:br w:type="page"/>
      </w:r>
    </w:p>
    <w:p w14:paraId="4CBE1756" w14:textId="77777777" w:rsidR="000D6D0A" w:rsidRPr="003D0607" w:rsidRDefault="00BB0E07" w:rsidP="003D0607">
      <w:pPr>
        <w:pStyle w:val="Ttulo2"/>
        <w:spacing w:before="0" w:after="120" w:line="360" w:lineRule="auto"/>
        <w:ind w:left="862" w:hanging="578"/>
        <w:rPr>
          <w:rFonts w:ascii="Tahoma" w:hAnsi="Tahoma" w:cs="Tahoma"/>
          <w:color w:val="0098BA"/>
          <w:sz w:val="24"/>
          <w:szCs w:val="24"/>
        </w:rPr>
      </w:pPr>
      <w:bookmarkStart w:id="239" w:name="_Toc65414089"/>
      <w:bookmarkStart w:id="240" w:name="_Toc65494341"/>
      <w:bookmarkStart w:id="241" w:name="_Toc93683651"/>
      <w:bookmarkStart w:id="242" w:name="_Toc94256490"/>
      <w:bookmarkStart w:id="243" w:name="_Toc94278215"/>
      <w:bookmarkStart w:id="244" w:name="_Toc97244822"/>
      <w:bookmarkStart w:id="245" w:name="_Toc105003810"/>
      <w:bookmarkStart w:id="246" w:name="_Toc105006493"/>
      <w:bookmarkStart w:id="247" w:name="_Toc131692258"/>
      <w:bookmarkStart w:id="248" w:name="_Toc163025273"/>
      <w:bookmarkStart w:id="249" w:name="_Toc162512609"/>
      <w:bookmarkStart w:id="250" w:name="_Hlk128573933"/>
      <w:r w:rsidRPr="003D0607">
        <w:rPr>
          <w:rFonts w:ascii="Tahoma" w:hAnsi="Tahoma" w:cs="Tahoma"/>
          <w:color w:val="0098BA"/>
          <w:sz w:val="24"/>
          <w:szCs w:val="24"/>
        </w:rPr>
        <w:lastRenderedPageBreak/>
        <w:t>Capital intelectual</w:t>
      </w:r>
      <w:bookmarkEnd w:id="239"/>
      <w:bookmarkEnd w:id="240"/>
      <w:bookmarkEnd w:id="241"/>
      <w:bookmarkEnd w:id="242"/>
      <w:bookmarkEnd w:id="243"/>
      <w:bookmarkEnd w:id="244"/>
      <w:bookmarkEnd w:id="245"/>
      <w:bookmarkEnd w:id="246"/>
      <w:bookmarkEnd w:id="247"/>
      <w:bookmarkEnd w:id="248"/>
      <w:bookmarkEnd w:id="249"/>
    </w:p>
    <w:p w14:paraId="5DB08F7F" w14:textId="77777777" w:rsidR="00D44A09" w:rsidRDefault="00D44A09" w:rsidP="00F718CF">
      <w:pPr>
        <w:spacing w:before="120" w:after="120" w:line="360" w:lineRule="auto"/>
        <w:rPr>
          <w:rFonts w:ascii="Tahoma" w:hAnsi="Tahoma" w:cs="Tahoma"/>
          <w:sz w:val="19"/>
          <w:szCs w:val="19"/>
        </w:rPr>
      </w:pPr>
      <w:r>
        <w:rPr>
          <w:rFonts w:ascii="Tahoma" w:hAnsi="Tahoma" w:cs="Tahoma"/>
          <w:sz w:val="19"/>
          <w:szCs w:val="19"/>
        </w:rPr>
        <w:t>A articulação</w:t>
      </w:r>
      <w:r w:rsidRPr="00F718CF">
        <w:rPr>
          <w:rFonts w:ascii="Tahoma" w:hAnsi="Tahoma" w:cs="Tahoma"/>
          <w:sz w:val="19"/>
          <w:szCs w:val="19"/>
        </w:rPr>
        <w:t xml:space="preserve"> de diferentes tipos de organização no estímulo à inovação </w:t>
      </w:r>
      <w:r>
        <w:rPr>
          <w:rFonts w:ascii="Tahoma" w:hAnsi="Tahoma" w:cs="Tahoma"/>
          <w:sz w:val="19"/>
          <w:szCs w:val="19"/>
        </w:rPr>
        <w:t>faz parte do Capital Intelectual da</w:t>
      </w:r>
      <w:r w:rsidRPr="00F718CF">
        <w:rPr>
          <w:rFonts w:ascii="Tahoma" w:hAnsi="Tahoma" w:cs="Tahoma"/>
          <w:sz w:val="19"/>
          <w:szCs w:val="19"/>
        </w:rPr>
        <w:t xml:space="preserve"> Finep</w:t>
      </w:r>
      <w:r>
        <w:rPr>
          <w:rFonts w:ascii="Tahoma" w:hAnsi="Tahoma" w:cs="Tahoma"/>
          <w:sz w:val="19"/>
          <w:szCs w:val="19"/>
        </w:rPr>
        <w:t xml:space="preserve"> que dessa forma</w:t>
      </w:r>
      <w:r w:rsidRPr="00F718CF">
        <w:rPr>
          <w:rFonts w:ascii="Tahoma" w:hAnsi="Tahoma" w:cs="Tahoma"/>
          <w:sz w:val="19"/>
          <w:szCs w:val="19"/>
        </w:rPr>
        <w:t xml:space="preserve"> </w:t>
      </w:r>
      <w:r>
        <w:rPr>
          <w:rFonts w:ascii="Tahoma" w:hAnsi="Tahoma" w:cs="Tahoma"/>
          <w:sz w:val="19"/>
          <w:szCs w:val="19"/>
        </w:rPr>
        <w:t>promove</w:t>
      </w:r>
      <w:r w:rsidRPr="00F718CF">
        <w:rPr>
          <w:rFonts w:ascii="Tahoma" w:hAnsi="Tahoma" w:cs="Tahoma"/>
          <w:sz w:val="19"/>
          <w:szCs w:val="19"/>
        </w:rPr>
        <w:t xml:space="preserve"> a inovação aberta, articulando o sistema de inovação e conectando atores para promover o desenvolvimento econômico e social do país, fomentando </w:t>
      </w:r>
      <w:r>
        <w:rPr>
          <w:rFonts w:ascii="Tahoma" w:hAnsi="Tahoma" w:cs="Tahoma"/>
          <w:sz w:val="19"/>
          <w:szCs w:val="19"/>
        </w:rPr>
        <w:t xml:space="preserve">o desenvolvimento de </w:t>
      </w:r>
      <w:r w:rsidRPr="00F718CF">
        <w:rPr>
          <w:rFonts w:ascii="Tahoma" w:hAnsi="Tahoma" w:cs="Tahoma"/>
          <w:sz w:val="19"/>
          <w:szCs w:val="19"/>
        </w:rPr>
        <w:t>produtos, processos e serviços inovadores.</w:t>
      </w:r>
    </w:p>
    <w:p w14:paraId="7AA83536" w14:textId="5559EDCF" w:rsidR="00F718CF" w:rsidRDefault="00F718CF" w:rsidP="00F718CF">
      <w:pPr>
        <w:spacing w:before="120" w:after="120" w:line="360" w:lineRule="auto"/>
        <w:rPr>
          <w:rFonts w:ascii="Tahoma" w:hAnsi="Tahoma" w:cs="Tahoma"/>
          <w:sz w:val="19"/>
          <w:szCs w:val="19"/>
        </w:rPr>
      </w:pPr>
      <w:r w:rsidRPr="00F718CF">
        <w:rPr>
          <w:rFonts w:ascii="Tahoma" w:hAnsi="Tahoma" w:cs="Tahoma"/>
          <w:sz w:val="19"/>
          <w:szCs w:val="19"/>
        </w:rPr>
        <w:t xml:space="preserve">No modelo de </w:t>
      </w:r>
      <w:r w:rsidRPr="00003115">
        <w:rPr>
          <w:rFonts w:ascii="Tahoma" w:hAnsi="Tahoma" w:cs="Tahoma"/>
          <w:color w:val="0098BA"/>
          <w:sz w:val="19"/>
          <w:szCs w:val="19"/>
        </w:rPr>
        <w:t>inovação aberta</w:t>
      </w:r>
      <w:r w:rsidRPr="00F718CF">
        <w:rPr>
          <w:rFonts w:ascii="Tahoma" w:hAnsi="Tahoma" w:cs="Tahoma"/>
          <w:sz w:val="19"/>
          <w:szCs w:val="19"/>
        </w:rPr>
        <w:t>, as organizações podem gerar ideias e desenvolver novas tecnologias em colaboração com outras organizações e indivíduos. Nesse modelo, a fronteira entre a instituição demandante da inovação e o ambiente externo a ela é tênue, permitindo que inovações se movam mais facilmente entre os dois ambientes. Ou seja, são estimulados os fluxos de entrada e saída de conhecimento para acelerar a inovação interna e expandir os mercados para uso externo da inovação, uma abordagem bem mais participativa e descentralizada que o modelo fechado tradicional. Ao adotar o modelo de inovação aberta, as organizações se beneficiam da inteligência coletiva de diversos atores para inovar.</w:t>
      </w:r>
    </w:p>
    <w:p w14:paraId="27FBE67B" w14:textId="7604F171" w:rsidR="00D44A09" w:rsidRDefault="00D44A09" w:rsidP="00F718CF">
      <w:pPr>
        <w:spacing w:before="120" w:after="120" w:line="360" w:lineRule="auto"/>
        <w:rPr>
          <w:rFonts w:ascii="Tahoma" w:hAnsi="Tahoma" w:cs="Tahoma"/>
          <w:sz w:val="19"/>
          <w:szCs w:val="19"/>
        </w:rPr>
      </w:pPr>
      <w:r w:rsidRPr="00210336">
        <w:rPr>
          <w:rFonts w:ascii="Tahoma" w:hAnsi="Tahoma" w:cs="Tahoma"/>
          <w:noProof/>
          <w:sz w:val="22"/>
          <w:szCs w:val="22"/>
        </w:rPr>
        <mc:AlternateContent>
          <mc:Choice Requires="wps">
            <w:drawing>
              <wp:anchor distT="0" distB="0" distL="114300" distR="114300" simplePos="0" relativeHeight="251901952" behindDoc="0" locked="0" layoutInCell="1" allowOverlap="1" wp14:anchorId="39A726BF" wp14:editId="041C4880">
                <wp:simplePos x="0" y="0"/>
                <wp:positionH relativeFrom="column">
                  <wp:posOffset>937895</wp:posOffset>
                </wp:positionH>
                <wp:positionV relativeFrom="paragraph">
                  <wp:posOffset>0</wp:posOffset>
                </wp:positionV>
                <wp:extent cx="4957445" cy="654685"/>
                <wp:effectExtent l="0" t="0" r="0" b="0"/>
                <wp:wrapNone/>
                <wp:docPr id="1106986618" name="Text Box 237"/>
                <wp:cNvGraphicFramePr/>
                <a:graphic xmlns:a="http://schemas.openxmlformats.org/drawingml/2006/main">
                  <a:graphicData uri="http://schemas.microsoft.com/office/word/2010/wordprocessingShape">
                    <wps:wsp>
                      <wps:cNvSpPr txBox="1"/>
                      <wps:spPr>
                        <a:xfrm>
                          <a:off x="0" y="0"/>
                          <a:ext cx="4957445" cy="654685"/>
                        </a:xfrm>
                        <a:prstGeom prst="rect">
                          <a:avLst/>
                        </a:prstGeom>
                        <a:solidFill>
                          <a:srgbClr val="0098BA">
                            <a:alpha val="25098"/>
                          </a:srgbClr>
                        </a:solidFill>
                        <a:ln w="6345">
                          <a:noFill/>
                          <a:prstDash val="dash"/>
                        </a:ln>
                      </wps:spPr>
                      <wps:txbx>
                        <w:txbxContent>
                          <w:p w14:paraId="266D5915" w14:textId="77777777" w:rsidR="00D44A09" w:rsidRPr="00D44A09" w:rsidRDefault="00D44A09" w:rsidP="00D44A09">
                            <w:pPr>
                              <w:rPr>
                                <w:rFonts w:ascii="Tahoma" w:hAnsi="Tahoma" w:cs="Tahoma"/>
                                <w:sz w:val="16"/>
                                <w:szCs w:val="16"/>
                              </w:rPr>
                            </w:pPr>
                            <w:r w:rsidRPr="00D44A09">
                              <w:rPr>
                                <w:rFonts w:ascii="Tahoma" w:hAnsi="Tahoma" w:cs="Tahoma"/>
                                <w:sz w:val="16"/>
                                <w:szCs w:val="16"/>
                              </w:rPr>
                              <w:t xml:space="preserve">De acordo com levantamento da </w:t>
                            </w:r>
                            <w:hyperlink r:id="rId242" w:history="1">
                              <w:r w:rsidRPr="00D44A09">
                                <w:rPr>
                                  <w:rStyle w:val="Hyperlink"/>
                                  <w:rFonts w:ascii="Tahoma" w:hAnsi="Tahoma" w:cs="Tahoma"/>
                                  <w:sz w:val="16"/>
                                  <w:szCs w:val="16"/>
                                </w:rPr>
                                <w:t xml:space="preserve">100 </w:t>
                              </w:r>
                              <w:r w:rsidRPr="00D44A09">
                                <w:rPr>
                                  <w:rStyle w:val="Hyperlink"/>
                                  <w:rFonts w:ascii="Tahoma" w:hAnsi="Tahoma" w:cs="Tahoma"/>
                                  <w:i/>
                                  <w:sz w:val="16"/>
                                  <w:szCs w:val="16"/>
                                </w:rPr>
                                <w:t>Open Startups</w:t>
                              </w:r>
                            </w:hyperlink>
                            <w:r w:rsidRPr="00D44A09">
                              <w:rPr>
                                <w:rFonts w:ascii="Tahoma" w:hAnsi="Tahoma" w:cs="Tahoma"/>
                                <w:sz w:val="16"/>
                                <w:szCs w:val="16"/>
                              </w:rPr>
                              <w:t xml:space="preserve"> realizado em 2023, considerando apenas a contratação de </w:t>
                            </w:r>
                            <w:r w:rsidRPr="00D44A09">
                              <w:rPr>
                                <w:rFonts w:ascii="Tahoma" w:hAnsi="Tahoma" w:cs="Tahoma"/>
                                <w:i/>
                                <w:sz w:val="16"/>
                                <w:szCs w:val="16"/>
                              </w:rPr>
                              <w:t>startups</w:t>
                            </w:r>
                            <w:r w:rsidRPr="00D44A09">
                              <w:rPr>
                                <w:rFonts w:ascii="Tahoma" w:hAnsi="Tahoma" w:cs="Tahoma"/>
                                <w:sz w:val="16"/>
                                <w:szCs w:val="16"/>
                              </w:rPr>
                              <w:t xml:space="preserve"> por empresas para desenvolvimento de projetos no último ano no Brasil, o volume de contratos foi de R$ 6,4 bilhões, representando um crescimento de 130% em relação ao ano anterior.</w:t>
                            </w:r>
                          </w:p>
                          <w:p w14:paraId="62028DE4" w14:textId="77777777" w:rsidR="00D44A09" w:rsidRPr="0082438F" w:rsidRDefault="00D44A09" w:rsidP="00D44A09">
                            <w:pPr>
                              <w:jc w:val="right"/>
                              <w:rPr>
                                <w:rFonts w:ascii="Tahoma" w:hAnsi="Tahoma" w:cs="Tahoma"/>
                                <w:sz w:val="16"/>
                                <w:szCs w:val="16"/>
                              </w:rPr>
                            </w:pPr>
                            <w:r>
                              <w:rPr>
                                <w:rFonts w:ascii="Tahoma" w:hAnsi="Tahoma" w:cs="Tahoma"/>
                                <w:sz w:val="16"/>
                                <w:szCs w:val="16"/>
                              </w:rPr>
                              <w:t>.</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39A726BF" id="_x0000_s1054" type="#_x0000_t202" style="position:absolute;margin-left:73.85pt;margin-top:0;width:390.35pt;height:51.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" fillcolor="#0098ba" stroked="f" strokeweight=".17625mm">
                <v:fill opacity="16448f"/>
                <v:stroke dashstyle="dash"/>
                <v:textbox>
                  <w:txbxContent>
                    <w:p w14:paraId="266D5915" w14:textId="77777777" w:rsidR="00D44A09" w:rsidRPr="00D44A09" w:rsidRDefault="00D44A09" w:rsidP="00D44A09">
                      <w:pPr>
                        <w:rPr>
                          <w:rFonts w:ascii="Tahoma" w:hAnsi="Tahoma" w:cs="Tahoma"/>
                          <w:sz w:val="16"/>
                          <w:szCs w:val="16"/>
                        </w:rPr>
                      </w:pPr>
                      <w:r w:rsidRPr="00D44A09">
                        <w:rPr>
                          <w:rFonts w:ascii="Tahoma" w:hAnsi="Tahoma" w:cs="Tahoma"/>
                          <w:sz w:val="16"/>
                          <w:szCs w:val="16"/>
                        </w:rPr>
                        <w:t xml:space="preserve">De acordo com levantamento da </w:t>
                      </w:r>
                      <w:hyperlink r:id="rId243" w:history="1">
                        <w:r w:rsidRPr="00D44A09">
                          <w:rPr>
                            <w:rStyle w:val="Hyperlink"/>
                            <w:rFonts w:ascii="Tahoma" w:hAnsi="Tahoma" w:cs="Tahoma"/>
                            <w:sz w:val="16"/>
                            <w:szCs w:val="16"/>
                          </w:rPr>
                          <w:t xml:space="preserve">100 </w:t>
                        </w:r>
                        <w:r w:rsidRPr="00D44A09">
                          <w:rPr>
                            <w:rStyle w:val="Hyperlink"/>
                            <w:rFonts w:ascii="Tahoma" w:hAnsi="Tahoma" w:cs="Tahoma"/>
                            <w:i/>
                            <w:sz w:val="16"/>
                            <w:szCs w:val="16"/>
                          </w:rPr>
                          <w:t>Open Startups</w:t>
                        </w:r>
                      </w:hyperlink>
                      <w:r w:rsidRPr="00D44A09">
                        <w:rPr>
                          <w:rFonts w:ascii="Tahoma" w:hAnsi="Tahoma" w:cs="Tahoma"/>
                          <w:sz w:val="16"/>
                          <w:szCs w:val="16"/>
                        </w:rPr>
                        <w:t xml:space="preserve"> realizado em 2023, considerando apenas a contratação de </w:t>
                      </w:r>
                      <w:r w:rsidRPr="00D44A09">
                        <w:rPr>
                          <w:rFonts w:ascii="Tahoma" w:hAnsi="Tahoma" w:cs="Tahoma"/>
                          <w:i/>
                          <w:sz w:val="16"/>
                          <w:szCs w:val="16"/>
                        </w:rPr>
                        <w:t>startups</w:t>
                      </w:r>
                      <w:r w:rsidRPr="00D44A09">
                        <w:rPr>
                          <w:rFonts w:ascii="Tahoma" w:hAnsi="Tahoma" w:cs="Tahoma"/>
                          <w:sz w:val="16"/>
                          <w:szCs w:val="16"/>
                        </w:rPr>
                        <w:t xml:space="preserve"> por empresas para desenvolvimento de projetos no último ano no Brasil, o volume de contratos foi de R$ 6,4 bilhões, representando um crescimento de 130% em relação ao ano anterior.</w:t>
                      </w:r>
                    </w:p>
                    <w:p w14:paraId="62028DE4" w14:textId="77777777" w:rsidR="00D44A09" w:rsidRPr="0082438F" w:rsidRDefault="00D44A09" w:rsidP="00D44A09">
                      <w:pPr>
                        <w:jc w:val="right"/>
                        <w:rPr>
                          <w:rFonts w:ascii="Tahoma" w:hAnsi="Tahoma" w:cs="Tahoma"/>
                          <w:sz w:val="16"/>
                          <w:szCs w:val="16"/>
                        </w:rPr>
                      </w:pPr>
                      <w:r>
                        <w:rPr>
                          <w:rFonts w:ascii="Tahoma" w:hAnsi="Tahoma" w:cs="Tahoma"/>
                          <w:sz w:val="16"/>
                          <w:szCs w:val="16"/>
                        </w:rPr>
                        <w:t>.</w:t>
                      </w:r>
                    </w:p>
                  </w:txbxContent>
                </v:textbox>
              </v:shape>
            </w:pict>
          </mc:Fallback>
        </mc:AlternateContent>
      </w:r>
    </w:p>
    <w:p w14:paraId="10C98F9B" w14:textId="6DE136CC" w:rsidR="00D44A09" w:rsidRDefault="00D44A09" w:rsidP="00F718CF">
      <w:pPr>
        <w:spacing w:before="120" w:after="120" w:line="360" w:lineRule="auto"/>
        <w:rPr>
          <w:rFonts w:ascii="Tahoma" w:hAnsi="Tahoma" w:cs="Tahoma"/>
          <w:sz w:val="19"/>
          <w:szCs w:val="19"/>
        </w:rPr>
      </w:pPr>
    </w:p>
    <w:p w14:paraId="7C25DA93" w14:textId="77777777" w:rsidR="00D44A09" w:rsidRPr="00F718CF" w:rsidRDefault="00D44A09" w:rsidP="00F718CF">
      <w:pPr>
        <w:spacing w:before="120" w:after="120" w:line="360" w:lineRule="auto"/>
        <w:rPr>
          <w:rFonts w:ascii="Tahoma" w:hAnsi="Tahoma" w:cs="Tahoma"/>
          <w:sz w:val="19"/>
          <w:szCs w:val="19"/>
        </w:rPr>
      </w:pPr>
    </w:p>
    <w:p w14:paraId="6693B788" w14:textId="5A6D74D0" w:rsidR="00095591" w:rsidRDefault="00F718CF" w:rsidP="00095591">
      <w:pPr>
        <w:spacing w:before="120" w:after="120" w:line="360" w:lineRule="auto"/>
        <w:rPr>
          <w:rFonts w:ascii="Tahoma" w:hAnsi="Tahoma" w:cs="Tahoma"/>
          <w:sz w:val="19"/>
          <w:szCs w:val="19"/>
        </w:rPr>
      </w:pPr>
      <w:r w:rsidRPr="00F718CF">
        <w:rPr>
          <w:rFonts w:ascii="Tahoma" w:hAnsi="Tahoma" w:cs="Tahoma"/>
          <w:sz w:val="19"/>
          <w:szCs w:val="19"/>
        </w:rPr>
        <w:t xml:space="preserve">A partir de sua experiência, os analistas da Finep frequentemente conectam - quando as partes estão de acordo </w:t>
      </w:r>
      <w:r w:rsidR="00920AC4">
        <w:rPr>
          <w:rFonts w:ascii="Tahoma" w:hAnsi="Tahoma" w:cs="Tahoma"/>
          <w:sz w:val="19"/>
          <w:szCs w:val="19"/>
        </w:rPr>
        <w:t>–</w:t>
      </w:r>
      <w:r w:rsidRPr="00F718CF">
        <w:rPr>
          <w:rFonts w:ascii="Tahoma" w:hAnsi="Tahoma" w:cs="Tahoma"/>
          <w:sz w:val="19"/>
          <w:szCs w:val="19"/>
        </w:rPr>
        <w:t xml:space="preserve"> empresas</w:t>
      </w:r>
      <w:r w:rsidR="00920AC4">
        <w:rPr>
          <w:rFonts w:ascii="Tahoma" w:hAnsi="Tahoma" w:cs="Tahoma"/>
          <w:sz w:val="19"/>
          <w:szCs w:val="19"/>
        </w:rPr>
        <w:t>, desde startups a empresas consolidadas</w:t>
      </w:r>
      <w:r w:rsidRPr="00F718CF">
        <w:rPr>
          <w:rFonts w:ascii="Tahoma" w:hAnsi="Tahoma" w:cs="Tahoma"/>
          <w:sz w:val="19"/>
          <w:szCs w:val="19"/>
        </w:rPr>
        <w:t xml:space="preserve"> com </w:t>
      </w:r>
      <w:r w:rsidR="00920AC4">
        <w:rPr>
          <w:rFonts w:ascii="Tahoma" w:hAnsi="Tahoma" w:cs="Tahoma"/>
          <w:sz w:val="19"/>
          <w:szCs w:val="19"/>
        </w:rPr>
        <w:t>ICTs</w:t>
      </w:r>
      <w:r w:rsidRPr="00F718CF">
        <w:rPr>
          <w:rFonts w:ascii="Tahoma" w:hAnsi="Tahoma" w:cs="Tahoma"/>
          <w:sz w:val="19"/>
          <w:szCs w:val="19"/>
        </w:rPr>
        <w:t xml:space="preserve"> que atuem com a tecnologia ou especialidade desejada. Gerando assim, oportunidades de encontro e novos projetos que podem ser apoiados pelos instrumentos disponíveis.</w:t>
      </w:r>
      <w:r w:rsidR="00AA009F">
        <w:rPr>
          <w:rFonts w:ascii="Tahoma" w:hAnsi="Tahoma" w:cs="Tahoma"/>
          <w:sz w:val="19"/>
          <w:szCs w:val="19"/>
        </w:rPr>
        <w:t xml:space="preserve"> Temos também vários exemplos de chamadas públicas em que a formação de arranjos e redes é estimulada. E </w:t>
      </w:r>
      <w:r w:rsidR="00095591">
        <w:rPr>
          <w:rFonts w:ascii="Tahoma" w:hAnsi="Tahoma" w:cs="Tahoma"/>
          <w:sz w:val="19"/>
          <w:szCs w:val="19"/>
        </w:rPr>
        <w:t xml:space="preserve">no crédito, o </w:t>
      </w:r>
      <w:r w:rsidR="00095591" w:rsidRPr="00095591">
        <w:rPr>
          <w:rFonts w:ascii="Tahoma" w:hAnsi="Tahoma" w:cs="Tahoma"/>
          <w:sz w:val="19"/>
          <w:szCs w:val="19"/>
        </w:rPr>
        <w:t>Finep Conecta</w:t>
      </w:r>
      <w:r w:rsidR="00920AC4">
        <w:rPr>
          <w:rFonts w:ascii="Tahoma" w:hAnsi="Tahoma" w:cs="Tahoma"/>
          <w:sz w:val="19"/>
          <w:szCs w:val="19"/>
        </w:rPr>
        <w:t>, em especial,</w:t>
      </w:r>
      <w:r w:rsidR="00095591">
        <w:rPr>
          <w:rFonts w:ascii="Tahoma" w:hAnsi="Tahoma" w:cs="Tahoma"/>
          <w:sz w:val="19"/>
          <w:szCs w:val="19"/>
        </w:rPr>
        <w:t xml:space="preserve"> tem condições diferenciadas de apoio para planos de inovação de empresas que </w:t>
      </w:r>
      <w:r w:rsidR="00095591" w:rsidRPr="00095591">
        <w:rPr>
          <w:rFonts w:ascii="Tahoma" w:hAnsi="Tahoma" w:cs="Tahoma"/>
          <w:sz w:val="19"/>
          <w:szCs w:val="19"/>
        </w:rPr>
        <w:t>de</w:t>
      </w:r>
      <w:r w:rsidR="00095591">
        <w:rPr>
          <w:rFonts w:ascii="Tahoma" w:hAnsi="Tahoma" w:cs="Tahoma"/>
          <w:sz w:val="19"/>
          <w:szCs w:val="19"/>
        </w:rPr>
        <w:t>stinem</w:t>
      </w:r>
      <w:r w:rsidR="00095591" w:rsidRPr="00095591">
        <w:rPr>
          <w:rFonts w:ascii="Tahoma" w:hAnsi="Tahoma" w:cs="Tahoma"/>
          <w:sz w:val="19"/>
          <w:szCs w:val="19"/>
        </w:rPr>
        <w:t xml:space="preserve"> ao menos 15% do valor</w:t>
      </w:r>
      <w:r w:rsidR="00095591">
        <w:rPr>
          <w:rFonts w:ascii="Tahoma" w:hAnsi="Tahoma" w:cs="Tahoma"/>
          <w:sz w:val="19"/>
          <w:szCs w:val="19"/>
        </w:rPr>
        <w:t xml:space="preserve"> do projeto para </w:t>
      </w:r>
      <w:r w:rsidR="00095591" w:rsidRPr="00095591">
        <w:rPr>
          <w:rFonts w:ascii="Tahoma" w:hAnsi="Tahoma" w:cs="Tahoma"/>
          <w:sz w:val="19"/>
          <w:szCs w:val="19"/>
        </w:rPr>
        <w:t>parceria com ICTs</w:t>
      </w:r>
      <w:r w:rsidR="00095591">
        <w:rPr>
          <w:rFonts w:ascii="Tahoma" w:hAnsi="Tahoma" w:cs="Tahoma"/>
          <w:sz w:val="19"/>
          <w:szCs w:val="19"/>
        </w:rPr>
        <w:t>.</w:t>
      </w:r>
    </w:p>
    <w:p w14:paraId="6A12359C" w14:textId="39E02261" w:rsidR="00F718CF" w:rsidRPr="00F718CF" w:rsidRDefault="00F718CF" w:rsidP="00095591">
      <w:pPr>
        <w:spacing w:before="120" w:after="120" w:line="360" w:lineRule="auto"/>
        <w:rPr>
          <w:rFonts w:ascii="Tahoma" w:hAnsi="Tahoma" w:cs="Tahoma"/>
          <w:sz w:val="19"/>
          <w:szCs w:val="19"/>
        </w:rPr>
      </w:pPr>
      <w:r w:rsidRPr="00F718CF">
        <w:rPr>
          <w:rFonts w:ascii="Tahoma" w:hAnsi="Tahoma" w:cs="Tahoma"/>
          <w:sz w:val="19"/>
          <w:szCs w:val="19"/>
        </w:rPr>
        <w:t>Devido à análise técnica rigorosa à qual são submetidas, empresas com projetos aprovados pela Finep adquirem um "selo" intangível muito valorizado pelas instituições demandantes de soluções inovadoras.</w:t>
      </w:r>
    </w:p>
    <w:p w14:paraId="579F876C" w14:textId="77777777" w:rsidR="00F718CF" w:rsidRPr="00F718CF" w:rsidRDefault="00F718CF" w:rsidP="00F718CF">
      <w:pPr>
        <w:spacing w:before="120" w:after="120" w:line="360" w:lineRule="auto"/>
        <w:rPr>
          <w:rFonts w:ascii="Tahoma" w:hAnsi="Tahoma" w:cs="Tahoma"/>
          <w:sz w:val="19"/>
          <w:szCs w:val="19"/>
        </w:rPr>
      </w:pPr>
      <w:r w:rsidRPr="00F718CF">
        <w:rPr>
          <w:rFonts w:ascii="Tahoma" w:hAnsi="Tahoma" w:cs="Tahoma"/>
          <w:sz w:val="19"/>
          <w:szCs w:val="19"/>
        </w:rPr>
        <w:t xml:space="preserve">Recentemente, como parte de uma iniciativa piloto, criamos a Comunidade de </w:t>
      </w:r>
      <w:r w:rsidRPr="00254F4A">
        <w:rPr>
          <w:rFonts w:ascii="Tahoma" w:hAnsi="Tahoma"/>
          <w:i/>
          <w:sz w:val="19"/>
        </w:rPr>
        <w:t>Startups</w:t>
      </w:r>
      <w:r w:rsidRPr="00F718CF">
        <w:rPr>
          <w:rFonts w:ascii="Tahoma" w:hAnsi="Tahoma" w:cs="Tahoma"/>
          <w:sz w:val="19"/>
          <w:szCs w:val="19"/>
        </w:rPr>
        <w:t xml:space="preserve"> da Finep, uma comunidade que continua apoiando as</w:t>
      </w:r>
      <w:r w:rsidRPr="00254F4A">
        <w:rPr>
          <w:rFonts w:ascii="Tahoma" w:hAnsi="Tahoma"/>
          <w:i/>
          <w:sz w:val="19"/>
        </w:rPr>
        <w:t xml:space="preserve"> startups</w:t>
      </w:r>
      <w:r w:rsidRPr="00F718CF">
        <w:rPr>
          <w:rFonts w:ascii="Tahoma" w:hAnsi="Tahoma" w:cs="Tahoma"/>
          <w:sz w:val="19"/>
          <w:szCs w:val="19"/>
        </w:rPr>
        <w:t xml:space="preserve"> investidas e aceleradas. Nesse ambiente, as </w:t>
      </w:r>
      <w:r w:rsidRPr="00254F4A">
        <w:rPr>
          <w:rFonts w:ascii="Tahoma" w:hAnsi="Tahoma"/>
          <w:i/>
          <w:sz w:val="19"/>
        </w:rPr>
        <w:t>startups</w:t>
      </w:r>
      <w:r w:rsidRPr="00F718CF">
        <w:rPr>
          <w:rFonts w:ascii="Tahoma" w:hAnsi="Tahoma" w:cs="Tahoma"/>
          <w:sz w:val="19"/>
          <w:szCs w:val="19"/>
        </w:rPr>
        <w:t xml:space="preserve"> são convidadas a participar de palestras e eventos de </w:t>
      </w:r>
      <w:r w:rsidRPr="00254F4A">
        <w:rPr>
          <w:rFonts w:ascii="Tahoma" w:hAnsi="Tahoma"/>
          <w:i/>
          <w:sz w:val="19"/>
        </w:rPr>
        <w:t>networking</w:t>
      </w:r>
      <w:r w:rsidRPr="00F718CF">
        <w:rPr>
          <w:rFonts w:ascii="Tahoma" w:hAnsi="Tahoma" w:cs="Tahoma"/>
          <w:sz w:val="19"/>
          <w:szCs w:val="19"/>
        </w:rPr>
        <w:t xml:space="preserve"> e conexão com outras </w:t>
      </w:r>
      <w:r w:rsidRPr="00254F4A">
        <w:rPr>
          <w:rFonts w:ascii="Tahoma" w:hAnsi="Tahoma"/>
          <w:i/>
          <w:sz w:val="19"/>
        </w:rPr>
        <w:t>startups</w:t>
      </w:r>
      <w:r w:rsidRPr="00F718CF">
        <w:rPr>
          <w:rFonts w:ascii="Tahoma" w:hAnsi="Tahoma" w:cs="Tahoma"/>
          <w:sz w:val="19"/>
          <w:szCs w:val="19"/>
        </w:rPr>
        <w:t>, são apresentadas a grandes empresas e participam de feiras e eventos apoiados pela Finep.</w:t>
      </w:r>
    </w:p>
    <w:p w14:paraId="1E1B2DB4" w14:textId="42A1CE37" w:rsidR="00F718CF" w:rsidRPr="00F718CF" w:rsidRDefault="00F718CF" w:rsidP="00F718CF">
      <w:pPr>
        <w:spacing w:before="120" w:after="120" w:line="360" w:lineRule="auto"/>
        <w:rPr>
          <w:rFonts w:ascii="Tahoma" w:hAnsi="Tahoma" w:cs="Tahoma"/>
          <w:sz w:val="19"/>
          <w:szCs w:val="19"/>
        </w:rPr>
      </w:pPr>
      <w:r w:rsidRPr="00F718CF">
        <w:rPr>
          <w:rFonts w:ascii="Tahoma" w:hAnsi="Tahoma" w:cs="Tahoma"/>
          <w:sz w:val="19"/>
          <w:szCs w:val="19"/>
        </w:rPr>
        <w:t xml:space="preserve">Ainda, nos últimos anos, a Finep tem atuado lançando editais que partem de mapeamento de desafios de organizações públicas ou privadas com fomento a projetos de </w:t>
      </w:r>
      <w:r w:rsidRPr="00254F4A">
        <w:rPr>
          <w:rFonts w:ascii="Tahoma" w:hAnsi="Tahoma"/>
          <w:i/>
          <w:sz w:val="19"/>
        </w:rPr>
        <w:t>startups</w:t>
      </w:r>
      <w:r w:rsidRPr="00F718CF">
        <w:rPr>
          <w:rFonts w:ascii="Tahoma" w:hAnsi="Tahoma" w:cs="Tahoma"/>
          <w:sz w:val="19"/>
          <w:szCs w:val="19"/>
        </w:rPr>
        <w:t xml:space="preserve"> para solucionar esses desafios. Os resultados </w:t>
      </w:r>
      <w:r w:rsidR="00003115" w:rsidRPr="00F718CF">
        <w:rPr>
          <w:rFonts w:ascii="Tahoma" w:hAnsi="Tahoma" w:cs="Tahoma"/>
          <w:sz w:val="19"/>
          <w:szCs w:val="19"/>
        </w:rPr>
        <w:t>têm</w:t>
      </w:r>
      <w:r w:rsidRPr="00F718CF">
        <w:rPr>
          <w:rFonts w:ascii="Tahoma" w:hAnsi="Tahoma" w:cs="Tahoma"/>
          <w:sz w:val="19"/>
          <w:szCs w:val="19"/>
        </w:rPr>
        <w:t xml:space="preserve"> sido muito positivos.</w:t>
      </w:r>
    </w:p>
    <w:p w14:paraId="13B50259" w14:textId="2075697B" w:rsidR="00F718CF" w:rsidRPr="00F718CF" w:rsidRDefault="00F718CF" w:rsidP="00F718CF">
      <w:pPr>
        <w:spacing w:before="120" w:after="120" w:line="360" w:lineRule="auto"/>
        <w:rPr>
          <w:rFonts w:ascii="Tahoma" w:hAnsi="Tahoma" w:cs="Tahoma"/>
          <w:sz w:val="19"/>
          <w:szCs w:val="19"/>
        </w:rPr>
      </w:pPr>
      <w:r w:rsidRPr="00F718CF">
        <w:rPr>
          <w:rFonts w:ascii="Tahoma" w:hAnsi="Tahoma" w:cs="Tahoma"/>
          <w:sz w:val="19"/>
          <w:szCs w:val="19"/>
        </w:rPr>
        <w:t xml:space="preserve">Recentemente, foram lançadas chamadas direcionadas para solução de desafios tecnológicos por </w:t>
      </w:r>
      <w:r w:rsidRPr="00254F4A">
        <w:rPr>
          <w:rFonts w:ascii="Tahoma" w:hAnsi="Tahoma"/>
          <w:i/>
          <w:sz w:val="19"/>
        </w:rPr>
        <w:t>startups</w:t>
      </w:r>
      <w:r w:rsidRPr="00F718CF">
        <w:rPr>
          <w:rFonts w:ascii="Tahoma" w:hAnsi="Tahoma" w:cs="Tahoma"/>
          <w:sz w:val="19"/>
          <w:szCs w:val="19"/>
        </w:rPr>
        <w:t xml:space="preserve">, como o edital </w:t>
      </w:r>
      <w:hyperlink r:id="rId244" w:history="1">
        <w:r w:rsidRPr="00003115">
          <w:rPr>
            <w:rStyle w:val="Hyperlink"/>
            <w:rFonts w:ascii="Tahoma" w:hAnsi="Tahoma" w:cs="Tahoma"/>
            <w:sz w:val="19"/>
            <w:szCs w:val="19"/>
          </w:rPr>
          <w:t>Soluções de IA para o Poder Público</w:t>
        </w:r>
      </w:hyperlink>
      <w:r w:rsidRPr="00F718CF">
        <w:rPr>
          <w:rFonts w:ascii="Tahoma" w:hAnsi="Tahoma" w:cs="Tahoma"/>
          <w:sz w:val="19"/>
          <w:szCs w:val="19"/>
        </w:rPr>
        <w:t xml:space="preserve">, em sua terceira rodada, que visa apoiar soluções baseadas em Inteligência Artificial para aplicação em desafios tecnológicos de diversas entidades do Poder Público Federal. Até o momento já foram contratadas oito </w:t>
      </w:r>
      <w:r w:rsidRPr="00254F4A">
        <w:rPr>
          <w:rFonts w:ascii="Tahoma" w:hAnsi="Tahoma"/>
          <w:i/>
          <w:sz w:val="19"/>
        </w:rPr>
        <w:t>startups</w:t>
      </w:r>
      <w:r w:rsidRPr="00F718CF">
        <w:rPr>
          <w:rFonts w:ascii="Tahoma" w:hAnsi="Tahoma" w:cs="Tahoma"/>
          <w:sz w:val="19"/>
          <w:szCs w:val="19"/>
        </w:rPr>
        <w:t>, com o valor total de projetos de R$ 22 milhões.</w:t>
      </w:r>
    </w:p>
    <w:p w14:paraId="08C00377" w14:textId="692F6AAE" w:rsidR="00F718CF" w:rsidRDefault="00F718CF" w:rsidP="00F718CF">
      <w:pPr>
        <w:spacing w:before="120" w:after="120" w:line="360" w:lineRule="auto"/>
        <w:rPr>
          <w:rFonts w:ascii="Tahoma" w:hAnsi="Tahoma" w:cs="Tahoma"/>
          <w:sz w:val="19"/>
          <w:szCs w:val="19"/>
        </w:rPr>
      </w:pPr>
      <w:r w:rsidRPr="00F718CF">
        <w:rPr>
          <w:rFonts w:ascii="Tahoma" w:hAnsi="Tahoma" w:cs="Tahoma"/>
          <w:sz w:val="19"/>
          <w:szCs w:val="19"/>
        </w:rPr>
        <w:lastRenderedPageBreak/>
        <w:t xml:space="preserve">No processo de elaboração do edital </w:t>
      </w:r>
      <w:hyperlink r:id="rId245" w:history="1">
        <w:r w:rsidRPr="00003115">
          <w:rPr>
            <w:rStyle w:val="Hyperlink"/>
            <w:rFonts w:ascii="Tahoma" w:hAnsi="Tahoma" w:cs="Tahoma"/>
            <w:sz w:val="19"/>
            <w:szCs w:val="19"/>
          </w:rPr>
          <w:t>Água para o Semiárido</w:t>
        </w:r>
      </w:hyperlink>
      <w:r w:rsidRPr="00F718CF">
        <w:rPr>
          <w:rFonts w:ascii="Tahoma" w:hAnsi="Tahoma" w:cs="Tahoma"/>
          <w:sz w:val="19"/>
          <w:szCs w:val="19"/>
        </w:rPr>
        <w:t xml:space="preserve">, </w:t>
      </w:r>
      <w:r w:rsidR="00920AC4">
        <w:rPr>
          <w:rFonts w:ascii="Tahoma" w:hAnsi="Tahoma" w:cs="Tahoma"/>
          <w:sz w:val="19"/>
          <w:szCs w:val="19"/>
        </w:rPr>
        <w:t xml:space="preserve">desenvolvido </w:t>
      </w:r>
      <w:r w:rsidRPr="00F718CF">
        <w:rPr>
          <w:rFonts w:ascii="Tahoma" w:hAnsi="Tahoma" w:cs="Tahoma"/>
          <w:sz w:val="19"/>
          <w:szCs w:val="19"/>
        </w:rPr>
        <w:t xml:space="preserve">em parceria com o Ministério do Desenvolvimento Regional, </w:t>
      </w:r>
      <w:r w:rsidR="00920AC4">
        <w:rPr>
          <w:rFonts w:ascii="Tahoma" w:hAnsi="Tahoma" w:cs="Tahoma"/>
          <w:sz w:val="19"/>
          <w:szCs w:val="19"/>
        </w:rPr>
        <w:t xml:space="preserve">por sua vez, </w:t>
      </w:r>
      <w:r w:rsidRPr="00F718CF">
        <w:rPr>
          <w:rFonts w:ascii="Tahoma" w:hAnsi="Tahoma" w:cs="Tahoma"/>
          <w:sz w:val="19"/>
          <w:szCs w:val="19"/>
        </w:rPr>
        <w:t>foram levantados com diversos atores impactados pelo tema, desafios tecnológicos para o desenvolvimento de projetos que ampliassem a oferta de água com qualidade para a população do semiárido brasileiro. O edital de subvenção econômica foi lançado em 2022 e apoiou sete</w:t>
      </w:r>
      <w:r w:rsidR="00B148EF">
        <w:rPr>
          <w:rFonts w:ascii="Tahoma" w:hAnsi="Tahoma" w:cs="Tahoma"/>
          <w:sz w:val="19"/>
          <w:szCs w:val="19"/>
        </w:rPr>
        <w:t xml:space="preserve"> </w:t>
      </w:r>
      <w:r w:rsidRPr="00F718CF">
        <w:rPr>
          <w:rFonts w:ascii="Tahoma" w:hAnsi="Tahoma" w:cs="Tahoma"/>
          <w:sz w:val="19"/>
          <w:szCs w:val="19"/>
        </w:rPr>
        <w:t>empresas, no valor total de R$ 6,9 milhões.</w:t>
      </w:r>
    </w:p>
    <w:p w14:paraId="194F24AC" w14:textId="77777777" w:rsidR="00F718CF" w:rsidRDefault="00F718CF">
      <w:pPr>
        <w:spacing w:before="120" w:after="120" w:line="360" w:lineRule="auto"/>
        <w:rPr>
          <w:rFonts w:ascii="Tahoma" w:hAnsi="Tahoma" w:cs="Tahoma"/>
          <w:sz w:val="19"/>
          <w:szCs w:val="19"/>
        </w:rPr>
      </w:pPr>
    </w:p>
    <w:bookmarkEnd w:id="250"/>
    <w:p w14:paraId="34BDD19C" w14:textId="657A2F26" w:rsidR="00994825" w:rsidRDefault="00994825">
      <w:pPr>
        <w:autoSpaceDN w:val="0"/>
        <w:spacing w:after="160"/>
        <w:textAlignment w:val="baseline"/>
        <w:rPr>
          <w:rFonts w:ascii="Tahoma" w:hAnsi="Tahoma" w:cs="Tahoma"/>
          <w:sz w:val="19"/>
          <w:szCs w:val="19"/>
        </w:rPr>
      </w:pPr>
      <w:r>
        <w:rPr>
          <w:rFonts w:ascii="Tahoma" w:hAnsi="Tahoma" w:cs="Tahoma"/>
          <w:sz w:val="19"/>
          <w:szCs w:val="19"/>
        </w:rPr>
        <w:br w:type="page"/>
      </w:r>
    </w:p>
    <w:p w14:paraId="711F226A" w14:textId="77777777" w:rsidR="000D6D0A" w:rsidRPr="003D0607" w:rsidRDefault="00BB0E07" w:rsidP="003D0607">
      <w:pPr>
        <w:pStyle w:val="Ttulo2"/>
        <w:spacing w:before="0" w:after="120" w:line="360" w:lineRule="auto"/>
        <w:ind w:left="862" w:hanging="578"/>
        <w:rPr>
          <w:rFonts w:ascii="Tahoma" w:hAnsi="Tahoma" w:cs="Tahoma"/>
          <w:color w:val="0098BA"/>
          <w:sz w:val="24"/>
          <w:szCs w:val="24"/>
        </w:rPr>
      </w:pPr>
      <w:bookmarkStart w:id="251" w:name="_Toc65414090"/>
      <w:bookmarkStart w:id="252" w:name="_Toc65494342"/>
      <w:bookmarkStart w:id="253" w:name="_Toc93683652"/>
      <w:bookmarkStart w:id="254" w:name="_Toc94256491"/>
      <w:bookmarkStart w:id="255" w:name="_Toc94278216"/>
      <w:bookmarkStart w:id="256" w:name="_Toc97244823"/>
      <w:bookmarkStart w:id="257" w:name="_Toc105003811"/>
      <w:bookmarkStart w:id="258" w:name="_Toc105006494"/>
      <w:bookmarkStart w:id="259" w:name="_Toc131692259"/>
      <w:bookmarkStart w:id="260" w:name="_Toc163025274"/>
      <w:bookmarkStart w:id="261" w:name="_Toc162512610"/>
      <w:r w:rsidRPr="003D0607">
        <w:rPr>
          <w:rFonts w:ascii="Tahoma" w:hAnsi="Tahoma" w:cs="Tahoma"/>
          <w:color w:val="0098BA"/>
          <w:sz w:val="24"/>
          <w:szCs w:val="24"/>
        </w:rPr>
        <w:lastRenderedPageBreak/>
        <w:t>Capital financeiro</w:t>
      </w:r>
      <w:bookmarkEnd w:id="251"/>
      <w:bookmarkEnd w:id="252"/>
      <w:bookmarkEnd w:id="253"/>
      <w:bookmarkEnd w:id="254"/>
      <w:bookmarkEnd w:id="255"/>
      <w:bookmarkEnd w:id="256"/>
      <w:bookmarkEnd w:id="257"/>
      <w:bookmarkEnd w:id="258"/>
      <w:bookmarkEnd w:id="259"/>
      <w:bookmarkEnd w:id="260"/>
      <w:bookmarkEnd w:id="261"/>
    </w:p>
    <w:p w14:paraId="16426FC0" w14:textId="77777777" w:rsidR="00B148EF" w:rsidRDefault="00B148EF" w:rsidP="00B148EF">
      <w:pPr>
        <w:spacing w:before="120" w:after="120" w:line="360" w:lineRule="auto"/>
        <w:rPr>
          <w:rFonts w:ascii="Tahoma" w:hAnsi="Tahoma" w:cs="Tahoma"/>
          <w:sz w:val="19"/>
          <w:szCs w:val="19"/>
        </w:rPr>
      </w:pPr>
      <w:r>
        <w:rPr>
          <w:rFonts w:ascii="Tahoma" w:hAnsi="Tahoma" w:cs="Tahoma"/>
          <w:sz w:val="19"/>
          <w:szCs w:val="19"/>
        </w:rPr>
        <w:t>Representa o conjunto de recursos financeiros disponíveis para utilização na operacionalização dos instrumentos da Finep. Na sua operação a Finep utiliza recursos próprios e capta recursos em fontes externas.</w:t>
      </w:r>
    </w:p>
    <w:p w14:paraId="79918F38" w14:textId="77777777" w:rsidR="00B148EF" w:rsidRPr="00B148EF" w:rsidRDefault="00B148EF" w:rsidP="00B148EF">
      <w:pPr>
        <w:spacing w:before="120" w:after="120" w:line="360" w:lineRule="auto"/>
        <w:rPr>
          <w:color w:val="0098BA"/>
        </w:rPr>
      </w:pPr>
      <w:r w:rsidRPr="00B148EF">
        <w:rPr>
          <w:rFonts w:ascii="Tahoma" w:hAnsi="Tahoma" w:cs="Tahoma"/>
          <w:color w:val="0098BA"/>
          <w:sz w:val="19"/>
          <w:szCs w:val="19"/>
        </w:rPr>
        <w:t>Recursos Captados em 2023</w:t>
      </w:r>
    </w:p>
    <w:tbl>
      <w:tblPr>
        <w:tblW w:w="8510" w:type="dxa"/>
        <w:tblInd w:w="-5" w:type="dxa"/>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000" w:firstRow="0" w:lastRow="0" w:firstColumn="0" w:lastColumn="0" w:noHBand="0" w:noVBand="0"/>
      </w:tblPr>
      <w:tblGrid>
        <w:gridCol w:w="3833"/>
        <w:gridCol w:w="3260"/>
        <w:gridCol w:w="1417"/>
      </w:tblGrid>
      <w:tr w:rsidR="00B148EF" w14:paraId="4716655D" w14:textId="77777777" w:rsidTr="00D95330">
        <w:trPr>
          <w:trHeight w:val="300"/>
          <w:tblHeader/>
        </w:trPr>
        <w:tc>
          <w:tcPr>
            <w:tcW w:w="3833" w:type="dxa"/>
            <w:shd w:val="clear" w:color="auto" w:fill="0098BA"/>
            <w:tcMar>
              <w:top w:w="0" w:type="dxa"/>
              <w:left w:w="70" w:type="dxa"/>
              <w:bottom w:w="0" w:type="dxa"/>
              <w:right w:w="70" w:type="dxa"/>
            </w:tcMar>
            <w:vAlign w:val="center"/>
          </w:tcPr>
          <w:p w14:paraId="60305B4A" w14:textId="77777777" w:rsidR="00B148EF" w:rsidRDefault="00B148EF" w:rsidP="00097EE2">
            <w:pPr>
              <w:rPr>
                <w:rFonts w:ascii="Tahoma" w:hAnsi="Tahoma" w:cs="Tahoma"/>
                <w:color w:val="FFFFFF"/>
                <w:sz w:val="18"/>
                <w:szCs w:val="19"/>
              </w:rPr>
            </w:pPr>
            <w:r>
              <w:rPr>
                <w:rFonts w:ascii="Tahoma" w:hAnsi="Tahoma" w:cs="Tahoma"/>
                <w:color w:val="FFFFFF"/>
                <w:sz w:val="18"/>
                <w:szCs w:val="19"/>
              </w:rPr>
              <w:t>Origem</w:t>
            </w:r>
          </w:p>
        </w:tc>
        <w:tc>
          <w:tcPr>
            <w:tcW w:w="3260" w:type="dxa"/>
            <w:shd w:val="clear" w:color="auto" w:fill="0098BA"/>
            <w:tcMar>
              <w:top w:w="0" w:type="dxa"/>
              <w:left w:w="70" w:type="dxa"/>
              <w:bottom w:w="0" w:type="dxa"/>
              <w:right w:w="70" w:type="dxa"/>
            </w:tcMar>
            <w:vAlign w:val="center"/>
          </w:tcPr>
          <w:p w14:paraId="3A2B2124" w14:textId="77777777" w:rsidR="00B148EF" w:rsidRDefault="00B148EF" w:rsidP="00097EE2">
            <w:pPr>
              <w:rPr>
                <w:rFonts w:ascii="Tahoma" w:hAnsi="Tahoma" w:cs="Tahoma"/>
                <w:color w:val="FFFFFF"/>
                <w:sz w:val="18"/>
                <w:szCs w:val="19"/>
              </w:rPr>
            </w:pPr>
            <w:r>
              <w:rPr>
                <w:rFonts w:ascii="Tahoma" w:hAnsi="Tahoma" w:cs="Tahoma"/>
                <w:color w:val="FFFFFF"/>
                <w:sz w:val="18"/>
                <w:szCs w:val="19"/>
              </w:rPr>
              <w:t>Instrumento</w:t>
            </w:r>
          </w:p>
        </w:tc>
        <w:tc>
          <w:tcPr>
            <w:tcW w:w="1417" w:type="dxa"/>
            <w:shd w:val="clear" w:color="auto" w:fill="0098BA"/>
            <w:tcMar>
              <w:top w:w="0" w:type="dxa"/>
              <w:left w:w="70" w:type="dxa"/>
              <w:bottom w:w="0" w:type="dxa"/>
              <w:right w:w="70" w:type="dxa"/>
            </w:tcMar>
            <w:vAlign w:val="center"/>
          </w:tcPr>
          <w:p w14:paraId="23A33434" w14:textId="77777777" w:rsidR="00B148EF" w:rsidRDefault="00B148EF" w:rsidP="00097EE2">
            <w:pPr>
              <w:jc w:val="center"/>
              <w:rPr>
                <w:rFonts w:ascii="Tahoma" w:hAnsi="Tahoma" w:cs="Tahoma"/>
                <w:color w:val="FFFFFF"/>
                <w:sz w:val="18"/>
                <w:szCs w:val="19"/>
              </w:rPr>
            </w:pPr>
            <w:r>
              <w:rPr>
                <w:rFonts w:ascii="Tahoma" w:hAnsi="Tahoma" w:cs="Tahoma"/>
                <w:color w:val="FFFFFF"/>
                <w:sz w:val="18"/>
                <w:szCs w:val="19"/>
              </w:rPr>
              <w:t>Valor em R$</w:t>
            </w:r>
          </w:p>
        </w:tc>
      </w:tr>
      <w:tr w:rsidR="00B148EF" w:rsidRPr="00B148EF" w14:paraId="7F101632" w14:textId="77777777" w:rsidTr="00D95330">
        <w:trPr>
          <w:trHeight w:val="300"/>
        </w:trPr>
        <w:tc>
          <w:tcPr>
            <w:tcW w:w="8510" w:type="dxa"/>
            <w:gridSpan w:val="3"/>
            <w:shd w:val="clear" w:color="auto" w:fill="BDD6EE" w:themeFill="accent5" w:themeFillTint="66"/>
            <w:tcMar>
              <w:top w:w="0" w:type="dxa"/>
              <w:left w:w="70" w:type="dxa"/>
              <w:bottom w:w="0" w:type="dxa"/>
              <w:right w:w="70" w:type="dxa"/>
            </w:tcMar>
            <w:vAlign w:val="center"/>
          </w:tcPr>
          <w:p w14:paraId="35DD1F8C" w14:textId="66AC2436" w:rsidR="00B148EF" w:rsidRPr="00B148EF" w:rsidRDefault="00B148EF" w:rsidP="00B148EF">
            <w:pPr>
              <w:rPr>
                <w:rFonts w:ascii="Tahoma" w:hAnsi="Tahoma" w:cs="Tahoma"/>
                <w:color w:val="000000"/>
                <w:sz w:val="18"/>
                <w:szCs w:val="19"/>
              </w:rPr>
            </w:pPr>
            <w:r w:rsidRPr="00B148EF">
              <w:rPr>
                <w:rFonts w:ascii="Tahoma" w:hAnsi="Tahoma" w:cs="Tahoma"/>
                <w:color w:val="000000"/>
                <w:sz w:val="18"/>
                <w:szCs w:val="19"/>
              </w:rPr>
              <w:t>Total recursos captados</w:t>
            </w:r>
          </w:p>
        </w:tc>
      </w:tr>
      <w:tr w:rsidR="00B148EF" w14:paraId="45DCAD3C" w14:textId="77777777" w:rsidTr="00D95330">
        <w:trPr>
          <w:trHeight w:val="300"/>
        </w:trPr>
        <w:tc>
          <w:tcPr>
            <w:tcW w:w="3833" w:type="dxa"/>
            <w:shd w:val="clear" w:color="auto" w:fill="auto"/>
            <w:tcMar>
              <w:top w:w="0" w:type="dxa"/>
              <w:left w:w="70" w:type="dxa"/>
              <w:bottom w:w="0" w:type="dxa"/>
              <w:right w:w="70" w:type="dxa"/>
            </w:tcMar>
            <w:vAlign w:val="center"/>
          </w:tcPr>
          <w:p w14:paraId="2730824A" w14:textId="77777777" w:rsidR="00B148EF" w:rsidRDefault="00B148EF" w:rsidP="00097EE2">
            <w:pPr>
              <w:rPr>
                <w:rFonts w:ascii="Tahoma" w:hAnsi="Tahoma" w:cs="Tahoma"/>
                <w:color w:val="000000"/>
                <w:sz w:val="18"/>
                <w:szCs w:val="19"/>
              </w:rPr>
            </w:pPr>
            <w:r>
              <w:rPr>
                <w:rFonts w:ascii="Tahoma" w:hAnsi="Tahoma" w:cs="Tahoma"/>
                <w:color w:val="000000"/>
                <w:sz w:val="18"/>
                <w:szCs w:val="19"/>
              </w:rPr>
              <w:t>FNDCT reembolsável</w:t>
            </w:r>
          </w:p>
        </w:tc>
        <w:tc>
          <w:tcPr>
            <w:tcW w:w="3260" w:type="dxa"/>
            <w:shd w:val="clear" w:color="auto" w:fill="auto"/>
            <w:tcMar>
              <w:top w:w="0" w:type="dxa"/>
              <w:left w:w="70" w:type="dxa"/>
              <w:bottom w:w="0" w:type="dxa"/>
              <w:right w:w="70" w:type="dxa"/>
            </w:tcMar>
            <w:vAlign w:val="center"/>
          </w:tcPr>
          <w:p w14:paraId="0B0309C2" w14:textId="77777777" w:rsidR="00B148EF" w:rsidRPr="00B148EF" w:rsidRDefault="00B148EF" w:rsidP="00B148EF">
            <w:pPr>
              <w:rPr>
                <w:rFonts w:ascii="Tahoma" w:hAnsi="Tahoma" w:cs="Tahoma"/>
                <w:color w:val="000000"/>
                <w:sz w:val="18"/>
                <w:szCs w:val="18"/>
              </w:rPr>
            </w:pPr>
            <w:r w:rsidRPr="00B148EF">
              <w:rPr>
                <w:rFonts w:ascii="Tahoma" w:hAnsi="Tahoma" w:cs="Tahoma"/>
                <w:color w:val="000000"/>
                <w:sz w:val="18"/>
                <w:szCs w:val="18"/>
              </w:rPr>
              <w:t>operações reembolsáveis de crédito</w:t>
            </w:r>
          </w:p>
        </w:tc>
        <w:tc>
          <w:tcPr>
            <w:tcW w:w="1417" w:type="dxa"/>
            <w:shd w:val="clear" w:color="auto" w:fill="auto"/>
            <w:tcMar>
              <w:top w:w="0" w:type="dxa"/>
              <w:left w:w="70" w:type="dxa"/>
              <w:bottom w:w="0" w:type="dxa"/>
              <w:right w:w="70" w:type="dxa"/>
            </w:tcMar>
            <w:vAlign w:val="center"/>
          </w:tcPr>
          <w:p w14:paraId="0E9A05C9" w14:textId="77777777" w:rsidR="00B148EF" w:rsidRDefault="00B148EF" w:rsidP="00097EE2">
            <w:pPr>
              <w:jc w:val="right"/>
              <w:rPr>
                <w:rFonts w:ascii="Tahoma" w:hAnsi="Tahoma" w:cs="Tahoma"/>
                <w:color w:val="000000"/>
                <w:sz w:val="18"/>
                <w:szCs w:val="19"/>
              </w:rPr>
            </w:pPr>
            <w:r w:rsidRPr="00C55C8E">
              <w:rPr>
                <w:rFonts w:ascii="Tahoma" w:hAnsi="Tahoma" w:cs="Tahoma"/>
                <w:color w:val="000000"/>
                <w:sz w:val="18"/>
                <w:szCs w:val="19"/>
              </w:rPr>
              <w:t>4.979.080.025</w:t>
            </w:r>
          </w:p>
        </w:tc>
      </w:tr>
      <w:tr w:rsidR="00B148EF" w14:paraId="644B4059" w14:textId="77777777" w:rsidTr="00D95330">
        <w:trPr>
          <w:trHeight w:val="300"/>
        </w:trPr>
        <w:tc>
          <w:tcPr>
            <w:tcW w:w="3833" w:type="dxa"/>
            <w:shd w:val="clear" w:color="auto" w:fill="auto"/>
            <w:tcMar>
              <w:top w:w="0" w:type="dxa"/>
              <w:left w:w="70" w:type="dxa"/>
              <w:bottom w:w="0" w:type="dxa"/>
              <w:right w:w="70" w:type="dxa"/>
            </w:tcMar>
            <w:vAlign w:val="center"/>
          </w:tcPr>
          <w:p w14:paraId="3DEEBFFF" w14:textId="77777777" w:rsidR="00B148EF" w:rsidRDefault="00B148EF" w:rsidP="00097EE2">
            <w:pPr>
              <w:rPr>
                <w:rFonts w:ascii="Tahoma" w:hAnsi="Tahoma" w:cs="Tahoma"/>
                <w:color w:val="000000"/>
                <w:sz w:val="18"/>
                <w:szCs w:val="19"/>
              </w:rPr>
            </w:pPr>
            <w:r>
              <w:rPr>
                <w:rFonts w:ascii="Tahoma" w:hAnsi="Tahoma" w:cs="Tahoma"/>
                <w:color w:val="000000"/>
                <w:sz w:val="18"/>
                <w:szCs w:val="19"/>
              </w:rPr>
              <w:t>FNDCT não reembolsável</w:t>
            </w:r>
          </w:p>
        </w:tc>
        <w:tc>
          <w:tcPr>
            <w:tcW w:w="3260" w:type="dxa"/>
            <w:shd w:val="clear" w:color="auto" w:fill="auto"/>
            <w:tcMar>
              <w:top w:w="0" w:type="dxa"/>
              <w:left w:w="70" w:type="dxa"/>
              <w:bottom w:w="0" w:type="dxa"/>
              <w:right w:w="70" w:type="dxa"/>
            </w:tcMar>
            <w:vAlign w:val="center"/>
          </w:tcPr>
          <w:p w14:paraId="0B487461" w14:textId="77777777" w:rsidR="00B148EF" w:rsidRPr="00B148EF" w:rsidRDefault="00B148EF" w:rsidP="00B148EF">
            <w:pPr>
              <w:rPr>
                <w:rFonts w:ascii="Tahoma" w:hAnsi="Tahoma" w:cs="Tahoma"/>
                <w:color w:val="000000"/>
                <w:sz w:val="18"/>
                <w:szCs w:val="18"/>
              </w:rPr>
            </w:pPr>
            <w:r w:rsidRPr="00B148EF">
              <w:rPr>
                <w:rFonts w:ascii="Tahoma" w:hAnsi="Tahoma" w:cs="Tahoma"/>
                <w:color w:val="000000"/>
                <w:sz w:val="18"/>
                <w:szCs w:val="18"/>
              </w:rPr>
              <w:t>operações não reembolsáveis</w:t>
            </w:r>
          </w:p>
        </w:tc>
        <w:tc>
          <w:tcPr>
            <w:tcW w:w="1417" w:type="dxa"/>
            <w:shd w:val="clear" w:color="auto" w:fill="auto"/>
            <w:tcMar>
              <w:top w:w="0" w:type="dxa"/>
              <w:left w:w="70" w:type="dxa"/>
              <w:bottom w:w="0" w:type="dxa"/>
              <w:right w:w="70" w:type="dxa"/>
            </w:tcMar>
            <w:vAlign w:val="center"/>
          </w:tcPr>
          <w:p w14:paraId="75A55F70" w14:textId="77777777" w:rsidR="00B148EF" w:rsidRDefault="00B148EF" w:rsidP="00097EE2">
            <w:pPr>
              <w:jc w:val="right"/>
              <w:rPr>
                <w:rFonts w:ascii="Tahoma" w:hAnsi="Tahoma" w:cs="Tahoma"/>
                <w:color w:val="000000"/>
                <w:sz w:val="18"/>
                <w:szCs w:val="19"/>
              </w:rPr>
            </w:pPr>
            <w:r w:rsidRPr="000F166E">
              <w:rPr>
                <w:rFonts w:ascii="Tahoma" w:hAnsi="Tahoma" w:cs="Tahoma"/>
                <w:color w:val="000000"/>
                <w:sz w:val="18"/>
                <w:szCs w:val="19"/>
              </w:rPr>
              <w:t>4.979.080.0</w:t>
            </w:r>
            <w:r>
              <w:rPr>
                <w:rFonts w:ascii="Tahoma" w:hAnsi="Tahoma" w:cs="Tahoma"/>
                <w:color w:val="000000"/>
                <w:sz w:val="18"/>
                <w:szCs w:val="19"/>
              </w:rPr>
              <w:t>17</w:t>
            </w:r>
          </w:p>
        </w:tc>
      </w:tr>
      <w:tr w:rsidR="00B148EF" w14:paraId="2260C138" w14:textId="77777777" w:rsidTr="00D95330">
        <w:trPr>
          <w:trHeight w:val="300"/>
        </w:trPr>
        <w:tc>
          <w:tcPr>
            <w:tcW w:w="3833" w:type="dxa"/>
            <w:shd w:val="clear" w:color="auto" w:fill="auto"/>
            <w:tcMar>
              <w:top w:w="0" w:type="dxa"/>
              <w:left w:w="70" w:type="dxa"/>
              <w:bottom w:w="0" w:type="dxa"/>
              <w:right w:w="70" w:type="dxa"/>
            </w:tcMar>
            <w:vAlign w:val="center"/>
          </w:tcPr>
          <w:p w14:paraId="35F08F7E" w14:textId="70786E9F" w:rsidR="00B148EF" w:rsidRDefault="00B148EF" w:rsidP="00097EE2">
            <w:pPr>
              <w:rPr>
                <w:rFonts w:ascii="Tahoma" w:hAnsi="Tahoma" w:cs="Tahoma"/>
                <w:color w:val="000000"/>
                <w:sz w:val="18"/>
                <w:szCs w:val="19"/>
              </w:rPr>
            </w:pPr>
            <w:r>
              <w:rPr>
                <w:rFonts w:ascii="Tahoma" w:hAnsi="Tahoma" w:cs="Tahoma"/>
                <w:color w:val="000000"/>
                <w:sz w:val="18"/>
                <w:szCs w:val="19"/>
              </w:rPr>
              <w:t>Funttel</w:t>
            </w:r>
          </w:p>
        </w:tc>
        <w:tc>
          <w:tcPr>
            <w:tcW w:w="3260" w:type="dxa"/>
            <w:shd w:val="clear" w:color="auto" w:fill="auto"/>
            <w:tcMar>
              <w:top w:w="0" w:type="dxa"/>
              <w:left w:w="70" w:type="dxa"/>
              <w:bottom w:w="0" w:type="dxa"/>
              <w:right w:w="70" w:type="dxa"/>
            </w:tcMar>
            <w:vAlign w:val="center"/>
          </w:tcPr>
          <w:p w14:paraId="68BDA399" w14:textId="77777777" w:rsidR="00B148EF" w:rsidRPr="00B148EF" w:rsidRDefault="00B148EF" w:rsidP="00B148EF">
            <w:pPr>
              <w:rPr>
                <w:rFonts w:ascii="Tahoma" w:hAnsi="Tahoma" w:cs="Tahoma"/>
                <w:color w:val="000000"/>
                <w:sz w:val="18"/>
                <w:szCs w:val="18"/>
              </w:rPr>
            </w:pPr>
            <w:r w:rsidRPr="00B148EF">
              <w:rPr>
                <w:rFonts w:ascii="Tahoma" w:hAnsi="Tahoma" w:cs="Tahoma"/>
                <w:color w:val="000000"/>
                <w:sz w:val="18"/>
                <w:szCs w:val="18"/>
              </w:rPr>
              <w:t>operações reembolsáveis de crédito</w:t>
            </w:r>
          </w:p>
        </w:tc>
        <w:tc>
          <w:tcPr>
            <w:tcW w:w="1417" w:type="dxa"/>
            <w:shd w:val="clear" w:color="auto" w:fill="auto"/>
            <w:tcMar>
              <w:top w:w="0" w:type="dxa"/>
              <w:left w:w="70" w:type="dxa"/>
              <w:bottom w:w="0" w:type="dxa"/>
              <w:right w:w="70" w:type="dxa"/>
            </w:tcMar>
            <w:vAlign w:val="center"/>
          </w:tcPr>
          <w:p w14:paraId="4E3A01B8" w14:textId="77777777" w:rsidR="00B148EF" w:rsidRDefault="00B148EF" w:rsidP="00097EE2">
            <w:pPr>
              <w:jc w:val="right"/>
              <w:rPr>
                <w:rFonts w:ascii="Tahoma" w:hAnsi="Tahoma" w:cs="Tahoma"/>
                <w:color w:val="000000"/>
                <w:sz w:val="18"/>
                <w:szCs w:val="19"/>
              </w:rPr>
            </w:pPr>
            <w:r w:rsidRPr="00D3589B">
              <w:rPr>
                <w:rFonts w:ascii="Tahoma" w:hAnsi="Tahoma" w:cs="Tahoma"/>
                <w:color w:val="000000"/>
                <w:sz w:val="18"/>
                <w:szCs w:val="19"/>
              </w:rPr>
              <w:t>111.788.529</w:t>
            </w:r>
          </w:p>
        </w:tc>
      </w:tr>
      <w:tr w:rsidR="00B148EF" w14:paraId="2ADF4EE0" w14:textId="77777777" w:rsidTr="00D95330">
        <w:trPr>
          <w:trHeight w:val="300"/>
        </w:trPr>
        <w:tc>
          <w:tcPr>
            <w:tcW w:w="3833" w:type="dxa"/>
            <w:shd w:val="clear" w:color="auto" w:fill="auto"/>
            <w:tcMar>
              <w:top w:w="0" w:type="dxa"/>
              <w:left w:w="70" w:type="dxa"/>
              <w:bottom w:w="0" w:type="dxa"/>
              <w:right w:w="70" w:type="dxa"/>
            </w:tcMar>
            <w:vAlign w:val="center"/>
          </w:tcPr>
          <w:p w14:paraId="74E13EDB" w14:textId="2BF9F62A" w:rsidR="00B148EF" w:rsidRPr="00D3589B" w:rsidRDefault="00B148EF" w:rsidP="00097EE2">
            <w:pPr>
              <w:rPr>
                <w:rFonts w:ascii="Tahoma" w:hAnsi="Tahoma" w:cs="Tahoma"/>
                <w:color w:val="000000"/>
                <w:sz w:val="18"/>
                <w:szCs w:val="19"/>
              </w:rPr>
            </w:pPr>
            <w:r w:rsidRPr="00D3589B">
              <w:rPr>
                <w:rFonts w:ascii="Tahoma" w:hAnsi="Tahoma" w:cs="Tahoma"/>
                <w:color w:val="000000"/>
                <w:sz w:val="18"/>
                <w:szCs w:val="19"/>
              </w:rPr>
              <w:t>F</w:t>
            </w:r>
            <w:r>
              <w:rPr>
                <w:rFonts w:ascii="Tahoma" w:hAnsi="Tahoma" w:cs="Tahoma"/>
                <w:color w:val="000000"/>
                <w:sz w:val="18"/>
                <w:szCs w:val="19"/>
              </w:rPr>
              <w:t xml:space="preserve">unttel </w:t>
            </w:r>
            <w:r w:rsidRPr="00D3589B">
              <w:rPr>
                <w:rFonts w:ascii="Tahoma" w:hAnsi="Tahoma" w:cs="Tahoma"/>
                <w:color w:val="000000"/>
                <w:sz w:val="18"/>
                <w:szCs w:val="19"/>
              </w:rPr>
              <w:t>não reembolsável</w:t>
            </w:r>
          </w:p>
        </w:tc>
        <w:tc>
          <w:tcPr>
            <w:tcW w:w="3260" w:type="dxa"/>
            <w:shd w:val="clear" w:color="auto" w:fill="auto"/>
            <w:tcMar>
              <w:top w:w="0" w:type="dxa"/>
              <w:left w:w="70" w:type="dxa"/>
              <w:bottom w:w="0" w:type="dxa"/>
              <w:right w:w="70" w:type="dxa"/>
            </w:tcMar>
            <w:vAlign w:val="center"/>
          </w:tcPr>
          <w:p w14:paraId="00355CA3" w14:textId="77777777" w:rsidR="00B148EF" w:rsidRPr="00B148EF" w:rsidRDefault="00B148EF" w:rsidP="00B148EF">
            <w:pPr>
              <w:rPr>
                <w:rFonts w:ascii="Tahoma" w:hAnsi="Tahoma" w:cs="Tahoma"/>
                <w:color w:val="000000"/>
                <w:sz w:val="18"/>
                <w:szCs w:val="18"/>
              </w:rPr>
            </w:pPr>
            <w:r w:rsidRPr="00B148EF">
              <w:rPr>
                <w:rFonts w:ascii="Tahoma" w:hAnsi="Tahoma" w:cs="Tahoma"/>
                <w:color w:val="000000"/>
                <w:sz w:val="18"/>
                <w:szCs w:val="18"/>
              </w:rPr>
              <w:t>operações não reembolsáveis</w:t>
            </w:r>
          </w:p>
        </w:tc>
        <w:tc>
          <w:tcPr>
            <w:tcW w:w="1417" w:type="dxa"/>
            <w:shd w:val="clear" w:color="auto" w:fill="auto"/>
            <w:tcMar>
              <w:top w:w="0" w:type="dxa"/>
              <w:left w:w="70" w:type="dxa"/>
              <w:bottom w:w="0" w:type="dxa"/>
              <w:right w:w="70" w:type="dxa"/>
            </w:tcMar>
            <w:vAlign w:val="center"/>
          </w:tcPr>
          <w:p w14:paraId="1A2F7D1C" w14:textId="26D6B5D0" w:rsidR="00B148EF" w:rsidRDefault="00B148EF" w:rsidP="00097EE2">
            <w:pPr>
              <w:jc w:val="right"/>
              <w:rPr>
                <w:rFonts w:ascii="Tahoma" w:hAnsi="Tahoma" w:cs="Tahoma"/>
                <w:color w:val="000000"/>
                <w:sz w:val="18"/>
                <w:szCs w:val="19"/>
              </w:rPr>
            </w:pPr>
            <w:r w:rsidRPr="003A2C60">
              <w:rPr>
                <w:rFonts w:ascii="Tahoma" w:hAnsi="Tahoma" w:cs="Tahoma"/>
                <w:color w:val="000000"/>
                <w:sz w:val="18"/>
                <w:szCs w:val="19"/>
              </w:rPr>
              <w:t>18.221.541</w:t>
            </w:r>
          </w:p>
        </w:tc>
      </w:tr>
      <w:tr w:rsidR="00B148EF" w14:paraId="38E581AF" w14:textId="77777777" w:rsidTr="00D95330">
        <w:trPr>
          <w:trHeight w:val="300"/>
        </w:trPr>
        <w:tc>
          <w:tcPr>
            <w:tcW w:w="3833" w:type="dxa"/>
            <w:shd w:val="clear" w:color="auto" w:fill="auto"/>
            <w:tcMar>
              <w:top w:w="0" w:type="dxa"/>
              <w:left w:w="70" w:type="dxa"/>
              <w:bottom w:w="0" w:type="dxa"/>
              <w:right w:w="70" w:type="dxa"/>
            </w:tcMar>
            <w:vAlign w:val="center"/>
          </w:tcPr>
          <w:p w14:paraId="53E1B5F5" w14:textId="77777777" w:rsidR="00B148EF" w:rsidRPr="00D3589B" w:rsidRDefault="00B148EF" w:rsidP="00097EE2">
            <w:pPr>
              <w:rPr>
                <w:rFonts w:ascii="Tahoma" w:hAnsi="Tahoma" w:cs="Tahoma"/>
                <w:color w:val="000000"/>
                <w:sz w:val="18"/>
                <w:szCs w:val="19"/>
              </w:rPr>
            </w:pPr>
            <w:r w:rsidRPr="00D3589B">
              <w:rPr>
                <w:rFonts w:ascii="Tahoma" w:hAnsi="Tahoma" w:cs="Tahoma"/>
                <w:color w:val="000000"/>
                <w:sz w:val="18"/>
                <w:szCs w:val="19"/>
              </w:rPr>
              <w:t>Finep 2030</w:t>
            </w:r>
          </w:p>
        </w:tc>
        <w:tc>
          <w:tcPr>
            <w:tcW w:w="3260" w:type="dxa"/>
            <w:shd w:val="clear" w:color="auto" w:fill="auto"/>
            <w:tcMar>
              <w:top w:w="0" w:type="dxa"/>
              <w:left w:w="70" w:type="dxa"/>
              <w:bottom w:w="0" w:type="dxa"/>
              <w:right w:w="70" w:type="dxa"/>
            </w:tcMar>
            <w:vAlign w:val="center"/>
          </w:tcPr>
          <w:p w14:paraId="150E481B" w14:textId="79DAE79B" w:rsidR="00B148EF" w:rsidRPr="00B148EF" w:rsidRDefault="00B148EF" w:rsidP="00B148EF">
            <w:pPr>
              <w:rPr>
                <w:rFonts w:ascii="Tahoma" w:hAnsi="Tahoma" w:cs="Tahoma"/>
                <w:color w:val="000000"/>
                <w:sz w:val="18"/>
                <w:szCs w:val="18"/>
              </w:rPr>
            </w:pPr>
            <w:r w:rsidRPr="00B148EF">
              <w:rPr>
                <w:rFonts w:ascii="Tahoma" w:hAnsi="Tahoma" w:cs="Tahoma"/>
                <w:color w:val="000000"/>
                <w:sz w:val="18"/>
                <w:szCs w:val="18"/>
              </w:rPr>
              <w:t xml:space="preserve">operações </w:t>
            </w:r>
            <w:r w:rsidR="006053D8" w:rsidRPr="00B148EF">
              <w:rPr>
                <w:rFonts w:ascii="Tahoma" w:hAnsi="Tahoma" w:cs="Tahoma"/>
                <w:color w:val="000000"/>
                <w:sz w:val="18"/>
                <w:szCs w:val="18"/>
              </w:rPr>
              <w:t>não reembolsáveis</w:t>
            </w:r>
          </w:p>
        </w:tc>
        <w:tc>
          <w:tcPr>
            <w:tcW w:w="1417" w:type="dxa"/>
            <w:shd w:val="clear" w:color="auto" w:fill="auto"/>
            <w:tcMar>
              <w:top w:w="0" w:type="dxa"/>
              <w:left w:w="70" w:type="dxa"/>
              <w:bottom w:w="0" w:type="dxa"/>
              <w:right w:w="70" w:type="dxa"/>
            </w:tcMar>
            <w:vAlign w:val="center"/>
          </w:tcPr>
          <w:p w14:paraId="5FF0EDF4" w14:textId="77777777" w:rsidR="00B148EF" w:rsidRDefault="00B148EF" w:rsidP="00097EE2">
            <w:pPr>
              <w:jc w:val="right"/>
              <w:rPr>
                <w:rFonts w:ascii="Tahoma" w:hAnsi="Tahoma" w:cs="Tahoma"/>
                <w:color w:val="000000"/>
                <w:sz w:val="18"/>
                <w:szCs w:val="19"/>
              </w:rPr>
            </w:pPr>
            <w:r w:rsidRPr="00B04637">
              <w:rPr>
                <w:rFonts w:ascii="Tahoma" w:hAnsi="Tahoma" w:cs="Tahoma"/>
                <w:color w:val="000000"/>
                <w:sz w:val="18"/>
                <w:szCs w:val="19"/>
              </w:rPr>
              <w:t>58.454.896</w:t>
            </w:r>
          </w:p>
        </w:tc>
      </w:tr>
      <w:tr w:rsidR="00B148EF" w14:paraId="0166F244" w14:textId="77777777" w:rsidTr="00D95330">
        <w:trPr>
          <w:trHeight w:val="300"/>
        </w:trPr>
        <w:tc>
          <w:tcPr>
            <w:tcW w:w="3833" w:type="dxa"/>
            <w:shd w:val="clear" w:color="auto" w:fill="auto"/>
            <w:tcMar>
              <w:top w:w="0" w:type="dxa"/>
              <w:left w:w="70" w:type="dxa"/>
              <w:bottom w:w="0" w:type="dxa"/>
              <w:right w:w="70" w:type="dxa"/>
            </w:tcMar>
            <w:vAlign w:val="center"/>
          </w:tcPr>
          <w:p w14:paraId="57ACDA75" w14:textId="77777777" w:rsidR="00B148EF" w:rsidRPr="00D3589B" w:rsidRDefault="00B148EF" w:rsidP="00097EE2">
            <w:pPr>
              <w:rPr>
                <w:rFonts w:ascii="Tahoma" w:hAnsi="Tahoma" w:cs="Tahoma"/>
                <w:color w:val="000000"/>
                <w:sz w:val="18"/>
                <w:szCs w:val="19"/>
              </w:rPr>
            </w:pPr>
            <w:r w:rsidRPr="00D3589B">
              <w:rPr>
                <w:rFonts w:ascii="Tahoma" w:hAnsi="Tahoma" w:cs="Tahoma"/>
                <w:color w:val="000000"/>
                <w:sz w:val="18"/>
                <w:szCs w:val="19"/>
              </w:rPr>
              <w:t>ANP-PRH</w:t>
            </w:r>
          </w:p>
        </w:tc>
        <w:tc>
          <w:tcPr>
            <w:tcW w:w="3260" w:type="dxa"/>
            <w:shd w:val="clear" w:color="auto" w:fill="auto"/>
            <w:tcMar>
              <w:top w:w="0" w:type="dxa"/>
              <w:left w:w="70" w:type="dxa"/>
              <w:bottom w:w="0" w:type="dxa"/>
              <w:right w:w="70" w:type="dxa"/>
            </w:tcMar>
            <w:vAlign w:val="center"/>
          </w:tcPr>
          <w:p w14:paraId="1D45AA13" w14:textId="7AD6FE54" w:rsidR="00B148EF" w:rsidRPr="00B148EF" w:rsidRDefault="00B148EF" w:rsidP="00B148EF">
            <w:pPr>
              <w:rPr>
                <w:rFonts w:ascii="Tahoma" w:hAnsi="Tahoma" w:cs="Tahoma"/>
                <w:sz w:val="18"/>
                <w:szCs w:val="18"/>
              </w:rPr>
            </w:pPr>
            <w:r w:rsidRPr="00B148EF">
              <w:rPr>
                <w:rFonts w:ascii="Tahoma" w:hAnsi="Tahoma" w:cs="Tahoma"/>
                <w:color w:val="000000"/>
                <w:sz w:val="18"/>
                <w:szCs w:val="18"/>
              </w:rPr>
              <w:t xml:space="preserve">operações </w:t>
            </w:r>
            <w:r w:rsidR="006053D8" w:rsidRPr="00B148EF">
              <w:rPr>
                <w:rFonts w:ascii="Tahoma" w:hAnsi="Tahoma" w:cs="Tahoma"/>
                <w:color w:val="000000"/>
                <w:sz w:val="18"/>
                <w:szCs w:val="18"/>
              </w:rPr>
              <w:t>não reembolsáveis</w:t>
            </w:r>
          </w:p>
        </w:tc>
        <w:tc>
          <w:tcPr>
            <w:tcW w:w="1417" w:type="dxa"/>
            <w:shd w:val="clear" w:color="auto" w:fill="auto"/>
            <w:tcMar>
              <w:top w:w="0" w:type="dxa"/>
              <w:left w:w="70" w:type="dxa"/>
              <w:bottom w:w="0" w:type="dxa"/>
              <w:right w:w="70" w:type="dxa"/>
            </w:tcMar>
            <w:vAlign w:val="center"/>
          </w:tcPr>
          <w:p w14:paraId="149A6024" w14:textId="77777777" w:rsidR="00B148EF" w:rsidRDefault="00B148EF" w:rsidP="00097EE2">
            <w:pPr>
              <w:jc w:val="right"/>
              <w:rPr>
                <w:rFonts w:ascii="Tahoma" w:hAnsi="Tahoma" w:cs="Tahoma"/>
                <w:color w:val="000000"/>
                <w:sz w:val="18"/>
                <w:szCs w:val="19"/>
              </w:rPr>
            </w:pPr>
            <w:r w:rsidRPr="00164E94">
              <w:rPr>
                <w:rFonts w:ascii="Tahoma" w:hAnsi="Tahoma" w:cs="Tahoma"/>
                <w:color w:val="000000"/>
                <w:sz w:val="18"/>
                <w:szCs w:val="19"/>
              </w:rPr>
              <w:t>157.997.156</w:t>
            </w:r>
          </w:p>
        </w:tc>
      </w:tr>
      <w:tr w:rsidR="00B148EF" w14:paraId="31177DEC" w14:textId="77777777" w:rsidTr="00D95330">
        <w:trPr>
          <w:trHeight w:val="300"/>
        </w:trPr>
        <w:tc>
          <w:tcPr>
            <w:tcW w:w="3833" w:type="dxa"/>
            <w:shd w:val="clear" w:color="auto" w:fill="auto"/>
            <w:tcMar>
              <w:top w:w="0" w:type="dxa"/>
              <w:left w:w="70" w:type="dxa"/>
              <w:bottom w:w="0" w:type="dxa"/>
              <w:right w:w="70" w:type="dxa"/>
            </w:tcMar>
            <w:vAlign w:val="center"/>
          </w:tcPr>
          <w:p w14:paraId="6568BC1F" w14:textId="77777777" w:rsidR="00B148EF" w:rsidRPr="00D3589B" w:rsidRDefault="00B148EF" w:rsidP="00B148EF">
            <w:pPr>
              <w:rPr>
                <w:rFonts w:ascii="Tahoma" w:hAnsi="Tahoma" w:cs="Tahoma"/>
                <w:color w:val="000000"/>
                <w:sz w:val="18"/>
                <w:szCs w:val="19"/>
              </w:rPr>
            </w:pPr>
            <w:r w:rsidRPr="00D3589B">
              <w:rPr>
                <w:rFonts w:ascii="Tahoma" w:hAnsi="Tahoma" w:cs="Tahoma"/>
                <w:color w:val="000000"/>
                <w:sz w:val="18"/>
                <w:szCs w:val="19"/>
              </w:rPr>
              <w:t>Ministério da Saúde / FNS</w:t>
            </w:r>
          </w:p>
        </w:tc>
        <w:tc>
          <w:tcPr>
            <w:tcW w:w="3260" w:type="dxa"/>
            <w:shd w:val="clear" w:color="auto" w:fill="auto"/>
            <w:tcMar>
              <w:top w:w="0" w:type="dxa"/>
              <w:left w:w="70" w:type="dxa"/>
              <w:bottom w:w="0" w:type="dxa"/>
              <w:right w:w="70" w:type="dxa"/>
            </w:tcMar>
            <w:vAlign w:val="center"/>
          </w:tcPr>
          <w:p w14:paraId="7E05CB8C" w14:textId="24E7E855" w:rsidR="00B148EF" w:rsidRPr="00B148EF" w:rsidRDefault="00B148EF" w:rsidP="00B148EF">
            <w:pPr>
              <w:rPr>
                <w:rFonts w:ascii="Tahoma" w:hAnsi="Tahoma" w:cs="Tahoma"/>
                <w:sz w:val="18"/>
                <w:szCs w:val="18"/>
              </w:rPr>
            </w:pPr>
            <w:r w:rsidRPr="00B148EF">
              <w:rPr>
                <w:rFonts w:ascii="Tahoma" w:hAnsi="Tahoma" w:cs="Tahoma"/>
                <w:color w:val="000000"/>
                <w:sz w:val="18"/>
                <w:szCs w:val="18"/>
              </w:rPr>
              <w:t xml:space="preserve">operações </w:t>
            </w:r>
            <w:r w:rsidR="006053D8" w:rsidRPr="00B148EF">
              <w:rPr>
                <w:rFonts w:ascii="Tahoma" w:hAnsi="Tahoma" w:cs="Tahoma"/>
                <w:color w:val="000000"/>
                <w:sz w:val="18"/>
                <w:szCs w:val="18"/>
              </w:rPr>
              <w:t>não reembolsáveis</w:t>
            </w:r>
          </w:p>
        </w:tc>
        <w:tc>
          <w:tcPr>
            <w:tcW w:w="1417" w:type="dxa"/>
            <w:shd w:val="clear" w:color="auto" w:fill="auto"/>
            <w:tcMar>
              <w:top w:w="0" w:type="dxa"/>
              <w:left w:w="70" w:type="dxa"/>
              <w:bottom w:w="0" w:type="dxa"/>
              <w:right w:w="70" w:type="dxa"/>
            </w:tcMar>
            <w:vAlign w:val="center"/>
          </w:tcPr>
          <w:p w14:paraId="3F5EC0CE" w14:textId="74E54B00" w:rsidR="00B148EF" w:rsidRDefault="00B148EF" w:rsidP="00B148EF">
            <w:pPr>
              <w:jc w:val="right"/>
              <w:rPr>
                <w:rFonts w:ascii="Tahoma" w:hAnsi="Tahoma" w:cs="Tahoma"/>
                <w:color w:val="000000"/>
                <w:sz w:val="18"/>
                <w:szCs w:val="19"/>
              </w:rPr>
            </w:pPr>
            <w:r w:rsidRPr="00164E94">
              <w:rPr>
                <w:rFonts w:ascii="Tahoma" w:hAnsi="Tahoma" w:cs="Tahoma"/>
                <w:color w:val="000000"/>
                <w:sz w:val="18"/>
                <w:szCs w:val="19"/>
              </w:rPr>
              <w:t>29.044.671</w:t>
            </w:r>
          </w:p>
        </w:tc>
      </w:tr>
      <w:tr w:rsidR="00B148EF" w14:paraId="39886E82" w14:textId="77777777" w:rsidTr="00D95330">
        <w:trPr>
          <w:trHeight w:val="300"/>
        </w:trPr>
        <w:tc>
          <w:tcPr>
            <w:tcW w:w="3833" w:type="dxa"/>
            <w:shd w:val="clear" w:color="auto" w:fill="auto"/>
            <w:tcMar>
              <w:top w:w="0" w:type="dxa"/>
              <w:left w:w="70" w:type="dxa"/>
              <w:bottom w:w="0" w:type="dxa"/>
              <w:right w:w="70" w:type="dxa"/>
            </w:tcMar>
            <w:vAlign w:val="center"/>
          </w:tcPr>
          <w:p w14:paraId="6D468D77" w14:textId="1B7B41C1" w:rsidR="00B148EF" w:rsidRPr="00D3589B" w:rsidRDefault="00B148EF" w:rsidP="00B148EF">
            <w:pPr>
              <w:rPr>
                <w:rFonts w:ascii="Tahoma" w:hAnsi="Tahoma" w:cs="Tahoma"/>
                <w:color w:val="000000"/>
                <w:sz w:val="18"/>
                <w:szCs w:val="19"/>
              </w:rPr>
            </w:pPr>
            <w:r w:rsidRPr="00D3589B">
              <w:rPr>
                <w:rFonts w:ascii="Tahoma" w:hAnsi="Tahoma" w:cs="Tahoma"/>
                <w:color w:val="000000"/>
                <w:sz w:val="18"/>
                <w:szCs w:val="19"/>
              </w:rPr>
              <w:t>Ministério da Agricultura e Pecuária (MAPA)</w:t>
            </w:r>
          </w:p>
        </w:tc>
        <w:tc>
          <w:tcPr>
            <w:tcW w:w="3260" w:type="dxa"/>
            <w:shd w:val="clear" w:color="auto" w:fill="auto"/>
            <w:tcMar>
              <w:top w:w="0" w:type="dxa"/>
              <w:left w:w="70" w:type="dxa"/>
              <w:bottom w:w="0" w:type="dxa"/>
              <w:right w:w="70" w:type="dxa"/>
            </w:tcMar>
            <w:vAlign w:val="center"/>
          </w:tcPr>
          <w:p w14:paraId="46ADFA0D" w14:textId="6FC8DC9E" w:rsidR="00B148EF" w:rsidRPr="00B148EF" w:rsidRDefault="00B148EF" w:rsidP="00B148EF">
            <w:pPr>
              <w:rPr>
                <w:rFonts w:ascii="Tahoma" w:hAnsi="Tahoma" w:cs="Tahoma"/>
                <w:color w:val="000000"/>
                <w:sz w:val="18"/>
                <w:szCs w:val="18"/>
              </w:rPr>
            </w:pPr>
            <w:r w:rsidRPr="00B148EF">
              <w:rPr>
                <w:rFonts w:ascii="Tahoma" w:hAnsi="Tahoma" w:cs="Tahoma"/>
                <w:color w:val="000000"/>
                <w:sz w:val="18"/>
                <w:szCs w:val="18"/>
              </w:rPr>
              <w:t xml:space="preserve">operações </w:t>
            </w:r>
            <w:r w:rsidR="006053D8" w:rsidRPr="00B148EF">
              <w:rPr>
                <w:rFonts w:ascii="Tahoma" w:hAnsi="Tahoma" w:cs="Tahoma"/>
                <w:color w:val="000000"/>
                <w:sz w:val="18"/>
                <w:szCs w:val="18"/>
              </w:rPr>
              <w:t>não reembolsáveis</w:t>
            </w:r>
          </w:p>
        </w:tc>
        <w:tc>
          <w:tcPr>
            <w:tcW w:w="1417" w:type="dxa"/>
            <w:shd w:val="clear" w:color="auto" w:fill="auto"/>
            <w:tcMar>
              <w:top w:w="0" w:type="dxa"/>
              <w:left w:w="70" w:type="dxa"/>
              <w:bottom w:w="0" w:type="dxa"/>
              <w:right w:w="70" w:type="dxa"/>
            </w:tcMar>
            <w:vAlign w:val="center"/>
          </w:tcPr>
          <w:p w14:paraId="1A2932A4" w14:textId="0E2D24B1" w:rsidR="00B148EF" w:rsidRPr="00164E94" w:rsidRDefault="00B148EF" w:rsidP="00B148EF">
            <w:pPr>
              <w:jc w:val="right"/>
              <w:rPr>
                <w:rFonts w:ascii="Tahoma" w:hAnsi="Tahoma" w:cs="Tahoma"/>
                <w:color w:val="000000"/>
                <w:sz w:val="18"/>
                <w:szCs w:val="19"/>
              </w:rPr>
            </w:pPr>
            <w:r w:rsidRPr="00164E94">
              <w:rPr>
                <w:rFonts w:ascii="Tahoma" w:hAnsi="Tahoma" w:cs="Tahoma"/>
                <w:color w:val="000000"/>
                <w:sz w:val="18"/>
                <w:szCs w:val="19"/>
              </w:rPr>
              <w:t>1.395.910</w:t>
            </w:r>
          </w:p>
        </w:tc>
      </w:tr>
    </w:tbl>
    <w:p w14:paraId="42043C28" w14:textId="77777777" w:rsidR="00B148EF" w:rsidRDefault="00B148EF" w:rsidP="00B148EF">
      <w:pPr>
        <w:spacing w:before="60" w:after="120"/>
        <w:rPr>
          <w:rFonts w:ascii="Tahoma" w:hAnsi="Tahoma" w:cs="Tahoma"/>
          <w:sz w:val="19"/>
          <w:szCs w:val="19"/>
        </w:rPr>
      </w:pPr>
      <w:r>
        <w:rPr>
          <w:rFonts w:ascii="Tahoma" w:hAnsi="Tahoma" w:cs="Tahoma"/>
          <w:b/>
          <w:sz w:val="19"/>
          <w:szCs w:val="19"/>
        </w:rPr>
        <w:t>Nota:</w:t>
      </w:r>
      <w:r>
        <w:rPr>
          <w:rFonts w:ascii="Tahoma" w:hAnsi="Tahoma" w:cs="Tahoma"/>
          <w:sz w:val="19"/>
          <w:szCs w:val="19"/>
        </w:rPr>
        <w:t xml:space="preserve"> Esta tabela apresenta os valores captados pela Finep em 2023, não representando o saldo final do ano de cada fonte ou programa.</w:t>
      </w:r>
    </w:p>
    <w:p w14:paraId="37849696" w14:textId="77777777" w:rsidR="00B148EF" w:rsidRDefault="00B148EF" w:rsidP="00B148EF">
      <w:pPr>
        <w:spacing w:before="60" w:after="120"/>
      </w:pPr>
    </w:p>
    <w:p w14:paraId="7491B9FA" w14:textId="77777777" w:rsidR="00B148EF" w:rsidRDefault="00B148EF" w:rsidP="00B148EF">
      <w:pPr>
        <w:spacing w:before="120" w:after="120" w:line="360" w:lineRule="auto"/>
        <w:rPr>
          <w:rFonts w:ascii="Tahoma" w:hAnsi="Tahoma" w:cs="Tahoma"/>
          <w:sz w:val="19"/>
          <w:szCs w:val="19"/>
        </w:rPr>
      </w:pPr>
      <w:r>
        <w:rPr>
          <w:rFonts w:ascii="Tahoma" w:hAnsi="Tahoma" w:cs="Tahoma"/>
          <w:sz w:val="19"/>
          <w:szCs w:val="19"/>
        </w:rPr>
        <w:t xml:space="preserve">Os valores captados junto ao FNDCT e ao Funttel para as operações de crédito são obtidos na forma de empréstimo, que devem retornar às fontes de recursos acrescidos de juros definidos em contrato. Os recursos referentes ao FNDCT não reembolsável e ao Funttel não reembolsável são os valores captados pela Finep para apoio a projetos de CT&amp;I ao longo do ano. </w:t>
      </w:r>
    </w:p>
    <w:p w14:paraId="1598A296" w14:textId="77777777" w:rsidR="00B148EF" w:rsidRDefault="00B148EF" w:rsidP="00B148EF">
      <w:pPr>
        <w:spacing w:before="120" w:after="120" w:line="360" w:lineRule="auto"/>
      </w:pPr>
      <w:r>
        <w:rPr>
          <w:rFonts w:ascii="Tahoma" w:hAnsi="Tahoma" w:cs="Tahoma"/>
          <w:sz w:val="19"/>
          <w:szCs w:val="19"/>
        </w:rPr>
        <w:t xml:space="preserve">Cabe ressaltar que, no caso das operações não reembolsáveis do FNDCT, esses recursos são operados pela Finep, tendo em vista o seu papel de Secretaria-Executiva do Fundo, e têm origem nas diversas ações orçamentárias definidas na Lei Orçamentária Anual (LOA 2023), na Unidade Orçamentária 24901 – Fundo Nacional de Desenvolvimento Científico e Tecnológico (ver Anexo IV, da LOA em </w:t>
      </w:r>
      <w:hyperlink r:id="rId246" w:history="1">
        <w:r w:rsidRPr="00252416">
          <w:rPr>
            <w:rStyle w:val="Hyperlink"/>
            <w:rFonts w:ascii="Tahoma" w:hAnsi="Tahoma" w:cs="Tahoma"/>
            <w:sz w:val="19"/>
            <w:szCs w:val="19"/>
          </w:rPr>
          <w:t>https://www.gov.br/economia/pt-br/assuntos/planejamento-e-orcamento/orcamento/orcamentos-anuais/2023/loa</w:t>
        </w:r>
      </w:hyperlink>
      <w:r>
        <w:rPr>
          <w:rFonts w:ascii="Tahoma" w:hAnsi="Tahoma" w:cs="Tahoma"/>
          <w:sz w:val="19"/>
          <w:szCs w:val="19"/>
        </w:rPr>
        <w:t>).</w:t>
      </w:r>
    </w:p>
    <w:p w14:paraId="1BA20439" w14:textId="77777777" w:rsidR="00B148EF" w:rsidRDefault="00B148EF" w:rsidP="00B148EF">
      <w:pPr>
        <w:spacing w:before="120" w:after="120" w:line="360" w:lineRule="auto"/>
        <w:rPr>
          <w:rFonts w:ascii="Tahoma" w:hAnsi="Tahoma" w:cs="Tahoma"/>
          <w:sz w:val="19"/>
          <w:szCs w:val="19"/>
        </w:rPr>
      </w:pPr>
      <w:r>
        <w:rPr>
          <w:rFonts w:ascii="Tahoma" w:hAnsi="Tahoma" w:cs="Tahoma"/>
          <w:sz w:val="19"/>
          <w:szCs w:val="19"/>
        </w:rPr>
        <w:t xml:space="preserve">Além disso, foram descentralizados ao FNDCT recursos orçamentários oriundos do Fundo Nacional da Saúde (FNS) e do </w:t>
      </w:r>
      <w:r w:rsidRPr="002449C8">
        <w:rPr>
          <w:rFonts w:ascii="Tahoma" w:hAnsi="Tahoma" w:cs="Tahoma"/>
          <w:sz w:val="19"/>
          <w:szCs w:val="19"/>
        </w:rPr>
        <w:t>Ministério da Agricultura e Pecuária (MAPA)</w:t>
      </w:r>
      <w:r>
        <w:rPr>
          <w:rFonts w:ascii="Tahoma" w:hAnsi="Tahoma" w:cs="Tahoma"/>
          <w:sz w:val="19"/>
          <w:szCs w:val="19"/>
        </w:rPr>
        <w:t>,</w:t>
      </w:r>
      <w:r w:rsidRPr="00C753CD">
        <w:rPr>
          <w:rFonts w:ascii="Tahoma" w:hAnsi="Tahoma" w:cs="Tahoma"/>
          <w:sz w:val="19"/>
          <w:szCs w:val="19"/>
        </w:rPr>
        <w:t xml:space="preserve"> com a finalidade de </w:t>
      </w:r>
      <w:r>
        <w:rPr>
          <w:rFonts w:ascii="Tahoma" w:hAnsi="Tahoma" w:cs="Tahoma"/>
          <w:sz w:val="19"/>
          <w:szCs w:val="19"/>
        </w:rPr>
        <w:t>apoiar projetos de CT&amp;I</w:t>
      </w:r>
      <w:r w:rsidRPr="002449C8">
        <w:rPr>
          <w:rFonts w:ascii="Tahoma" w:hAnsi="Tahoma" w:cs="Tahoma"/>
          <w:sz w:val="19"/>
          <w:szCs w:val="19"/>
        </w:rPr>
        <w:t xml:space="preserve">, </w:t>
      </w:r>
      <w:r w:rsidRPr="00C753CD">
        <w:rPr>
          <w:rFonts w:ascii="Tahoma" w:hAnsi="Tahoma" w:cs="Tahoma"/>
          <w:sz w:val="19"/>
          <w:szCs w:val="19"/>
        </w:rPr>
        <w:t>selecionados através de chamadas públicas conjuntas ou encomendas tecnológicas</w:t>
      </w:r>
      <w:r>
        <w:rPr>
          <w:rFonts w:ascii="Tahoma" w:hAnsi="Tahoma" w:cs="Tahoma"/>
          <w:sz w:val="19"/>
          <w:szCs w:val="19"/>
        </w:rPr>
        <w:t xml:space="preserve">. </w:t>
      </w:r>
    </w:p>
    <w:p w14:paraId="3188CD3C" w14:textId="77777777" w:rsidR="00B148EF" w:rsidRDefault="00B148EF" w:rsidP="00B148EF">
      <w:pPr>
        <w:spacing w:before="120" w:after="120" w:line="360" w:lineRule="auto"/>
        <w:rPr>
          <w:rFonts w:ascii="Tahoma" w:hAnsi="Tahoma" w:cs="Tahoma"/>
          <w:sz w:val="19"/>
          <w:szCs w:val="19"/>
        </w:rPr>
      </w:pPr>
      <w:r w:rsidRPr="00274E2A">
        <w:rPr>
          <w:rFonts w:ascii="Tahoma" w:hAnsi="Tahoma" w:cs="Tahoma"/>
          <w:sz w:val="19"/>
          <w:szCs w:val="19"/>
        </w:rPr>
        <w:t xml:space="preserve">Os recursos próprios da Finep disponíveis para utilização nas operações de crédito reembolsável são obtidos com o retorno dos financiamentos concedidos (amortizações pagas pelas empresas), sendo que deste montante também são abatidos os pagamentos de amortização feitos pela Finep às suas fontes de recursos. Em 2023, o saldo líquido entre estes recebimentos e pagamentos foi de R$ 1,38 </w:t>
      </w:r>
      <w:r>
        <w:rPr>
          <w:rFonts w:ascii="Tahoma" w:hAnsi="Tahoma" w:cs="Tahoma"/>
          <w:sz w:val="19"/>
          <w:szCs w:val="19"/>
        </w:rPr>
        <w:t>bilhão.</w:t>
      </w:r>
    </w:p>
    <w:p w14:paraId="6836380F" w14:textId="0D55C094" w:rsidR="00B148EF" w:rsidRDefault="00B148EF" w:rsidP="00B148EF">
      <w:pPr>
        <w:spacing w:before="120" w:after="120" w:line="360" w:lineRule="auto"/>
        <w:rPr>
          <w:rFonts w:ascii="Tahoma" w:hAnsi="Tahoma" w:cs="Tahoma"/>
          <w:sz w:val="19"/>
          <w:szCs w:val="19"/>
        </w:rPr>
      </w:pPr>
      <w:r>
        <w:rPr>
          <w:rFonts w:ascii="Tahoma" w:hAnsi="Tahoma" w:cs="Tahoma"/>
          <w:sz w:val="19"/>
          <w:szCs w:val="19"/>
        </w:rPr>
        <w:t>É importante ressaltar que o custo operacional da Finep é integralmente pago com recursos próprios, oriundos das receitas advindas pela operacionalização de seus instrumentos (tarifas, juros, taxas de administração, dividendos) e rendimentos com aplicação financeira, não havendo aportes do Tesouro Nacional ou captação junto a outras fontes para esse fim.</w:t>
      </w:r>
    </w:p>
    <w:p w14:paraId="06C6B628" w14:textId="5C1DD2E0" w:rsidR="000D6D0A" w:rsidRPr="003D0607" w:rsidRDefault="00BB0E07" w:rsidP="003D0607">
      <w:pPr>
        <w:pStyle w:val="Ttulo2"/>
        <w:spacing w:before="0" w:after="120" w:line="360" w:lineRule="auto"/>
        <w:ind w:left="862" w:hanging="578"/>
        <w:rPr>
          <w:rFonts w:ascii="Tahoma" w:hAnsi="Tahoma" w:cs="Tahoma"/>
          <w:color w:val="0098BA"/>
          <w:sz w:val="24"/>
          <w:szCs w:val="24"/>
        </w:rPr>
      </w:pPr>
      <w:bookmarkStart w:id="262" w:name="_Toc131692260"/>
      <w:bookmarkStart w:id="263" w:name="_Toc163025275"/>
      <w:bookmarkStart w:id="264" w:name="_Toc162512611"/>
      <w:r w:rsidRPr="003D0607">
        <w:rPr>
          <w:rFonts w:ascii="Tahoma" w:hAnsi="Tahoma" w:cs="Tahoma"/>
          <w:color w:val="0098BA"/>
          <w:sz w:val="24"/>
          <w:szCs w:val="24"/>
        </w:rPr>
        <w:lastRenderedPageBreak/>
        <w:t>Capital manufaturado</w:t>
      </w:r>
      <w:bookmarkEnd w:id="262"/>
      <w:bookmarkEnd w:id="263"/>
      <w:bookmarkEnd w:id="264"/>
    </w:p>
    <w:p w14:paraId="0C41BA55" w14:textId="77777777" w:rsidR="001F1F04" w:rsidRPr="001F1F04" w:rsidRDefault="001F1F04" w:rsidP="001F1F04">
      <w:pPr>
        <w:spacing w:before="120" w:after="120" w:line="360" w:lineRule="auto"/>
        <w:jc w:val="both"/>
        <w:rPr>
          <w:rFonts w:ascii="Tahoma" w:eastAsia="Calibri" w:hAnsi="Tahoma" w:cs="Tahoma"/>
          <w:color w:val="0098BA"/>
          <w:sz w:val="19"/>
          <w:szCs w:val="19"/>
        </w:rPr>
      </w:pPr>
      <w:r w:rsidRPr="001F1F04">
        <w:rPr>
          <w:rFonts w:ascii="Tahoma" w:eastAsia="Calibri" w:hAnsi="Tahoma" w:cs="Tahoma"/>
          <w:color w:val="0098BA"/>
          <w:sz w:val="19"/>
          <w:szCs w:val="19"/>
        </w:rPr>
        <w:t>Escritório da Finep no Rio de Janeiro: Sede</w:t>
      </w:r>
    </w:p>
    <w:p w14:paraId="5095F697" w14:textId="77777777" w:rsidR="001F1F04" w:rsidRPr="001F1F04" w:rsidRDefault="001F1F04" w:rsidP="001F6145">
      <w:pPr>
        <w:pStyle w:val="PargrafodaLista"/>
        <w:numPr>
          <w:ilvl w:val="0"/>
          <w:numId w:val="42"/>
        </w:numPr>
        <w:spacing w:before="120" w:after="120" w:line="360" w:lineRule="auto"/>
        <w:ind w:left="284" w:hanging="284"/>
        <w:contextualSpacing/>
        <w:jc w:val="both"/>
        <w:rPr>
          <w:rFonts w:ascii="Tahoma" w:eastAsia="Calibri" w:hAnsi="Tahoma" w:cs="Tahoma"/>
          <w:sz w:val="19"/>
          <w:szCs w:val="19"/>
        </w:rPr>
      </w:pPr>
      <w:r w:rsidRPr="001F1F04">
        <w:rPr>
          <w:rFonts w:ascii="Tahoma" w:eastAsia="Calibri" w:hAnsi="Tahoma" w:cs="Tahoma"/>
          <w:sz w:val="19"/>
          <w:szCs w:val="19"/>
        </w:rPr>
        <w:t>Endereço: Praia do Flamengo, 200 – CEP: 22210-065 – Rio de Janeiro – RJ.</w:t>
      </w:r>
    </w:p>
    <w:p w14:paraId="2421E309" w14:textId="77B75737" w:rsidR="001F1F04" w:rsidRPr="001F1F04" w:rsidRDefault="001F1F04" w:rsidP="001F1F04">
      <w:pPr>
        <w:spacing w:before="120" w:after="120" w:line="360" w:lineRule="auto"/>
        <w:jc w:val="both"/>
        <w:rPr>
          <w:rFonts w:ascii="Tahoma" w:eastAsia="Calibri" w:hAnsi="Tahoma" w:cs="Tahoma"/>
          <w:sz w:val="19"/>
          <w:szCs w:val="19"/>
        </w:rPr>
      </w:pPr>
      <w:r w:rsidRPr="001F1F04">
        <w:rPr>
          <w:rFonts w:ascii="Tahoma" w:eastAsia="Calibri" w:hAnsi="Tahoma" w:cs="Tahoma"/>
          <w:sz w:val="19"/>
          <w:szCs w:val="19"/>
        </w:rPr>
        <w:t>A Finep conta com os 1º, 2º, 3º, 8º, 9º, 13º e 24º andares do Edifício Praia do Flamengo, bens imóveis próprios, bem como os 4º e 7º andares do mesmo edifício, bens imóveis locados, onde funciona seu escritório principal com 525 funcionários. Cada andar possui área bruta de cerca de 1</w:t>
      </w:r>
      <w:r>
        <w:rPr>
          <w:rFonts w:ascii="Tahoma" w:eastAsia="Calibri" w:hAnsi="Tahoma" w:cs="Tahoma"/>
          <w:sz w:val="19"/>
          <w:szCs w:val="19"/>
        </w:rPr>
        <w:t>.</w:t>
      </w:r>
      <w:r w:rsidRPr="001F1F04">
        <w:rPr>
          <w:rFonts w:ascii="Tahoma" w:eastAsia="Calibri" w:hAnsi="Tahoma" w:cs="Tahoma"/>
          <w:sz w:val="19"/>
          <w:szCs w:val="19"/>
        </w:rPr>
        <w:t>000 m².</w:t>
      </w:r>
    </w:p>
    <w:p w14:paraId="430FA47D" w14:textId="77777777" w:rsidR="001F1F04" w:rsidRPr="001F1F04" w:rsidRDefault="001F1F04" w:rsidP="001F1F04">
      <w:pPr>
        <w:spacing w:before="120" w:after="120" w:line="360" w:lineRule="auto"/>
        <w:jc w:val="both"/>
        <w:rPr>
          <w:rFonts w:ascii="Tahoma" w:eastAsia="Calibri" w:hAnsi="Tahoma" w:cs="Tahoma"/>
          <w:sz w:val="19"/>
          <w:szCs w:val="19"/>
        </w:rPr>
      </w:pPr>
      <w:r w:rsidRPr="001F1F04">
        <w:rPr>
          <w:rFonts w:ascii="Tahoma" w:eastAsia="Calibri" w:hAnsi="Tahoma" w:cs="Tahoma"/>
          <w:sz w:val="19"/>
          <w:szCs w:val="19"/>
        </w:rPr>
        <w:t>A Finep cede de forma onerosa dois espaços para a Associação dos Funcionários da Finep (AFIN) e Associação dos Aposentados e Pensionistas da Fipecq (ASAF), entidades representativas de seu corpo funcional e de aposentados. A área ocupada é de 13,57m² para a AFIN e 16,34m² para a ASAF e tem como finalidade apoio à estrutura administrativa das referidas entidades.</w:t>
      </w:r>
    </w:p>
    <w:p w14:paraId="4A262F8B" w14:textId="77777777" w:rsidR="001F1F04" w:rsidRDefault="001F1F04" w:rsidP="001F1F04">
      <w:pPr>
        <w:spacing w:before="120" w:after="120" w:line="360" w:lineRule="auto"/>
        <w:jc w:val="both"/>
        <w:rPr>
          <w:rFonts w:ascii="Tahoma" w:eastAsia="Calibri" w:hAnsi="Tahoma" w:cs="Tahoma"/>
          <w:sz w:val="19"/>
          <w:szCs w:val="19"/>
        </w:rPr>
      </w:pPr>
      <w:r w:rsidRPr="001F1F04">
        <w:rPr>
          <w:rFonts w:ascii="Tahoma" w:eastAsia="Calibri" w:hAnsi="Tahoma" w:cs="Tahoma"/>
          <w:sz w:val="19"/>
          <w:szCs w:val="19"/>
        </w:rPr>
        <w:t>A Finep possui ainda representações regionais em todas as regiões do Brasil, nas cidades de São Paulo, Brasília, Fortaleza, Florianópolis e Belém, onde estão lotados os demais funcionários.</w:t>
      </w:r>
    </w:p>
    <w:p w14:paraId="5973312C" w14:textId="77777777" w:rsidR="001F1F04" w:rsidRPr="001F1F04" w:rsidRDefault="001F1F04" w:rsidP="001F1F04">
      <w:pPr>
        <w:spacing w:before="120" w:after="120" w:line="360" w:lineRule="auto"/>
        <w:jc w:val="both"/>
        <w:rPr>
          <w:rFonts w:ascii="Tahoma" w:eastAsia="Calibri" w:hAnsi="Tahoma" w:cs="Tahoma"/>
          <w:sz w:val="19"/>
          <w:szCs w:val="19"/>
        </w:rPr>
      </w:pPr>
    </w:p>
    <w:p w14:paraId="35FAC30F" w14:textId="77777777" w:rsidR="001F1F04" w:rsidRPr="001F1F04" w:rsidRDefault="001F1F04" w:rsidP="001F1F04">
      <w:pPr>
        <w:spacing w:before="120" w:after="120" w:line="360" w:lineRule="auto"/>
        <w:jc w:val="both"/>
        <w:rPr>
          <w:rFonts w:ascii="Tahoma" w:eastAsia="Calibri" w:hAnsi="Tahoma" w:cs="Tahoma"/>
          <w:color w:val="0098BA"/>
          <w:sz w:val="19"/>
          <w:szCs w:val="19"/>
        </w:rPr>
      </w:pPr>
      <w:r w:rsidRPr="001F1F04">
        <w:rPr>
          <w:rFonts w:ascii="Tahoma" w:eastAsia="Calibri" w:hAnsi="Tahoma" w:cs="Tahoma"/>
          <w:color w:val="0098BA"/>
          <w:sz w:val="19"/>
          <w:szCs w:val="19"/>
        </w:rPr>
        <w:t>Escritório da Finep em São Paulo: DRSE – Departamento Regional do Sudeste</w:t>
      </w:r>
    </w:p>
    <w:p w14:paraId="7019EEF0" w14:textId="77777777" w:rsidR="001F1F04" w:rsidRPr="001F1F04" w:rsidRDefault="001F1F04" w:rsidP="001F6145">
      <w:pPr>
        <w:pStyle w:val="PargrafodaLista"/>
        <w:numPr>
          <w:ilvl w:val="0"/>
          <w:numId w:val="42"/>
        </w:numPr>
        <w:spacing w:before="120" w:after="120" w:line="360" w:lineRule="auto"/>
        <w:ind w:left="284" w:hanging="284"/>
        <w:contextualSpacing/>
        <w:jc w:val="both"/>
        <w:rPr>
          <w:rFonts w:ascii="Tahoma" w:eastAsia="Calibri" w:hAnsi="Tahoma" w:cs="Tahoma"/>
          <w:sz w:val="19"/>
          <w:szCs w:val="19"/>
        </w:rPr>
      </w:pPr>
      <w:r w:rsidRPr="001F1F04">
        <w:rPr>
          <w:rFonts w:ascii="Tahoma" w:eastAsia="Calibri" w:hAnsi="Tahoma" w:cs="Tahoma"/>
          <w:sz w:val="19"/>
          <w:szCs w:val="19"/>
        </w:rPr>
        <w:t xml:space="preserve">Endereço: Avenida Juscelino Kubitscheck, nº 510 / 9º andar /salas 91 e 92, Itaim Bibi, CEP: 04530-001, São Paulo/SP. </w:t>
      </w:r>
    </w:p>
    <w:p w14:paraId="2DF05AE2" w14:textId="77777777" w:rsidR="001F1F04" w:rsidRPr="001F1F04" w:rsidRDefault="001F1F04" w:rsidP="001F1F04">
      <w:pPr>
        <w:spacing w:before="120" w:after="120" w:line="360" w:lineRule="auto"/>
        <w:jc w:val="both"/>
        <w:rPr>
          <w:rFonts w:ascii="Tahoma" w:eastAsia="Calibri" w:hAnsi="Tahoma" w:cs="Tahoma"/>
          <w:color w:val="0098BA"/>
          <w:sz w:val="19"/>
          <w:szCs w:val="19"/>
        </w:rPr>
      </w:pPr>
      <w:r w:rsidRPr="001F1F04">
        <w:rPr>
          <w:rFonts w:ascii="Tahoma" w:eastAsia="Calibri" w:hAnsi="Tahoma" w:cs="Tahoma"/>
          <w:color w:val="0098BA"/>
          <w:sz w:val="19"/>
          <w:szCs w:val="19"/>
        </w:rPr>
        <w:t>Escritório da Finep em Brasília: DRCO - Departamento Regional do Centro-Oeste</w:t>
      </w:r>
    </w:p>
    <w:p w14:paraId="78DB66F1" w14:textId="77777777" w:rsidR="001F1F04" w:rsidRPr="001F1F04" w:rsidRDefault="001F1F04" w:rsidP="001F6145">
      <w:pPr>
        <w:pStyle w:val="PargrafodaLista"/>
        <w:numPr>
          <w:ilvl w:val="0"/>
          <w:numId w:val="42"/>
        </w:numPr>
        <w:spacing w:before="120" w:after="120" w:line="360" w:lineRule="auto"/>
        <w:ind w:left="284" w:hanging="284"/>
        <w:contextualSpacing/>
        <w:jc w:val="both"/>
        <w:rPr>
          <w:rFonts w:ascii="Tahoma" w:eastAsia="Calibri" w:hAnsi="Tahoma" w:cs="Tahoma"/>
          <w:sz w:val="19"/>
          <w:szCs w:val="19"/>
        </w:rPr>
      </w:pPr>
      <w:r w:rsidRPr="001F1F04">
        <w:rPr>
          <w:rFonts w:ascii="Tahoma" w:eastAsia="Calibri" w:hAnsi="Tahoma" w:cs="Tahoma"/>
          <w:sz w:val="19"/>
          <w:szCs w:val="19"/>
        </w:rPr>
        <w:t xml:space="preserve">Endereço: Setor de Autarquias Sul (SAUS), Quadra 01, Lote 06, Bloco H, Edifício Telemundi II, 7º andar, bairro Asa Sul, CEP: 70070-010, Brasília - DF. </w:t>
      </w:r>
    </w:p>
    <w:p w14:paraId="14091966" w14:textId="77777777" w:rsidR="001F1F04" w:rsidRPr="001F1F04" w:rsidRDefault="001F1F04" w:rsidP="001F1F04">
      <w:pPr>
        <w:spacing w:before="120" w:after="120" w:line="360" w:lineRule="auto"/>
        <w:jc w:val="both"/>
        <w:rPr>
          <w:rFonts w:ascii="Tahoma" w:eastAsia="Calibri" w:hAnsi="Tahoma" w:cs="Tahoma"/>
          <w:sz w:val="19"/>
          <w:szCs w:val="19"/>
        </w:rPr>
      </w:pPr>
      <w:r w:rsidRPr="001F1F04">
        <w:rPr>
          <w:rFonts w:ascii="Tahoma" w:eastAsia="Calibri" w:hAnsi="Tahoma" w:cs="Tahoma"/>
          <w:sz w:val="19"/>
          <w:szCs w:val="19"/>
        </w:rPr>
        <w:t>No ano de 2023, a FINEP buscou um novo local para instalação de seu escritório em Brasília (DRCO). Foram avaliadas diversas opções que atendessem às necessidades da empresa, tendo sido selecionada a sublocação de espaço no novo prédio sede do CNPq, localizado no Setor de Autarquias Sul, muito próximo à Esplanada dos Ministérios. A escolha foi justificada em função do interesse institucional, da qualidade do espaço oferecido, pronto para uso imediato sem necessidade de qualquer ajuste de layout e do valor proposto para o contrato, menor que todas as alternativas equivalentes avaliadas. A mudança para o novo espaço ocorreu em junho de 2023 e o escritório encontra-se em perfeitas condições operacionais.</w:t>
      </w:r>
    </w:p>
    <w:p w14:paraId="3C201C9F" w14:textId="77777777" w:rsidR="001F1F04" w:rsidRPr="001F1F04" w:rsidRDefault="001F1F04" w:rsidP="001F1F04">
      <w:pPr>
        <w:spacing w:before="120" w:after="120" w:line="360" w:lineRule="auto"/>
        <w:jc w:val="both"/>
        <w:rPr>
          <w:rFonts w:ascii="Tahoma" w:eastAsia="Calibri" w:hAnsi="Tahoma" w:cs="Tahoma"/>
          <w:color w:val="0098BA"/>
          <w:sz w:val="19"/>
          <w:szCs w:val="19"/>
        </w:rPr>
      </w:pPr>
      <w:r w:rsidRPr="001F1F04">
        <w:rPr>
          <w:rFonts w:ascii="Tahoma" w:eastAsia="Calibri" w:hAnsi="Tahoma" w:cs="Tahoma"/>
          <w:color w:val="0098BA"/>
          <w:sz w:val="19"/>
          <w:szCs w:val="19"/>
        </w:rPr>
        <w:t>Escritório da Finep em Fortaleza: DRNE - Departamento Regional do Nordeste</w:t>
      </w:r>
    </w:p>
    <w:p w14:paraId="36F6CCF0" w14:textId="316A3D23" w:rsidR="001F1F04" w:rsidRPr="001F1F04" w:rsidRDefault="001F1F04" w:rsidP="001F6145">
      <w:pPr>
        <w:pStyle w:val="PargrafodaLista"/>
        <w:numPr>
          <w:ilvl w:val="0"/>
          <w:numId w:val="42"/>
        </w:numPr>
        <w:spacing w:before="120" w:after="120" w:line="360" w:lineRule="auto"/>
        <w:ind w:left="284" w:hanging="284"/>
        <w:contextualSpacing/>
        <w:jc w:val="both"/>
        <w:rPr>
          <w:rFonts w:ascii="Tahoma" w:eastAsia="Calibri" w:hAnsi="Tahoma" w:cs="Tahoma"/>
          <w:sz w:val="19"/>
          <w:szCs w:val="19"/>
        </w:rPr>
      </w:pPr>
      <w:r w:rsidRPr="001F1F04">
        <w:rPr>
          <w:rFonts w:ascii="Tahoma" w:eastAsia="Calibri" w:hAnsi="Tahoma" w:cs="Tahoma"/>
          <w:sz w:val="19"/>
          <w:szCs w:val="19"/>
        </w:rPr>
        <w:t>Endereço: Av. Santos Dumont, 1510, Salas 901 e 902, Aldeota, CEP: 60115-170, Fortaleza - CE. Locado de CRI Participações e Empreendimentos S/A (CNPJ nº 07.904.112/0001-16).</w:t>
      </w:r>
    </w:p>
    <w:p w14:paraId="3520F079" w14:textId="277735C7" w:rsidR="001F1F04" w:rsidRPr="001F1F04" w:rsidRDefault="001F1F04" w:rsidP="001F1F04">
      <w:pPr>
        <w:spacing w:before="120" w:after="120" w:line="360" w:lineRule="auto"/>
        <w:jc w:val="both"/>
        <w:rPr>
          <w:rFonts w:ascii="Tahoma" w:eastAsia="Calibri" w:hAnsi="Tahoma" w:cs="Tahoma"/>
          <w:sz w:val="19"/>
          <w:szCs w:val="19"/>
        </w:rPr>
      </w:pPr>
      <w:r w:rsidRPr="001F1F04">
        <w:rPr>
          <w:rFonts w:ascii="Tahoma" w:eastAsia="Calibri" w:hAnsi="Tahoma" w:cs="Tahoma"/>
          <w:sz w:val="19"/>
          <w:szCs w:val="19"/>
        </w:rPr>
        <w:t xml:space="preserve">O Conselho de Administração decidiu em 2024 pela mudança do escritório regional da Finep no Nordeste para Recife, processo que ainda se encontra em andamento. Depois de </w:t>
      </w:r>
      <w:r w:rsidR="001F6145">
        <w:rPr>
          <w:rFonts w:ascii="Tahoma" w:eastAsia="Calibri" w:hAnsi="Tahoma" w:cs="Tahoma"/>
          <w:sz w:val="19"/>
          <w:szCs w:val="19"/>
        </w:rPr>
        <w:t>oito</w:t>
      </w:r>
      <w:r w:rsidRPr="001F1F04">
        <w:rPr>
          <w:rFonts w:ascii="Tahoma" w:eastAsia="Calibri" w:hAnsi="Tahoma" w:cs="Tahoma"/>
          <w:sz w:val="19"/>
          <w:szCs w:val="19"/>
        </w:rPr>
        <w:t xml:space="preserve"> anos de sucesso no fomento regional da representação instalada no Ceará, optou-se pela maior centralidade e facilidade logística do Recife, cidade que também reúne instituições parceiras de extrema relevância. A opção feita também se justifica do ponto de vista da economicidade, uma vez que as novas instalações da Finep serão integradas a outros órgãos do MCTI em atuação na cidade</w:t>
      </w:r>
    </w:p>
    <w:p w14:paraId="4BB63144" w14:textId="77777777" w:rsidR="001F1F04" w:rsidRPr="00CD3137" w:rsidRDefault="001F1F04" w:rsidP="001F1F04">
      <w:pPr>
        <w:spacing w:before="120" w:after="120" w:line="360" w:lineRule="auto"/>
        <w:jc w:val="both"/>
        <w:rPr>
          <w:rFonts w:ascii="Tahoma" w:eastAsia="Calibri" w:hAnsi="Tahoma" w:cs="Tahoma"/>
          <w:color w:val="0098BA"/>
          <w:sz w:val="19"/>
          <w:szCs w:val="19"/>
        </w:rPr>
      </w:pPr>
      <w:r w:rsidRPr="00CD3137">
        <w:rPr>
          <w:rFonts w:ascii="Tahoma" w:eastAsia="Calibri" w:hAnsi="Tahoma" w:cs="Tahoma"/>
          <w:color w:val="0098BA"/>
          <w:sz w:val="19"/>
          <w:szCs w:val="19"/>
        </w:rPr>
        <w:lastRenderedPageBreak/>
        <w:t>Escritório da Finep em Florianópolis: DSUL - Departamento Regional do Sul</w:t>
      </w:r>
    </w:p>
    <w:p w14:paraId="278CD958" w14:textId="1603B2B5" w:rsidR="001F1F04" w:rsidRPr="001F1F04" w:rsidRDefault="001F1F04" w:rsidP="001F6145">
      <w:pPr>
        <w:pStyle w:val="PargrafodaLista"/>
        <w:numPr>
          <w:ilvl w:val="0"/>
          <w:numId w:val="42"/>
        </w:numPr>
        <w:spacing w:before="120" w:after="120" w:line="360" w:lineRule="auto"/>
        <w:ind w:left="284" w:hanging="284"/>
        <w:contextualSpacing/>
        <w:jc w:val="both"/>
        <w:rPr>
          <w:rFonts w:ascii="Tahoma" w:eastAsia="Calibri" w:hAnsi="Tahoma" w:cs="Tahoma"/>
          <w:sz w:val="19"/>
          <w:szCs w:val="19"/>
        </w:rPr>
      </w:pPr>
      <w:r w:rsidRPr="001F1F04">
        <w:rPr>
          <w:rFonts w:ascii="Tahoma" w:eastAsia="Calibri" w:hAnsi="Tahoma" w:cs="Tahoma"/>
          <w:sz w:val="19"/>
          <w:szCs w:val="19"/>
        </w:rPr>
        <w:t>Endereço: Rodovia José Carlos Daux, 6997, Sala 5, Santo Antonio de Lisboa, CEP: 88050-000, Florianópolis – SC. Locado de Anthea Participações Ltda (CNPJ nº 06.352.185/0001-80).</w:t>
      </w:r>
    </w:p>
    <w:p w14:paraId="617ABE10" w14:textId="77777777" w:rsidR="001F1F04" w:rsidRPr="00CD3137" w:rsidRDefault="001F1F04" w:rsidP="001F1F04">
      <w:pPr>
        <w:spacing w:before="120" w:after="120" w:line="360" w:lineRule="auto"/>
        <w:jc w:val="both"/>
        <w:rPr>
          <w:rFonts w:ascii="Tahoma" w:eastAsia="Calibri" w:hAnsi="Tahoma" w:cs="Tahoma"/>
          <w:color w:val="0098BA"/>
          <w:sz w:val="19"/>
          <w:szCs w:val="19"/>
        </w:rPr>
      </w:pPr>
      <w:r w:rsidRPr="00CD3137">
        <w:rPr>
          <w:rFonts w:ascii="Tahoma" w:eastAsia="Calibri" w:hAnsi="Tahoma" w:cs="Tahoma"/>
          <w:color w:val="0098BA"/>
          <w:sz w:val="19"/>
          <w:szCs w:val="19"/>
        </w:rPr>
        <w:t>Escritório da Finep em Belém: DRNO – Departamento Regional do Norte</w:t>
      </w:r>
    </w:p>
    <w:p w14:paraId="3CDA5563" w14:textId="24410C1F" w:rsidR="001F1F04" w:rsidRPr="001F6145" w:rsidRDefault="001F1F04" w:rsidP="007E359A">
      <w:pPr>
        <w:pStyle w:val="PargrafodaLista"/>
        <w:numPr>
          <w:ilvl w:val="0"/>
          <w:numId w:val="42"/>
        </w:numPr>
        <w:spacing w:before="120" w:after="120" w:line="360" w:lineRule="auto"/>
        <w:ind w:left="284" w:hanging="284"/>
        <w:contextualSpacing/>
        <w:jc w:val="both"/>
        <w:rPr>
          <w:rFonts w:ascii="Tahoma" w:eastAsia="Calibri" w:hAnsi="Tahoma" w:cs="Tahoma"/>
          <w:sz w:val="19"/>
          <w:szCs w:val="19"/>
        </w:rPr>
      </w:pPr>
      <w:r w:rsidRPr="001F6145">
        <w:rPr>
          <w:rFonts w:ascii="Tahoma" w:eastAsia="Calibri" w:hAnsi="Tahoma" w:cs="Tahoma"/>
          <w:sz w:val="19"/>
          <w:szCs w:val="19"/>
        </w:rPr>
        <w:t>Endereço: Avenida Perimetral da Ciência, Km 01 – Guamá, Unidade 305, Espaço Empreendedor do PCT, CEP: 66055-110, Belém – PA. Locado de Fundação de Ciência e Tecnologia Guamá (CNPJ/MF nº 11.024.200/0001-09).</w:t>
      </w:r>
      <w:r w:rsidR="001F6145" w:rsidRPr="001F6145">
        <w:rPr>
          <w:rFonts w:ascii="Tahoma" w:eastAsia="Calibri" w:hAnsi="Tahoma" w:cs="Tahoma"/>
          <w:sz w:val="19"/>
          <w:szCs w:val="19"/>
        </w:rPr>
        <w:t xml:space="preserve"> </w:t>
      </w:r>
      <w:r w:rsidRPr="001F6145">
        <w:rPr>
          <w:rFonts w:ascii="Tahoma" w:eastAsia="Calibri" w:hAnsi="Tahoma" w:cs="Tahoma"/>
          <w:sz w:val="19"/>
          <w:szCs w:val="19"/>
        </w:rPr>
        <w:t>Cessão de Uso não Oneroso, com rateio de despesas administrativas.</w:t>
      </w:r>
    </w:p>
    <w:p w14:paraId="1F0A8E2F" w14:textId="054BA2FD" w:rsidR="001F1F04" w:rsidRPr="00994825" w:rsidRDefault="001F1F04" w:rsidP="001F1F04">
      <w:pPr>
        <w:spacing w:before="120" w:after="120" w:line="360" w:lineRule="auto"/>
        <w:jc w:val="both"/>
        <w:rPr>
          <w:rFonts w:ascii="Tahoma" w:eastAsia="Calibri" w:hAnsi="Tahoma" w:cs="Tahoma"/>
          <w:sz w:val="19"/>
          <w:szCs w:val="19"/>
        </w:rPr>
      </w:pPr>
    </w:p>
    <w:tbl>
      <w:tblPr>
        <w:tblW w:w="954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1100"/>
        <w:gridCol w:w="1872"/>
        <w:gridCol w:w="709"/>
        <w:gridCol w:w="2551"/>
        <w:gridCol w:w="1418"/>
        <w:gridCol w:w="567"/>
        <w:gridCol w:w="1323"/>
      </w:tblGrid>
      <w:tr w:rsidR="00CD3137" w14:paraId="04DB8A14" w14:textId="77777777" w:rsidTr="00D95330">
        <w:trPr>
          <w:trHeight w:val="585"/>
        </w:trPr>
        <w:tc>
          <w:tcPr>
            <w:tcW w:w="1100" w:type="dxa"/>
            <w:shd w:val="clear" w:color="000000" w:fill="0098BA"/>
            <w:vAlign w:val="center"/>
            <w:hideMark/>
          </w:tcPr>
          <w:p w14:paraId="44D605B9" w14:textId="77777777" w:rsidR="00CD3137" w:rsidRDefault="00CD3137" w:rsidP="00097EE2">
            <w:pPr>
              <w:jc w:val="center"/>
              <w:rPr>
                <w:rFonts w:ascii="Tahoma" w:hAnsi="Tahoma" w:cs="Tahoma"/>
                <w:color w:val="FFFFFF"/>
                <w:sz w:val="19"/>
                <w:szCs w:val="19"/>
              </w:rPr>
            </w:pPr>
            <w:r>
              <w:rPr>
                <w:rFonts w:ascii="Tahoma" w:hAnsi="Tahoma" w:cs="Tahoma"/>
                <w:color w:val="FFFFFF"/>
                <w:sz w:val="19"/>
                <w:szCs w:val="19"/>
              </w:rPr>
              <w:t>Filiais</w:t>
            </w:r>
          </w:p>
        </w:tc>
        <w:tc>
          <w:tcPr>
            <w:tcW w:w="1872" w:type="dxa"/>
            <w:shd w:val="clear" w:color="000000" w:fill="0098BA"/>
            <w:vAlign w:val="center"/>
            <w:hideMark/>
          </w:tcPr>
          <w:p w14:paraId="61A66013" w14:textId="77777777" w:rsidR="00CD3137" w:rsidRDefault="00CD3137" w:rsidP="00097EE2">
            <w:pPr>
              <w:jc w:val="center"/>
              <w:rPr>
                <w:rFonts w:ascii="Tahoma" w:hAnsi="Tahoma" w:cs="Tahoma"/>
                <w:color w:val="FFFFFF"/>
                <w:sz w:val="19"/>
                <w:szCs w:val="19"/>
              </w:rPr>
            </w:pPr>
            <w:r>
              <w:rPr>
                <w:rFonts w:ascii="Tahoma" w:hAnsi="Tahoma" w:cs="Tahoma"/>
                <w:color w:val="FFFFFF"/>
                <w:sz w:val="19"/>
                <w:szCs w:val="19"/>
              </w:rPr>
              <w:t>Prédios</w:t>
            </w:r>
          </w:p>
        </w:tc>
        <w:tc>
          <w:tcPr>
            <w:tcW w:w="3260" w:type="dxa"/>
            <w:gridSpan w:val="2"/>
            <w:shd w:val="clear" w:color="000000" w:fill="0098BA"/>
            <w:vAlign w:val="center"/>
            <w:hideMark/>
          </w:tcPr>
          <w:p w14:paraId="46C098E3" w14:textId="77777777" w:rsidR="00CD3137" w:rsidRDefault="00CD3137" w:rsidP="00097EE2">
            <w:pPr>
              <w:jc w:val="center"/>
              <w:rPr>
                <w:rFonts w:ascii="Tahoma" w:hAnsi="Tahoma" w:cs="Tahoma"/>
                <w:color w:val="FFFFFF"/>
                <w:sz w:val="19"/>
                <w:szCs w:val="19"/>
              </w:rPr>
            </w:pPr>
            <w:r>
              <w:rPr>
                <w:rFonts w:ascii="Tahoma" w:hAnsi="Tahoma" w:cs="Tahoma"/>
                <w:color w:val="FFFFFF"/>
                <w:sz w:val="19"/>
                <w:szCs w:val="19"/>
              </w:rPr>
              <w:t>Equipamentos TI</w:t>
            </w:r>
          </w:p>
        </w:tc>
        <w:tc>
          <w:tcPr>
            <w:tcW w:w="1418" w:type="dxa"/>
            <w:shd w:val="clear" w:color="000000" w:fill="0098BA"/>
            <w:vAlign w:val="center"/>
            <w:hideMark/>
          </w:tcPr>
          <w:p w14:paraId="65B60A17" w14:textId="77777777" w:rsidR="00CD3137" w:rsidRDefault="00CD3137" w:rsidP="00097EE2">
            <w:pPr>
              <w:jc w:val="center"/>
              <w:rPr>
                <w:rFonts w:ascii="Tahoma" w:hAnsi="Tahoma" w:cs="Tahoma"/>
                <w:color w:val="FFFFFF"/>
                <w:sz w:val="19"/>
                <w:szCs w:val="19"/>
              </w:rPr>
            </w:pPr>
            <w:r>
              <w:rPr>
                <w:rFonts w:ascii="Tahoma" w:hAnsi="Tahoma" w:cs="Tahoma"/>
                <w:color w:val="FFFFFF"/>
                <w:sz w:val="19"/>
                <w:szCs w:val="19"/>
              </w:rPr>
              <w:t>Equipamentos de refrigeração</w:t>
            </w:r>
          </w:p>
        </w:tc>
        <w:tc>
          <w:tcPr>
            <w:tcW w:w="567" w:type="dxa"/>
            <w:shd w:val="clear" w:color="000000" w:fill="0098BA"/>
            <w:vAlign w:val="center"/>
            <w:hideMark/>
          </w:tcPr>
          <w:p w14:paraId="13ADF517" w14:textId="77777777" w:rsidR="00CD3137" w:rsidRDefault="00CD3137" w:rsidP="00097EE2">
            <w:pPr>
              <w:jc w:val="center"/>
              <w:rPr>
                <w:rFonts w:ascii="Tahoma" w:hAnsi="Tahoma" w:cs="Tahoma"/>
                <w:color w:val="FFFFFF"/>
                <w:sz w:val="19"/>
                <w:szCs w:val="19"/>
              </w:rPr>
            </w:pPr>
            <w:r>
              <w:rPr>
                <w:rFonts w:ascii="Tahoma" w:hAnsi="Tahoma" w:cs="Tahoma"/>
                <w:color w:val="FFFFFF"/>
                <w:sz w:val="19"/>
                <w:szCs w:val="19"/>
              </w:rPr>
              <w:t>CPD</w:t>
            </w:r>
          </w:p>
        </w:tc>
        <w:tc>
          <w:tcPr>
            <w:tcW w:w="1323" w:type="dxa"/>
            <w:shd w:val="clear" w:color="000000" w:fill="0098BA"/>
            <w:vAlign w:val="center"/>
            <w:hideMark/>
          </w:tcPr>
          <w:p w14:paraId="13A039F1" w14:textId="77777777" w:rsidR="00CD3137" w:rsidRDefault="00CD3137" w:rsidP="00097EE2">
            <w:pPr>
              <w:jc w:val="center"/>
              <w:rPr>
                <w:rFonts w:ascii="Tahoma" w:hAnsi="Tahoma" w:cs="Tahoma"/>
                <w:color w:val="FFFFFF"/>
                <w:sz w:val="19"/>
                <w:szCs w:val="19"/>
              </w:rPr>
            </w:pPr>
            <w:r>
              <w:rPr>
                <w:rFonts w:ascii="Tahoma" w:hAnsi="Tahoma" w:cs="Tahoma"/>
                <w:color w:val="FFFFFF"/>
                <w:sz w:val="19"/>
                <w:szCs w:val="19"/>
              </w:rPr>
              <w:t>Equipamentos de energia</w:t>
            </w:r>
          </w:p>
        </w:tc>
      </w:tr>
      <w:tr w:rsidR="00CD3137" w14:paraId="19365339" w14:textId="77777777" w:rsidTr="00D95330">
        <w:trPr>
          <w:trHeight w:val="1275"/>
        </w:trPr>
        <w:tc>
          <w:tcPr>
            <w:tcW w:w="1100" w:type="dxa"/>
            <w:shd w:val="clear" w:color="auto" w:fill="auto"/>
            <w:noWrap/>
            <w:vAlign w:val="center"/>
            <w:hideMark/>
          </w:tcPr>
          <w:p w14:paraId="754CC53A" w14:textId="77777777" w:rsidR="00CD3137" w:rsidRDefault="00CD3137" w:rsidP="00097EE2">
            <w:pPr>
              <w:rPr>
                <w:rFonts w:ascii="Tahoma" w:hAnsi="Tahoma" w:cs="Tahoma"/>
                <w:color w:val="000000"/>
                <w:sz w:val="19"/>
                <w:szCs w:val="19"/>
              </w:rPr>
            </w:pPr>
            <w:r>
              <w:rPr>
                <w:rFonts w:ascii="Tahoma" w:hAnsi="Tahoma" w:cs="Tahoma"/>
                <w:color w:val="000000"/>
                <w:sz w:val="19"/>
                <w:szCs w:val="19"/>
              </w:rPr>
              <w:t>Finep - RJ</w:t>
            </w:r>
          </w:p>
        </w:tc>
        <w:tc>
          <w:tcPr>
            <w:tcW w:w="1872" w:type="dxa"/>
            <w:shd w:val="clear" w:color="auto" w:fill="auto"/>
            <w:noWrap/>
            <w:vAlign w:val="center"/>
            <w:hideMark/>
          </w:tcPr>
          <w:p w14:paraId="1D374978" w14:textId="77777777" w:rsidR="00CD3137" w:rsidRDefault="00CD3137" w:rsidP="00097EE2">
            <w:pPr>
              <w:rPr>
                <w:rFonts w:ascii="Tahoma" w:hAnsi="Tahoma" w:cs="Tahoma"/>
                <w:color w:val="000000"/>
                <w:sz w:val="19"/>
                <w:szCs w:val="19"/>
              </w:rPr>
            </w:pPr>
            <w:r>
              <w:rPr>
                <w:rFonts w:ascii="Tahoma" w:hAnsi="Tahoma" w:cs="Tahoma"/>
                <w:color w:val="000000"/>
                <w:sz w:val="19"/>
                <w:szCs w:val="19"/>
              </w:rPr>
              <w:t>7 andares próprios e 2 alugados</w:t>
            </w:r>
          </w:p>
        </w:tc>
        <w:tc>
          <w:tcPr>
            <w:tcW w:w="709" w:type="dxa"/>
            <w:shd w:val="clear" w:color="auto" w:fill="auto"/>
            <w:noWrap/>
            <w:vAlign w:val="center"/>
            <w:hideMark/>
          </w:tcPr>
          <w:p w14:paraId="6D0A3CC2"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2.208</w:t>
            </w:r>
          </w:p>
        </w:tc>
        <w:tc>
          <w:tcPr>
            <w:tcW w:w="2551" w:type="dxa"/>
            <w:shd w:val="clear" w:color="auto" w:fill="auto"/>
            <w:vAlign w:val="center"/>
            <w:hideMark/>
          </w:tcPr>
          <w:p w14:paraId="3CC9D936" w14:textId="77777777" w:rsidR="00CD3137" w:rsidRDefault="00CD3137" w:rsidP="00097EE2">
            <w:pPr>
              <w:rPr>
                <w:rFonts w:ascii="Tahoma" w:hAnsi="Tahoma" w:cs="Tahoma"/>
                <w:color w:val="000000"/>
                <w:sz w:val="19"/>
                <w:szCs w:val="19"/>
              </w:rPr>
            </w:pPr>
            <w:r>
              <w:rPr>
                <w:rFonts w:ascii="Tahoma" w:hAnsi="Tahoma" w:cs="Tahoma"/>
                <w:color w:val="000000"/>
                <w:sz w:val="19"/>
                <w:szCs w:val="19"/>
              </w:rPr>
              <w:t>716 - Computadores</w:t>
            </w:r>
            <w:r>
              <w:rPr>
                <w:rFonts w:ascii="Tahoma" w:hAnsi="Tahoma" w:cs="Tahoma"/>
                <w:color w:val="000000"/>
                <w:sz w:val="19"/>
                <w:szCs w:val="19"/>
              </w:rPr>
              <w:br/>
              <w:t>511 - Notebooks</w:t>
            </w:r>
            <w:r>
              <w:rPr>
                <w:rFonts w:ascii="Tahoma" w:hAnsi="Tahoma" w:cs="Tahoma"/>
                <w:color w:val="000000"/>
                <w:sz w:val="19"/>
                <w:szCs w:val="19"/>
              </w:rPr>
              <w:br/>
              <w:t>980 - Aparelhos de telefone</w:t>
            </w:r>
            <w:r>
              <w:rPr>
                <w:rFonts w:ascii="Tahoma" w:hAnsi="Tahoma" w:cs="Tahoma"/>
                <w:color w:val="000000"/>
                <w:sz w:val="19"/>
                <w:szCs w:val="19"/>
              </w:rPr>
              <w:br/>
              <w:t>1 - Central Telefônica</w:t>
            </w:r>
          </w:p>
        </w:tc>
        <w:tc>
          <w:tcPr>
            <w:tcW w:w="1418" w:type="dxa"/>
            <w:shd w:val="clear" w:color="auto" w:fill="auto"/>
            <w:vAlign w:val="center"/>
            <w:hideMark/>
          </w:tcPr>
          <w:p w14:paraId="269EB47A"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62 - Fancoils;</w:t>
            </w:r>
            <w:r>
              <w:rPr>
                <w:rFonts w:ascii="Tahoma" w:hAnsi="Tahoma" w:cs="Tahoma"/>
                <w:color w:val="000000"/>
                <w:sz w:val="19"/>
                <w:szCs w:val="19"/>
              </w:rPr>
              <w:br/>
              <w:t>18 VRF;</w:t>
            </w:r>
            <w:r>
              <w:rPr>
                <w:rFonts w:ascii="Tahoma" w:hAnsi="Tahoma" w:cs="Tahoma"/>
                <w:color w:val="000000"/>
                <w:sz w:val="19"/>
                <w:szCs w:val="19"/>
              </w:rPr>
              <w:br/>
              <w:t>7 Splits</w:t>
            </w:r>
          </w:p>
        </w:tc>
        <w:tc>
          <w:tcPr>
            <w:tcW w:w="567" w:type="dxa"/>
            <w:shd w:val="clear" w:color="auto" w:fill="auto"/>
            <w:noWrap/>
            <w:vAlign w:val="center"/>
            <w:hideMark/>
          </w:tcPr>
          <w:p w14:paraId="317E6737"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1</w:t>
            </w:r>
          </w:p>
        </w:tc>
        <w:tc>
          <w:tcPr>
            <w:tcW w:w="1323" w:type="dxa"/>
            <w:shd w:val="clear" w:color="auto" w:fill="auto"/>
            <w:noWrap/>
            <w:vAlign w:val="center"/>
            <w:hideMark/>
          </w:tcPr>
          <w:p w14:paraId="594A79FA"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29</w:t>
            </w:r>
          </w:p>
        </w:tc>
      </w:tr>
      <w:tr w:rsidR="00CD3137" w14:paraId="0303937C" w14:textId="77777777" w:rsidTr="00D95330">
        <w:trPr>
          <w:trHeight w:val="1020"/>
        </w:trPr>
        <w:tc>
          <w:tcPr>
            <w:tcW w:w="1100" w:type="dxa"/>
            <w:shd w:val="clear" w:color="auto" w:fill="auto"/>
            <w:noWrap/>
            <w:vAlign w:val="center"/>
            <w:hideMark/>
          </w:tcPr>
          <w:p w14:paraId="54237EA8" w14:textId="77777777" w:rsidR="00CD3137" w:rsidRDefault="00CD3137" w:rsidP="00097EE2">
            <w:pPr>
              <w:rPr>
                <w:rFonts w:ascii="Tahoma" w:hAnsi="Tahoma" w:cs="Tahoma"/>
                <w:color w:val="000000"/>
                <w:sz w:val="19"/>
                <w:szCs w:val="19"/>
              </w:rPr>
            </w:pPr>
            <w:r>
              <w:rPr>
                <w:rFonts w:ascii="Tahoma" w:hAnsi="Tahoma" w:cs="Tahoma"/>
                <w:color w:val="000000"/>
                <w:sz w:val="19"/>
                <w:szCs w:val="19"/>
              </w:rPr>
              <w:t>Finep - DF</w:t>
            </w:r>
          </w:p>
        </w:tc>
        <w:tc>
          <w:tcPr>
            <w:tcW w:w="1872" w:type="dxa"/>
            <w:shd w:val="clear" w:color="auto" w:fill="auto"/>
            <w:noWrap/>
            <w:vAlign w:val="center"/>
            <w:hideMark/>
          </w:tcPr>
          <w:p w14:paraId="70BEE1C6" w14:textId="77777777" w:rsidR="00CD3137" w:rsidRDefault="00CD3137" w:rsidP="00097EE2">
            <w:pPr>
              <w:rPr>
                <w:rFonts w:ascii="Tahoma" w:hAnsi="Tahoma" w:cs="Tahoma"/>
                <w:color w:val="000000"/>
                <w:sz w:val="19"/>
                <w:szCs w:val="19"/>
              </w:rPr>
            </w:pPr>
            <w:r>
              <w:rPr>
                <w:rFonts w:ascii="Tahoma" w:hAnsi="Tahoma" w:cs="Tahoma"/>
                <w:color w:val="000000"/>
                <w:sz w:val="19"/>
                <w:szCs w:val="19"/>
              </w:rPr>
              <w:t>Sublocação de sala CNPq</w:t>
            </w:r>
          </w:p>
        </w:tc>
        <w:tc>
          <w:tcPr>
            <w:tcW w:w="709" w:type="dxa"/>
            <w:shd w:val="clear" w:color="auto" w:fill="auto"/>
            <w:noWrap/>
            <w:vAlign w:val="center"/>
            <w:hideMark/>
          </w:tcPr>
          <w:p w14:paraId="65E8549A"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38</w:t>
            </w:r>
          </w:p>
        </w:tc>
        <w:tc>
          <w:tcPr>
            <w:tcW w:w="2551" w:type="dxa"/>
            <w:shd w:val="clear" w:color="auto" w:fill="auto"/>
            <w:vAlign w:val="center"/>
            <w:hideMark/>
          </w:tcPr>
          <w:p w14:paraId="1D027289" w14:textId="77777777" w:rsidR="00CD3137" w:rsidRDefault="00CD3137" w:rsidP="00097EE2">
            <w:pPr>
              <w:rPr>
                <w:rFonts w:ascii="Tahoma" w:hAnsi="Tahoma" w:cs="Tahoma"/>
                <w:color w:val="000000"/>
                <w:sz w:val="19"/>
                <w:szCs w:val="19"/>
              </w:rPr>
            </w:pPr>
            <w:r>
              <w:rPr>
                <w:rFonts w:ascii="Tahoma" w:hAnsi="Tahoma" w:cs="Tahoma"/>
                <w:color w:val="000000"/>
                <w:sz w:val="19"/>
                <w:szCs w:val="19"/>
              </w:rPr>
              <w:t>12 - Computadores</w:t>
            </w:r>
            <w:r>
              <w:rPr>
                <w:rFonts w:ascii="Tahoma" w:hAnsi="Tahoma" w:cs="Tahoma"/>
                <w:color w:val="000000"/>
                <w:sz w:val="19"/>
                <w:szCs w:val="19"/>
              </w:rPr>
              <w:br/>
              <w:t>22 -Aparelhos de telefone</w:t>
            </w:r>
            <w:r>
              <w:rPr>
                <w:rFonts w:ascii="Tahoma" w:hAnsi="Tahoma" w:cs="Tahoma"/>
                <w:color w:val="000000"/>
                <w:sz w:val="19"/>
                <w:szCs w:val="19"/>
              </w:rPr>
              <w:br/>
              <w:t>4 - Central telefônica</w:t>
            </w:r>
          </w:p>
        </w:tc>
        <w:tc>
          <w:tcPr>
            <w:tcW w:w="1418" w:type="dxa"/>
            <w:shd w:val="clear" w:color="auto" w:fill="auto"/>
            <w:noWrap/>
            <w:vAlign w:val="center"/>
            <w:hideMark/>
          </w:tcPr>
          <w:p w14:paraId="01F0BC67"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c>
          <w:tcPr>
            <w:tcW w:w="567" w:type="dxa"/>
            <w:shd w:val="clear" w:color="auto" w:fill="auto"/>
            <w:noWrap/>
            <w:vAlign w:val="center"/>
            <w:hideMark/>
          </w:tcPr>
          <w:p w14:paraId="0B786B9A"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c>
          <w:tcPr>
            <w:tcW w:w="1323" w:type="dxa"/>
            <w:shd w:val="clear" w:color="auto" w:fill="auto"/>
            <w:noWrap/>
            <w:vAlign w:val="center"/>
            <w:hideMark/>
          </w:tcPr>
          <w:p w14:paraId="25C49E8F"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r>
      <w:tr w:rsidR="00CD3137" w14:paraId="492AB4EC" w14:textId="77777777" w:rsidTr="00D95330">
        <w:trPr>
          <w:trHeight w:val="1020"/>
        </w:trPr>
        <w:tc>
          <w:tcPr>
            <w:tcW w:w="1100" w:type="dxa"/>
            <w:shd w:val="clear" w:color="auto" w:fill="auto"/>
            <w:noWrap/>
            <w:vAlign w:val="center"/>
            <w:hideMark/>
          </w:tcPr>
          <w:p w14:paraId="3B3DA179" w14:textId="77777777" w:rsidR="00CD3137" w:rsidRDefault="00CD3137" w:rsidP="00097EE2">
            <w:pPr>
              <w:rPr>
                <w:rFonts w:ascii="Tahoma" w:hAnsi="Tahoma" w:cs="Tahoma"/>
                <w:color w:val="000000"/>
                <w:sz w:val="19"/>
                <w:szCs w:val="19"/>
              </w:rPr>
            </w:pPr>
            <w:r>
              <w:rPr>
                <w:rFonts w:ascii="Tahoma" w:hAnsi="Tahoma" w:cs="Tahoma"/>
                <w:color w:val="000000"/>
                <w:sz w:val="19"/>
                <w:szCs w:val="19"/>
              </w:rPr>
              <w:t>Finep - SP</w:t>
            </w:r>
          </w:p>
        </w:tc>
        <w:tc>
          <w:tcPr>
            <w:tcW w:w="1872" w:type="dxa"/>
            <w:shd w:val="clear" w:color="auto" w:fill="auto"/>
            <w:noWrap/>
            <w:vAlign w:val="center"/>
            <w:hideMark/>
          </w:tcPr>
          <w:p w14:paraId="4668819A" w14:textId="77777777" w:rsidR="00CD3137" w:rsidRDefault="00CD3137" w:rsidP="00097EE2">
            <w:pPr>
              <w:rPr>
                <w:rFonts w:ascii="Tahoma" w:hAnsi="Tahoma" w:cs="Tahoma"/>
                <w:color w:val="000000"/>
                <w:sz w:val="19"/>
                <w:szCs w:val="19"/>
              </w:rPr>
            </w:pPr>
            <w:r>
              <w:rPr>
                <w:rFonts w:ascii="Tahoma" w:hAnsi="Tahoma" w:cs="Tahoma"/>
                <w:color w:val="000000"/>
                <w:sz w:val="19"/>
                <w:szCs w:val="19"/>
              </w:rPr>
              <w:t>Duas salas comerciais locadas</w:t>
            </w:r>
          </w:p>
        </w:tc>
        <w:tc>
          <w:tcPr>
            <w:tcW w:w="709" w:type="dxa"/>
            <w:shd w:val="clear" w:color="auto" w:fill="auto"/>
            <w:noWrap/>
            <w:vAlign w:val="center"/>
            <w:hideMark/>
          </w:tcPr>
          <w:p w14:paraId="3240D38D"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69</w:t>
            </w:r>
          </w:p>
        </w:tc>
        <w:tc>
          <w:tcPr>
            <w:tcW w:w="2551" w:type="dxa"/>
            <w:shd w:val="clear" w:color="auto" w:fill="auto"/>
            <w:vAlign w:val="center"/>
            <w:hideMark/>
          </w:tcPr>
          <w:p w14:paraId="7C00A38F" w14:textId="77777777" w:rsidR="00CD3137" w:rsidRDefault="00CD3137" w:rsidP="00097EE2">
            <w:pPr>
              <w:rPr>
                <w:rFonts w:ascii="Tahoma" w:hAnsi="Tahoma" w:cs="Tahoma"/>
                <w:color w:val="000000"/>
                <w:sz w:val="19"/>
                <w:szCs w:val="19"/>
              </w:rPr>
            </w:pPr>
            <w:r>
              <w:rPr>
                <w:rFonts w:ascii="Tahoma" w:hAnsi="Tahoma" w:cs="Tahoma"/>
                <w:color w:val="000000"/>
                <w:sz w:val="19"/>
                <w:szCs w:val="19"/>
              </w:rPr>
              <w:t>62 - Computadores</w:t>
            </w:r>
            <w:r>
              <w:rPr>
                <w:rFonts w:ascii="Tahoma" w:hAnsi="Tahoma" w:cs="Tahoma"/>
                <w:color w:val="000000"/>
                <w:sz w:val="19"/>
                <w:szCs w:val="19"/>
              </w:rPr>
              <w:br/>
              <w:t>1 - Notebook</w:t>
            </w:r>
            <w:r>
              <w:rPr>
                <w:rFonts w:ascii="Tahoma" w:hAnsi="Tahoma" w:cs="Tahoma"/>
                <w:color w:val="000000"/>
                <w:sz w:val="19"/>
                <w:szCs w:val="19"/>
              </w:rPr>
              <w:br/>
              <w:t>4 - Telefones sem fio</w:t>
            </w:r>
            <w:r>
              <w:rPr>
                <w:rFonts w:ascii="Tahoma" w:hAnsi="Tahoma" w:cs="Tahoma"/>
                <w:color w:val="000000"/>
                <w:sz w:val="19"/>
                <w:szCs w:val="19"/>
              </w:rPr>
              <w:br/>
              <w:t>2 - Central telefônica</w:t>
            </w:r>
          </w:p>
        </w:tc>
        <w:tc>
          <w:tcPr>
            <w:tcW w:w="1418" w:type="dxa"/>
            <w:shd w:val="clear" w:color="auto" w:fill="auto"/>
            <w:noWrap/>
            <w:vAlign w:val="center"/>
            <w:hideMark/>
          </w:tcPr>
          <w:p w14:paraId="3F8F8EE6"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4</w:t>
            </w:r>
          </w:p>
        </w:tc>
        <w:tc>
          <w:tcPr>
            <w:tcW w:w="567" w:type="dxa"/>
            <w:shd w:val="clear" w:color="auto" w:fill="auto"/>
            <w:noWrap/>
            <w:vAlign w:val="center"/>
            <w:hideMark/>
          </w:tcPr>
          <w:p w14:paraId="0169E167"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1</w:t>
            </w:r>
          </w:p>
        </w:tc>
        <w:tc>
          <w:tcPr>
            <w:tcW w:w="1323" w:type="dxa"/>
            <w:shd w:val="clear" w:color="auto" w:fill="auto"/>
            <w:noWrap/>
            <w:vAlign w:val="center"/>
            <w:hideMark/>
          </w:tcPr>
          <w:p w14:paraId="55F8E9B5"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1</w:t>
            </w:r>
          </w:p>
        </w:tc>
      </w:tr>
      <w:tr w:rsidR="00CD3137" w14:paraId="2B029B02" w14:textId="77777777" w:rsidTr="00D95330">
        <w:trPr>
          <w:trHeight w:val="300"/>
        </w:trPr>
        <w:tc>
          <w:tcPr>
            <w:tcW w:w="1100" w:type="dxa"/>
            <w:shd w:val="clear" w:color="auto" w:fill="auto"/>
            <w:noWrap/>
            <w:vAlign w:val="center"/>
            <w:hideMark/>
          </w:tcPr>
          <w:p w14:paraId="066BA3D2" w14:textId="77777777" w:rsidR="00CD3137" w:rsidRDefault="00CD3137" w:rsidP="00097EE2">
            <w:pPr>
              <w:rPr>
                <w:rFonts w:ascii="Tahoma" w:hAnsi="Tahoma" w:cs="Tahoma"/>
                <w:color w:val="000000"/>
                <w:sz w:val="19"/>
                <w:szCs w:val="19"/>
              </w:rPr>
            </w:pPr>
            <w:r>
              <w:rPr>
                <w:rFonts w:ascii="Tahoma" w:hAnsi="Tahoma" w:cs="Tahoma"/>
                <w:color w:val="000000"/>
                <w:sz w:val="19"/>
                <w:szCs w:val="19"/>
              </w:rPr>
              <w:t>Finep - SC</w:t>
            </w:r>
          </w:p>
        </w:tc>
        <w:tc>
          <w:tcPr>
            <w:tcW w:w="1872" w:type="dxa"/>
            <w:shd w:val="clear" w:color="auto" w:fill="auto"/>
            <w:noWrap/>
            <w:vAlign w:val="center"/>
            <w:hideMark/>
          </w:tcPr>
          <w:p w14:paraId="6A7859D9" w14:textId="77777777" w:rsidR="00CD3137" w:rsidRDefault="00CD3137" w:rsidP="00097EE2">
            <w:pPr>
              <w:rPr>
                <w:rFonts w:ascii="Tahoma" w:hAnsi="Tahoma" w:cs="Tahoma"/>
                <w:color w:val="000000"/>
                <w:sz w:val="19"/>
                <w:szCs w:val="19"/>
              </w:rPr>
            </w:pPr>
            <w:r>
              <w:rPr>
                <w:rFonts w:ascii="Tahoma" w:hAnsi="Tahoma" w:cs="Tahoma"/>
                <w:color w:val="000000"/>
                <w:sz w:val="19"/>
                <w:szCs w:val="19"/>
              </w:rPr>
              <w:t>Sala comercial locada</w:t>
            </w:r>
          </w:p>
        </w:tc>
        <w:tc>
          <w:tcPr>
            <w:tcW w:w="709" w:type="dxa"/>
            <w:shd w:val="clear" w:color="auto" w:fill="auto"/>
            <w:noWrap/>
            <w:vAlign w:val="center"/>
            <w:hideMark/>
          </w:tcPr>
          <w:p w14:paraId="261BBA44"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1</w:t>
            </w:r>
          </w:p>
        </w:tc>
        <w:tc>
          <w:tcPr>
            <w:tcW w:w="2551" w:type="dxa"/>
            <w:shd w:val="clear" w:color="auto" w:fill="auto"/>
            <w:vAlign w:val="center"/>
            <w:hideMark/>
          </w:tcPr>
          <w:p w14:paraId="10C593C7" w14:textId="77777777" w:rsidR="00CD3137" w:rsidRDefault="00CD3137" w:rsidP="00097EE2">
            <w:pPr>
              <w:rPr>
                <w:rFonts w:ascii="Tahoma" w:hAnsi="Tahoma" w:cs="Tahoma"/>
                <w:color w:val="000000"/>
                <w:sz w:val="19"/>
                <w:szCs w:val="19"/>
              </w:rPr>
            </w:pPr>
            <w:r>
              <w:rPr>
                <w:rFonts w:ascii="Tahoma" w:hAnsi="Tahoma" w:cs="Tahoma"/>
                <w:color w:val="000000"/>
                <w:sz w:val="19"/>
                <w:szCs w:val="19"/>
              </w:rPr>
              <w:t>1 - Computador</w:t>
            </w:r>
          </w:p>
        </w:tc>
        <w:tc>
          <w:tcPr>
            <w:tcW w:w="1418" w:type="dxa"/>
            <w:shd w:val="clear" w:color="auto" w:fill="auto"/>
            <w:noWrap/>
            <w:vAlign w:val="center"/>
            <w:hideMark/>
          </w:tcPr>
          <w:p w14:paraId="06C3014E"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c>
          <w:tcPr>
            <w:tcW w:w="567" w:type="dxa"/>
            <w:shd w:val="clear" w:color="auto" w:fill="auto"/>
            <w:noWrap/>
            <w:vAlign w:val="center"/>
            <w:hideMark/>
          </w:tcPr>
          <w:p w14:paraId="0215AFCF"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c>
          <w:tcPr>
            <w:tcW w:w="1323" w:type="dxa"/>
            <w:shd w:val="clear" w:color="auto" w:fill="auto"/>
            <w:noWrap/>
            <w:vAlign w:val="center"/>
            <w:hideMark/>
          </w:tcPr>
          <w:p w14:paraId="15063A98"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r>
      <w:tr w:rsidR="00CD3137" w14:paraId="4A594326" w14:textId="77777777" w:rsidTr="00D95330">
        <w:trPr>
          <w:trHeight w:val="300"/>
        </w:trPr>
        <w:tc>
          <w:tcPr>
            <w:tcW w:w="1100" w:type="dxa"/>
            <w:shd w:val="clear" w:color="auto" w:fill="auto"/>
            <w:noWrap/>
            <w:vAlign w:val="center"/>
            <w:hideMark/>
          </w:tcPr>
          <w:p w14:paraId="1E0178A4" w14:textId="77777777" w:rsidR="00CD3137" w:rsidRDefault="00CD3137" w:rsidP="00097EE2">
            <w:pPr>
              <w:rPr>
                <w:rFonts w:ascii="Tahoma" w:hAnsi="Tahoma" w:cs="Tahoma"/>
                <w:color w:val="000000"/>
                <w:sz w:val="19"/>
                <w:szCs w:val="19"/>
              </w:rPr>
            </w:pPr>
            <w:r>
              <w:rPr>
                <w:rFonts w:ascii="Tahoma" w:hAnsi="Tahoma" w:cs="Tahoma"/>
                <w:color w:val="000000"/>
                <w:sz w:val="19"/>
                <w:szCs w:val="19"/>
              </w:rPr>
              <w:t>Finep - PA</w:t>
            </w:r>
          </w:p>
        </w:tc>
        <w:tc>
          <w:tcPr>
            <w:tcW w:w="1872" w:type="dxa"/>
            <w:shd w:val="clear" w:color="auto" w:fill="auto"/>
            <w:noWrap/>
            <w:vAlign w:val="center"/>
            <w:hideMark/>
          </w:tcPr>
          <w:p w14:paraId="397DE80C" w14:textId="77777777" w:rsidR="00CD3137" w:rsidRDefault="00CD3137" w:rsidP="00097EE2">
            <w:pPr>
              <w:rPr>
                <w:rFonts w:ascii="Tahoma" w:hAnsi="Tahoma" w:cs="Tahoma"/>
                <w:color w:val="000000"/>
                <w:sz w:val="19"/>
                <w:szCs w:val="19"/>
              </w:rPr>
            </w:pPr>
            <w:r>
              <w:rPr>
                <w:rFonts w:ascii="Tahoma" w:hAnsi="Tahoma" w:cs="Tahoma"/>
                <w:color w:val="000000"/>
                <w:sz w:val="19"/>
                <w:szCs w:val="19"/>
              </w:rPr>
              <w:t>Cessão de uso Fundação Guamá</w:t>
            </w:r>
          </w:p>
        </w:tc>
        <w:tc>
          <w:tcPr>
            <w:tcW w:w="709" w:type="dxa"/>
            <w:shd w:val="clear" w:color="auto" w:fill="auto"/>
            <w:noWrap/>
            <w:vAlign w:val="center"/>
            <w:hideMark/>
          </w:tcPr>
          <w:p w14:paraId="2E3BDE3D"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2</w:t>
            </w:r>
          </w:p>
        </w:tc>
        <w:tc>
          <w:tcPr>
            <w:tcW w:w="2551" w:type="dxa"/>
            <w:shd w:val="clear" w:color="auto" w:fill="auto"/>
            <w:vAlign w:val="center"/>
            <w:hideMark/>
          </w:tcPr>
          <w:p w14:paraId="49C9A7BF" w14:textId="77777777" w:rsidR="00CD3137" w:rsidRDefault="00CD3137" w:rsidP="00097EE2">
            <w:pPr>
              <w:rPr>
                <w:rFonts w:ascii="Tahoma" w:hAnsi="Tahoma" w:cs="Tahoma"/>
                <w:color w:val="000000"/>
                <w:sz w:val="19"/>
                <w:szCs w:val="19"/>
              </w:rPr>
            </w:pPr>
            <w:r>
              <w:rPr>
                <w:rFonts w:ascii="Tahoma" w:hAnsi="Tahoma" w:cs="Tahoma"/>
                <w:color w:val="000000"/>
                <w:sz w:val="19"/>
                <w:szCs w:val="19"/>
              </w:rPr>
              <w:t>2 - Notebooks</w:t>
            </w:r>
          </w:p>
        </w:tc>
        <w:tc>
          <w:tcPr>
            <w:tcW w:w="1418" w:type="dxa"/>
            <w:shd w:val="clear" w:color="auto" w:fill="auto"/>
            <w:noWrap/>
            <w:vAlign w:val="center"/>
            <w:hideMark/>
          </w:tcPr>
          <w:p w14:paraId="58351F34"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c>
          <w:tcPr>
            <w:tcW w:w="567" w:type="dxa"/>
            <w:shd w:val="clear" w:color="auto" w:fill="auto"/>
            <w:noWrap/>
            <w:vAlign w:val="center"/>
            <w:hideMark/>
          </w:tcPr>
          <w:p w14:paraId="08FAFF69"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c>
          <w:tcPr>
            <w:tcW w:w="1323" w:type="dxa"/>
            <w:shd w:val="clear" w:color="auto" w:fill="auto"/>
            <w:noWrap/>
            <w:vAlign w:val="center"/>
            <w:hideMark/>
          </w:tcPr>
          <w:p w14:paraId="202519BE"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r>
      <w:tr w:rsidR="00CD3137" w14:paraId="6A314428" w14:textId="77777777" w:rsidTr="00D95330">
        <w:trPr>
          <w:trHeight w:val="300"/>
        </w:trPr>
        <w:tc>
          <w:tcPr>
            <w:tcW w:w="1100" w:type="dxa"/>
            <w:shd w:val="clear" w:color="auto" w:fill="auto"/>
            <w:noWrap/>
            <w:vAlign w:val="center"/>
            <w:hideMark/>
          </w:tcPr>
          <w:p w14:paraId="5D71DA53" w14:textId="77777777" w:rsidR="00CD3137" w:rsidRDefault="00CD3137" w:rsidP="00097EE2">
            <w:pPr>
              <w:rPr>
                <w:rFonts w:ascii="Tahoma" w:hAnsi="Tahoma" w:cs="Tahoma"/>
                <w:color w:val="000000"/>
                <w:sz w:val="19"/>
                <w:szCs w:val="19"/>
              </w:rPr>
            </w:pPr>
            <w:r>
              <w:rPr>
                <w:rFonts w:ascii="Tahoma" w:hAnsi="Tahoma" w:cs="Tahoma"/>
                <w:color w:val="000000"/>
                <w:sz w:val="19"/>
                <w:szCs w:val="19"/>
              </w:rPr>
              <w:t>Finep - CE</w:t>
            </w:r>
          </w:p>
        </w:tc>
        <w:tc>
          <w:tcPr>
            <w:tcW w:w="1872" w:type="dxa"/>
            <w:shd w:val="clear" w:color="auto" w:fill="auto"/>
            <w:noWrap/>
            <w:vAlign w:val="center"/>
            <w:hideMark/>
          </w:tcPr>
          <w:p w14:paraId="73D193F7" w14:textId="77777777" w:rsidR="00CD3137" w:rsidRDefault="00CD3137" w:rsidP="00097EE2">
            <w:pPr>
              <w:rPr>
                <w:rFonts w:ascii="Tahoma" w:hAnsi="Tahoma" w:cs="Tahoma"/>
                <w:color w:val="000000"/>
                <w:sz w:val="19"/>
                <w:szCs w:val="19"/>
              </w:rPr>
            </w:pPr>
            <w:r>
              <w:rPr>
                <w:rFonts w:ascii="Tahoma" w:hAnsi="Tahoma" w:cs="Tahoma"/>
                <w:color w:val="000000"/>
                <w:sz w:val="19"/>
                <w:szCs w:val="19"/>
              </w:rPr>
              <w:t>Duas salas comerciais locadas</w:t>
            </w:r>
          </w:p>
        </w:tc>
        <w:tc>
          <w:tcPr>
            <w:tcW w:w="709" w:type="dxa"/>
            <w:shd w:val="clear" w:color="auto" w:fill="auto"/>
            <w:noWrap/>
            <w:vAlign w:val="center"/>
            <w:hideMark/>
          </w:tcPr>
          <w:p w14:paraId="4A266790"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1</w:t>
            </w:r>
          </w:p>
        </w:tc>
        <w:tc>
          <w:tcPr>
            <w:tcW w:w="2551" w:type="dxa"/>
            <w:shd w:val="clear" w:color="auto" w:fill="auto"/>
            <w:noWrap/>
            <w:vAlign w:val="center"/>
            <w:hideMark/>
          </w:tcPr>
          <w:p w14:paraId="3E5FCA77" w14:textId="77777777" w:rsidR="00CD3137" w:rsidRDefault="00CD3137" w:rsidP="00097EE2">
            <w:pPr>
              <w:rPr>
                <w:rFonts w:ascii="Tahoma" w:hAnsi="Tahoma" w:cs="Tahoma"/>
                <w:color w:val="000000"/>
                <w:sz w:val="19"/>
                <w:szCs w:val="19"/>
              </w:rPr>
            </w:pPr>
            <w:r>
              <w:rPr>
                <w:rFonts w:ascii="Tahoma" w:hAnsi="Tahoma" w:cs="Tahoma"/>
                <w:color w:val="000000"/>
                <w:sz w:val="19"/>
                <w:szCs w:val="19"/>
              </w:rPr>
              <w:t>1 - Notebook</w:t>
            </w:r>
          </w:p>
        </w:tc>
        <w:tc>
          <w:tcPr>
            <w:tcW w:w="1418" w:type="dxa"/>
            <w:shd w:val="clear" w:color="auto" w:fill="auto"/>
            <w:noWrap/>
            <w:vAlign w:val="center"/>
            <w:hideMark/>
          </w:tcPr>
          <w:p w14:paraId="7BE7182F"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c>
          <w:tcPr>
            <w:tcW w:w="567" w:type="dxa"/>
            <w:shd w:val="clear" w:color="auto" w:fill="auto"/>
            <w:noWrap/>
            <w:vAlign w:val="center"/>
            <w:hideMark/>
          </w:tcPr>
          <w:p w14:paraId="6B97C4EC"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c>
          <w:tcPr>
            <w:tcW w:w="1323" w:type="dxa"/>
            <w:shd w:val="clear" w:color="auto" w:fill="auto"/>
            <w:noWrap/>
            <w:vAlign w:val="center"/>
            <w:hideMark/>
          </w:tcPr>
          <w:p w14:paraId="386A89B2" w14:textId="77777777" w:rsidR="00CD3137" w:rsidRDefault="00CD3137" w:rsidP="00097EE2">
            <w:pPr>
              <w:jc w:val="center"/>
              <w:rPr>
                <w:rFonts w:ascii="Tahoma" w:hAnsi="Tahoma" w:cs="Tahoma"/>
                <w:color w:val="000000"/>
                <w:sz w:val="19"/>
                <w:szCs w:val="19"/>
              </w:rPr>
            </w:pPr>
            <w:r>
              <w:rPr>
                <w:rFonts w:ascii="Tahoma" w:hAnsi="Tahoma" w:cs="Tahoma"/>
                <w:color w:val="000000"/>
                <w:sz w:val="19"/>
                <w:szCs w:val="19"/>
              </w:rPr>
              <w:t>0</w:t>
            </w:r>
          </w:p>
        </w:tc>
      </w:tr>
    </w:tbl>
    <w:p w14:paraId="0AD5EA57" w14:textId="77777777" w:rsidR="00F76099" w:rsidRDefault="00F76099" w:rsidP="001F1F04">
      <w:pPr>
        <w:spacing w:before="120" w:after="120" w:line="360" w:lineRule="auto"/>
        <w:jc w:val="both"/>
        <w:rPr>
          <w:rFonts w:ascii="Tahoma" w:eastAsia="Calibri" w:hAnsi="Tahoma" w:cs="Tahoma"/>
          <w:sz w:val="19"/>
          <w:szCs w:val="19"/>
        </w:rPr>
      </w:pPr>
    </w:p>
    <w:p w14:paraId="72FD6508" w14:textId="04857CDC" w:rsidR="001F1F04" w:rsidRPr="001F6145" w:rsidRDefault="001F6145" w:rsidP="001F1F04">
      <w:pPr>
        <w:spacing w:before="120" w:after="120" w:line="360" w:lineRule="auto"/>
        <w:jc w:val="both"/>
        <w:rPr>
          <w:rFonts w:ascii="Tahoma" w:eastAsia="Calibri" w:hAnsi="Tahoma" w:cs="Tahoma"/>
          <w:sz w:val="19"/>
          <w:szCs w:val="19"/>
        </w:rPr>
      </w:pPr>
      <w:r w:rsidRPr="001F1F04">
        <w:rPr>
          <w:rFonts w:ascii="Tahoma" w:eastAsia="Calibri" w:hAnsi="Tahoma" w:cs="Tahoma"/>
          <w:noProof/>
          <w:sz w:val="19"/>
          <w:szCs w:val="19"/>
        </w:rPr>
        <w:drawing>
          <wp:anchor distT="0" distB="0" distL="114300" distR="114300" simplePos="0" relativeHeight="251849728" behindDoc="0" locked="0" layoutInCell="1" allowOverlap="1" wp14:anchorId="6A35983C" wp14:editId="1F3FBF25">
            <wp:simplePos x="0" y="0"/>
            <wp:positionH relativeFrom="column">
              <wp:posOffset>1730417</wp:posOffset>
            </wp:positionH>
            <wp:positionV relativeFrom="paragraph">
              <wp:posOffset>1093990</wp:posOffset>
            </wp:positionV>
            <wp:extent cx="2009775" cy="635809"/>
            <wp:effectExtent l="0" t="0" r="0" b="0"/>
            <wp:wrapSquare wrapText="bothSides"/>
            <wp:docPr id="112087979" name="Imagem 1" descr="Desenho de um círcul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7979" name="Imagem 1" descr="Desenho de um círculo&#10;&#10;Descrição gerada automaticamente com confiança baixa"/>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009775" cy="635809"/>
                    </a:xfrm>
                    <a:prstGeom prst="rect">
                      <a:avLst/>
                    </a:prstGeom>
                  </pic:spPr>
                </pic:pic>
              </a:graphicData>
            </a:graphic>
          </wp:anchor>
        </w:drawing>
      </w:r>
      <w:r w:rsidR="001F1F04" w:rsidRPr="001F1F04">
        <w:rPr>
          <w:rFonts w:ascii="Tahoma" w:eastAsia="Calibri" w:hAnsi="Tahoma" w:cs="Tahoma"/>
          <w:sz w:val="19"/>
          <w:szCs w:val="19"/>
        </w:rPr>
        <w:t>Em 2023</w:t>
      </w:r>
      <w:r>
        <w:rPr>
          <w:rFonts w:ascii="Tahoma" w:eastAsia="Calibri" w:hAnsi="Tahoma" w:cs="Tahoma"/>
          <w:sz w:val="19"/>
          <w:szCs w:val="19"/>
        </w:rPr>
        <w:t>,</w:t>
      </w:r>
      <w:r w:rsidR="001F1F04" w:rsidRPr="001F1F04">
        <w:rPr>
          <w:rFonts w:ascii="Tahoma" w:eastAsia="Calibri" w:hAnsi="Tahoma" w:cs="Tahoma"/>
          <w:sz w:val="19"/>
          <w:szCs w:val="19"/>
        </w:rPr>
        <w:t xml:space="preserve"> três terrenos localizados no bairro de Paraisópolis na cidade de São Paulo, outrora revertidos em favor da Finep por meio de execução de garantias em operações de crédito, que juntos somam cerca de 7 mil m², lograram formalizadas a proposição de doação à Secretaria de Patrimônio da União a fim de destiná-los para provisão de habitação de interesse social no âmbito do Programa Minha Casa Minha Vida. Esta iniciativa da Finep vai de encontro ao Programa de Democratização dos Imóveis da União iniciado pelo Governo Federal em 2023.</w:t>
      </w:r>
    </w:p>
    <w:p w14:paraId="7E19DA70" w14:textId="4EBEB07D" w:rsidR="001F1F04" w:rsidRPr="00A45386" w:rsidRDefault="001F1F04" w:rsidP="00A45386">
      <w:pPr>
        <w:spacing w:before="120" w:after="120" w:line="360" w:lineRule="auto"/>
        <w:rPr>
          <w:rFonts w:ascii="Tahoma" w:hAnsi="Tahoma" w:cs="Tahoma"/>
          <w:sz w:val="19"/>
          <w:szCs w:val="19"/>
        </w:rPr>
      </w:pPr>
    </w:p>
    <w:p w14:paraId="61FC185E" w14:textId="77777777" w:rsidR="001F6145" w:rsidRPr="00A45386" w:rsidRDefault="001F6145" w:rsidP="00A45386">
      <w:pPr>
        <w:spacing w:before="120" w:after="120" w:line="360" w:lineRule="auto"/>
        <w:rPr>
          <w:rFonts w:ascii="Tahoma" w:hAnsi="Tahoma" w:cs="Tahoma"/>
          <w:sz w:val="19"/>
          <w:szCs w:val="19"/>
        </w:rPr>
      </w:pPr>
    </w:p>
    <w:p w14:paraId="20FFB6C8" w14:textId="77777777" w:rsidR="001F1F04" w:rsidRPr="00A45386" w:rsidRDefault="001F1F04" w:rsidP="00A45386">
      <w:pPr>
        <w:spacing w:before="120" w:after="120" w:line="360" w:lineRule="auto"/>
        <w:rPr>
          <w:rFonts w:ascii="Tahoma" w:hAnsi="Tahoma" w:cs="Tahoma"/>
          <w:sz w:val="19"/>
          <w:szCs w:val="19"/>
        </w:rPr>
      </w:pPr>
    </w:p>
    <w:p w14:paraId="406C7DA4" w14:textId="77777777" w:rsidR="001F1F04" w:rsidRPr="001F1F04" w:rsidRDefault="001F1F04" w:rsidP="001F1F04">
      <w:pPr>
        <w:spacing w:before="120" w:after="120" w:line="360" w:lineRule="auto"/>
        <w:rPr>
          <w:rFonts w:ascii="Tahoma" w:hAnsi="Tahoma" w:cs="Tahoma"/>
          <w:sz w:val="19"/>
          <w:szCs w:val="19"/>
        </w:rPr>
      </w:pPr>
    </w:p>
    <w:p w14:paraId="74B6EB6C" w14:textId="2DD9E3A8" w:rsidR="00A45386" w:rsidRDefault="00A45386">
      <w:pPr>
        <w:autoSpaceDN w:val="0"/>
        <w:spacing w:after="160"/>
        <w:textAlignment w:val="baseline"/>
        <w:rPr>
          <w:rFonts w:ascii="Tahoma" w:hAnsi="Tahoma" w:cs="Tahoma"/>
          <w:sz w:val="19"/>
          <w:szCs w:val="19"/>
        </w:rPr>
      </w:pPr>
      <w:r>
        <w:rPr>
          <w:rFonts w:ascii="Tahoma" w:hAnsi="Tahoma" w:cs="Tahoma"/>
          <w:sz w:val="19"/>
          <w:szCs w:val="19"/>
        </w:rPr>
        <w:br w:type="page"/>
      </w:r>
    </w:p>
    <w:p w14:paraId="5A054AF3" w14:textId="486E4F42" w:rsidR="000D6D0A" w:rsidRPr="00254F4A" w:rsidRDefault="00BB0E07" w:rsidP="003D0607">
      <w:pPr>
        <w:pStyle w:val="Ttulo1"/>
        <w:spacing w:line="259" w:lineRule="auto"/>
        <w:ind w:left="432" w:hanging="432"/>
        <w:rPr>
          <w:rFonts w:ascii="YCBNULå¼«ArialMT" w:eastAsia="Calibri" w:hAnsi="YCBNULå¼«ArialMT"/>
          <w:sz w:val="22"/>
        </w:rPr>
      </w:pPr>
      <w:bookmarkStart w:id="265" w:name="_Toc65414091"/>
      <w:bookmarkStart w:id="266" w:name="_Toc65494343"/>
      <w:bookmarkStart w:id="267" w:name="_Toc93683653"/>
      <w:bookmarkStart w:id="268" w:name="_Toc94256492"/>
      <w:bookmarkStart w:id="269" w:name="_Toc94278217"/>
      <w:bookmarkStart w:id="270" w:name="_Toc97244824"/>
      <w:bookmarkStart w:id="271" w:name="_Toc105003812"/>
      <w:bookmarkStart w:id="272" w:name="_Toc105006495"/>
      <w:bookmarkStart w:id="273" w:name="_Toc131692261"/>
      <w:bookmarkStart w:id="274" w:name="_Toc163025276"/>
      <w:bookmarkStart w:id="275" w:name="_Toc162512612"/>
      <w:r w:rsidRPr="003D0607">
        <w:rPr>
          <w:rFonts w:ascii="Tahoma" w:eastAsiaTheme="majorEastAsia" w:hAnsi="Tahoma" w:cs="Tahoma"/>
          <w:color w:val="0098BA"/>
          <w:sz w:val="28"/>
          <w:szCs w:val="28"/>
          <w:lang w:eastAsia="en-US"/>
        </w:rPr>
        <w:lastRenderedPageBreak/>
        <w:t>Nossa Gestão</w:t>
      </w:r>
      <w:bookmarkEnd w:id="265"/>
      <w:bookmarkEnd w:id="266"/>
      <w:bookmarkEnd w:id="267"/>
      <w:bookmarkEnd w:id="268"/>
      <w:bookmarkEnd w:id="269"/>
      <w:bookmarkEnd w:id="270"/>
      <w:bookmarkEnd w:id="271"/>
      <w:bookmarkEnd w:id="272"/>
      <w:bookmarkEnd w:id="273"/>
      <w:bookmarkEnd w:id="274"/>
      <w:bookmarkEnd w:id="275"/>
    </w:p>
    <w:p w14:paraId="63E16303" w14:textId="59A295F9" w:rsidR="00DD437A" w:rsidRPr="00640044" w:rsidRDefault="00DD437A" w:rsidP="00DD437A">
      <w:pPr>
        <w:pBdr>
          <w:top w:val="single" w:sz="4" w:space="1" w:color="0098BA"/>
          <w:left w:val="single" w:sz="4" w:space="4" w:color="0098BA"/>
          <w:bottom w:val="single" w:sz="4" w:space="1" w:color="0098BA"/>
          <w:right w:val="single" w:sz="4" w:space="4" w:color="0098BA"/>
        </w:pBdr>
        <w:spacing w:before="120" w:after="120"/>
        <w:rPr>
          <w:rFonts w:ascii="Tahoma" w:hAnsi="Tahoma" w:cs="Tahoma"/>
          <w:color w:val="0098BA"/>
          <w:sz w:val="19"/>
          <w:szCs w:val="19"/>
        </w:rPr>
      </w:pPr>
      <w:r w:rsidRPr="002A0EA6">
        <w:rPr>
          <w:rFonts w:ascii="Tahoma" w:hAnsi="Tahoma" w:cs="Tahoma"/>
          <w:color w:val="0098BA"/>
          <w:sz w:val="19"/>
          <w:szCs w:val="19"/>
        </w:rPr>
        <w:t>GRI 2-</w:t>
      </w:r>
      <w:r w:rsidR="001C00F8">
        <w:rPr>
          <w:rFonts w:ascii="Tahoma" w:hAnsi="Tahoma" w:cs="Tahoma"/>
          <w:color w:val="0098BA"/>
          <w:sz w:val="19"/>
          <w:szCs w:val="19"/>
        </w:rPr>
        <w:t>25</w:t>
      </w:r>
    </w:p>
    <w:p w14:paraId="347000BF" w14:textId="77777777" w:rsidR="00DD437A" w:rsidRPr="00DD437A" w:rsidRDefault="00DD437A" w:rsidP="00DD437A">
      <w:pPr>
        <w:rPr>
          <w:rFonts w:eastAsia="Calibri"/>
        </w:rPr>
      </w:pPr>
    </w:p>
    <w:p w14:paraId="7971FA5E" w14:textId="77777777" w:rsidR="00997FA2" w:rsidRPr="00A45386" w:rsidRDefault="00997FA2" w:rsidP="00997FA2">
      <w:pPr>
        <w:pBdr>
          <w:top w:val="dotted" w:sz="4" w:space="1" w:color="7F7F7F"/>
          <w:left w:val="dotted" w:sz="4" w:space="4" w:color="7F7F7F"/>
          <w:bottom w:val="dotted" w:sz="4" w:space="1" w:color="7F7F7F"/>
          <w:right w:val="dotted" w:sz="4" w:space="4" w:color="7F7F7F"/>
        </w:pBdr>
        <w:spacing w:before="120" w:after="120"/>
        <w:rPr>
          <w:color w:val="0098BA"/>
          <w:sz w:val="22"/>
          <w:szCs w:val="22"/>
        </w:rPr>
      </w:pPr>
      <w:bookmarkStart w:id="276" w:name="_Toc65414092"/>
      <w:bookmarkStart w:id="277" w:name="_Toc65494344"/>
      <w:bookmarkStart w:id="278" w:name="_Toc93683654"/>
      <w:bookmarkStart w:id="279" w:name="_Toc94256493"/>
      <w:bookmarkStart w:id="280" w:name="_Toc94278218"/>
      <w:bookmarkStart w:id="281" w:name="_Toc97244825"/>
      <w:bookmarkStart w:id="282" w:name="_Toc65414093"/>
      <w:bookmarkStart w:id="283" w:name="_Toc65494345"/>
      <w:bookmarkStart w:id="284" w:name="_Toc93683655"/>
      <w:bookmarkStart w:id="285" w:name="_Toc94256494"/>
      <w:bookmarkStart w:id="286" w:name="_Toc94278219"/>
      <w:bookmarkStart w:id="287" w:name="_Toc97244826"/>
      <w:bookmarkStart w:id="288" w:name="_Toc105003814"/>
      <w:bookmarkStart w:id="289" w:name="_Toc105006497"/>
      <w:bookmarkStart w:id="290" w:name="_Toc131692263"/>
      <w:bookmarkStart w:id="291" w:name="_Toc94256496"/>
      <w:bookmarkStart w:id="292" w:name="_Toc94278221"/>
      <w:bookmarkStart w:id="293" w:name="_Toc97244828"/>
      <w:bookmarkStart w:id="294" w:name="_Toc105003816"/>
      <w:bookmarkStart w:id="295" w:name="_Toc105006499"/>
      <w:r w:rsidRPr="242E303B">
        <w:rPr>
          <w:rFonts w:ascii="Tahoma" w:hAnsi="Tahoma" w:cs="Tahoma"/>
          <w:color w:val="0098BA"/>
          <w:sz w:val="22"/>
          <w:szCs w:val="22"/>
        </w:rPr>
        <w:t>Direitos Humanos – Nosso compromisso</w:t>
      </w:r>
    </w:p>
    <w:p w14:paraId="249ECF67" w14:textId="77777777" w:rsidR="00997FA2" w:rsidRDefault="00997FA2" w:rsidP="00997FA2">
      <w:pPr>
        <w:pBdr>
          <w:top w:val="dotted" w:sz="4" w:space="1" w:color="7F7F7F"/>
          <w:left w:val="dotted" w:sz="4" w:space="4" w:color="7F7F7F"/>
          <w:bottom w:val="dotted" w:sz="4" w:space="1" w:color="7F7F7F"/>
          <w:right w:val="dotted" w:sz="4" w:space="4" w:color="7F7F7F"/>
        </w:pBdr>
        <w:spacing w:before="120" w:after="120"/>
      </w:pPr>
      <w:r>
        <w:rPr>
          <w:rFonts w:ascii="Tahoma" w:hAnsi="Tahoma"/>
          <w:sz w:val="18"/>
          <w:szCs w:val="18"/>
        </w:rPr>
        <w:t xml:space="preserve">A Finep valoriza e respeita os direitos humanos conforme os princípios expressos em </w:t>
      </w:r>
      <w:r w:rsidRPr="00C55857">
        <w:rPr>
          <w:rFonts w:ascii="Tahoma" w:hAnsi="Tahoma"/>
          <w:sz w:val="18"/>
          <w:szCs w:val="18"/>
        </w:rPr>
        <w:t>nossa Política de Responsabilidade Socioambiental, que orientam</w:t>
      </w:r>
      <w:r>
        <w:rPr>
          <w:rFonts w:ascii="Tahoma" w:hAnsi="Tahoma"/>
          <w:sz w:val="18"/>
          <w:szCs w:val="18"/>
        </w:rPr>
        <w:t xml:space="preserve"> a adoção de comportamento ético e íntegro, respeito pelos interesses das partes interessadas e pelos direitos humanos.</w:t>
      </w:r>
    </w:p>
    <w:p w14:paraId="7B876194" w14:textId="77777777" w:rsidR="00997FA2" w:rsidRDefault="00997FA2" w:rsidP="00997FA2">
      <w:pPr>
        <w:pBdr>
          <w:top w:val="dotted" w:sz="4" w:space="1" w:color="7F7F7F"/>
          <w:left w:val="dotted" w:sz="4" w:space="4" w:color="7F7F7F"/>
          <w:bottom w:val="dotted" w:sz="4" w:space="1" w:color="7F7F7F"/>
          <w:right w:val="dotted" w:sz="4" w:space="4" w:color="7F7F7F"/>
        </w:pBdr>
        <w:spacing w:before="120" w:after="120"/>
      </w:pPr>
      <w:r w:rsidRPr="009E5683">
        <w:rPr>
          <w:rFonts w:ascii="Tahoma" w:hAnsi="Tahoma"/>
          <w:sz w:val="18"/>
          <w:szCs w:val="18"/>
        </w:rPr>
        <w:t xml:space="preserve">Esta política expressa o compromisso público da Finep no respeito aos direitos humanos e sua observância é responsabilidade de todos os nossos colaboradores. Uma de suas diretrizes é o estímulo para que clientes, fornecedores, colaboradores e demais partes interessadas adotem práticas e valores éticos e socioambientais. </w:t>
      </w:r>
      <w:r w:rsidRPr="009E5683">
        <w:rPr>
          <w:rFonts w:ascii="Tahoma" w:hAnsi="Tahoma" w:cs="Tahoma"/>
          <w:sz w:val="18"/>
          <w:szCs w:val="18"/>
        </w:rPr>
        <w:t>(</w:t>
      </w:r>
      <w:hyperlink r:id="rId248">
        <w:r w:rsidRPr="009E5683">
          <w:rPr>
            <w:rStyle w:val="Hyperlink"/>
            <w:rFonts w:ascii="Tahoma" w:hAnsi="Tahoma" w:cs="Tahoma"/>
            <w:sz w:val="18"/>
            <w:szCs w:val="18"/>
          </w:rPr>
          <w:t>http://www.finep.gov.br/a-finep-externo/governanca/politicas</w:t>
        </w:r>
      </w:hyperlink>
      <w:r w:rsidRPr="009E5683">
        <w:rPr>
          <w:rFonts w:ascii="Tahoma" w:hAnsi="Tahoma" w:cs="Tahoma"/>
          <w:sz w:val="18"/>
          <w:szCs w:val="18"/>
        </w:rPr>
        <w:t>).</w:t>
      </w:r>
    </w:p>
    <w:p w14:paraId="13B76FB1" w14:textId="77777777" w:rsidR="00997FA2" w:rsidRDefault="00997FA2" w:rsidP="00997FA2">
      <w:pPr>
        <w:pBdr>
          <w:top w:val="dotted" w:sz="4" w:space="1" w:color="7F7F7F"/>
          <w:left w:val="dotted" w:sz="4" w:space="4" w:color="7F7F7F"/>
          <w:bottom w:val="dotted" w:sz="4" w:space="1" w:color="7F7F7F"/>
          <w:right w:val="dotted" w:sz="4" w:space="4" w:color="7F7F7F"/>
        </w:pBdr>
        <w:spacing w:before="120" w:after="120"/>
      </w:pPr>
      <w:r w:rsidRPr="006C1650">
        <w:rPr>
          <w:rFonts w:ascii="Tahoma" w:hAnsi="Tahoma"/>
          <w:sz w:val="18"/>
          <w:szCs w:val="18"/>
        </w:rPr>
        <w:t xml:space="preserve">Como </w:t>
      </w:r>
      <w:r w:rsidRPr="009E5683">
        <w:rPr>
          <w:rFonts w:ascii="Tahoma" w:hAnsi="Tahoma"/>
          <w:sz w:val="18"/>
          <w:szCs w:val="18"/>
        </w:rPr>
        <w:t>mais uma demonstração</w:t>
      </w:r>
      <w:r w:rsidRPr="006C1650">
        <w:rPr>
          <w:rFonts w:ascii="Tahoma" w:hAnsi="Tahoma"/>
          <w:sz w:val="18"/>
          <w:szCs w:val="18"/>
        </w:rPr>
        <w:t xml:space="preserve"> </w:t>
      </w:r>
      <w:r w:rsidRPr="009E5683">
        <w:rPr>
          <w:rFonts w:ascii="Tahoma" w:hAnsi="Tahoma"/>
          <w:sz w:val="18"/>
          <w:szCs w:val="18"/>
        </w:rPr>
        <w:t>d</w:t>
      </w:r>
      <w:r w:rsidRPr="006C1650">
        <w:rPr>
          <w:rFonts w:ascii="Tahoma" w:hAnsi="Tahoma"/>
          <w:sz w:val="18"/>
          <w:szCs w:val="18"/>
        </w:rPr>
        <w:t xml:space="preserve">esse compromisso, em 2023, a Finep se filiou ao Pacto Global da ONU, </w:t>
      </w:r>
      <w:r w:rsidRPr="009E5683">
        <w:rPr>
          <w:rFonts w:ascii="Tahoma" w:eastAsia="Tahoma" w:hAnsi="Tahoma" w:cs="Tahoma"/>
          <w:sz w:val="18"/>
          <w:szCs w:val="18"/>
        </w:rPr>
        <w:t xml:space="preserve">maior iniciativa de sustentabilidade corporativa do mundo, que propõe que as empresas alinhem suas estratégias e operações aos 10 princípios propagados pela ONU assentados nos pilares de Direitos Humanos, Trabalho, Meio Ambiente e Anticorrupção. </w:t>
      </w:r>
    </w:p>
    <w:p w14:paraId="7F4495C4" w14:textId="77777777" w:rsidR="00997FA2" w:rsidRDefault="00997FA2" w:rsidP="00997FA2">
      <w:pPr>
        <w:pBdr>
          <w:top w:val="dotted" w:sz="4" w:space="1" w:color="7F7F7F"/>
          <w:left w:val="dotted" w:sz="4" w:space="4" w:color="7F7F7F"/>
          <w:bottom w:val="dotted" w:sz="4" w:space="1" w:color="7F7F7F"/>
          <w:right w:val="dotted" w:sz="4" w:space="4" w:color="7F7F7F"/>
        </w:pBdr>
        <w:spacing w:before="120" w:after="120"/>
      </w:pPr>
      <w:r w:rsidRPr="009E5683">
        <w:rPr>
          <w:rFonts w:ascii="Tahoma" w:hAnsi="Tahoma"/>
          <w:sz w:val="18"/>
          <w:szCs w:val="18"/>
        </w:rPr>
        <w:t xml:space="preserve">Contamos também com o </w:t>
      </w:r>
      <w:hyperlink r:id="rId249">
        <w:r w:rsidRPr="009E5683">
          <w:rPr>
            <w:rStyle w:val="Hyperlink"/>
            <w:rFonts w:ascii="Tahoma" w:hAnsi="Tahoma"/>
            <w:sz w:val="18"/>
            <w:szCs w:val="18"/>
          </w:rPr>
          <w:t>Código de Ética, Conduta e Integridade</w:t>
        </w:r>
      </w:hyperlink>
      <w:r w:rsidRPr="009E5683">
        <w:rPr>
          <w:rFonts w:ascii="Tahoma" w:hAnsi="Tahoma"/>
          <w:sz w:val="18"/>
          <w:szCs w:val="18"/>
        </w:rPr>
        <w:t>, que traz em seus princípios, valores e compromissos, orientação para que os colaboradores da Finep baseiem seu comportamento e atuação pelo respeito à vida e à dignidade humana, dispensando a todas as pessoas tratamento equânime, sem preconceitos de origem social, cultural, étnica ou relativos a gênero, idade, religião, opinião política, orientação sexual, condição física, nem qualquer outra forma de discriminação</w:t>
      </w:r>
      <w:r w:rsidRPr="009E5683">
        <w:rPr>
          <w:rFonts w:ascii="Tahoma" w:hAnsi="Tahoma" w:cs="Tahoma"/>
          <w:sz w:val="18"/>
          <w:szCs w:val="18"/>
        </w:rPr>
        <w:t>.</w:t>
      </w:r>
    </w:p>
    <w:p w14:paraId="05327073" w14:textId="77777777" w:rsidR="00997FA2" w:rsidRDefault="00997FA2" w:rsidP="00997FA2">
      <w:pPr>
        <w:pBdr>
          <w:top w:val="dotted" w:sz="4" w:space="1" w:color="7F7F7F"/>
          <w:left w:val="dotted" w:sz="4" w:space="4" w:color="7F7F7F"/>
          <w:bottom w:val="dotted" w:sz="4" w:space="1" w:color="7F7F7F"/>
          <w:right w:val="dotted" w:sz="4" w:space="4" w:color="7F7F7F"/>
        </w:pBdr>
        <w:spacing w:before="120" w:after="120"/>
      </w:pPr>
      <w:r>
        <w:rPr>
          <w:rFonts w:ascii="Tahoma" w:hAnsi="Tahoma" w:cs="Tahoma"/>
          <w:sz w:val="18"/>
          <w:szCs w:val="18"/>
        </w:rPr>
        <w:t xml:space="preserve">Temos ainda na Ouvidoria um canal institucional para tratamento de </w:t>
      </w:r>
      <w:r>
        <w:rPr>
          <w:rFonts w:ascii="Tahoma" w:hAnsi="Tahoma"/>
          <w:sz w:val="18"/>
          <w:szCs w:val="18"/>
        </w:rPr>
        <w:t xml:space="preserve">manifestações que digam respeito à violação de direitos humanos. Anualmente, a Ouvidoria apresenta relatório ao Conselho de Administração sobre suas atividades e sobre as manifestações recebidas. O Relatório da Ouvidoria é divulgado no site da </w:t>
      </w:r>
      <w:r>
        <w:rPr>
          <w:rFonts w:ascii="Tahoma" w:hAnsi="Tahoma" w:cs="Tahoma"/>
          <w:sz w:val="18"/>
          <w:szCs w:val="18"/>
        </w:rPr>
        <w:t xml:space="preserve">Finep em </w:t>
      </w:r>
      <w:hyperlink r:id="rId250" w:history="1">
        <w:r>
          <w:rPr>
            <w:rStyle w:val="Hyperlink"/>
            <w:rFonts w:ascii="Tahoma" w:hAnsi="Tahoma" w:cs="Tahoma"/>
            <w:sz w:val="18"/>
            <w:szCs w:val="18"/>
          </w:rPr>
          <w:t>http://finep.gov.br/a-finep-externo/ouvidoria</w:t>
        </w:r>
      </w:hyperlink>
      <w:r>
        <w:rPr>
          <w:rFonts w:ascii="Tahoma" w:hAnsi="Tahoma" w:cs="Tahoma"/>
          <w:sz w:val="18"/>
          <w:szCs w:val="18"/>
        </w:rPr>
        <w:t>.</w:t>
      </w:r>
    </w:p>
    <w:p w14:paraId="7B10A325" w14:textId="77777777" w:rsidR="00997FA2" w:rsidRDefault="00997FA2" w:rsidP="00997FA2">
      <w:pPr>
        <w:pBdr>
          <w:top w:val="dotted" w:sz="4" w:space="1" w:color="7F7F7F"/>
          <w:left w:val="dotted" w:sz="4" w:space="4" w:color="7F7F7F"/>
          <w:bottom w:val="dotted" w:sz="4" w:space="1" w:color="7F7F7F"/>
          <w:right w:val="dotted" w:sz="4" w:space="4" w:color="7F7F7F"/>
        </w:pBdr>
        <w:spacing w:before="120" w:after="120"/>
        <w:rPr>
          <w:rFonts w:ascii="Tahoma" w:hAnsi="Tahoma"/>
          <w:sz w:val="18"/>
          <w:szCs w:val="18"/>
        </w:rPr>
      </w:pPr>
      <w:r>
        <w:rPr>
          <w:rFonts w:ascii="Tahoma" w:hAnsi="Tahoma"/>
          <w:sz w:val="18"/>
          <w:szCs w:val="18"/>
        </w:rPr>
        <w:t xml:space="preserve">Além disso, na página da Ouvidoria no sítio eletrônico da Finep há seção específica </w:t>
      </w:r>
      <w:r w:rsidRPr="00C55857">
        <w:rPr>
          <w:rFonts w:ascii="Tahoma" w:hAnsi="Tahoma"/>
          <w:sz w:val="18"/>
          <w:szCs w:val="18"/>
        </w:rPr>
        <w:t xml:space="preserve">sobre canal de denúncias, </w:t>
      </w:r>
      <w:r>
        <w:rPr>
          <w:rFonts w:ascii="Tahoma" w:hAnsi="Tahoma"/>
          <w:sz w:val="18"/>
          <w:szCs w:val="18"/>
        </w:rPr>
        <w:t>que deixa explícita a possibilidade de apresentação de denúncias relativas à violação de direitos humanos, em atendimento ao Decreto 9.571/2018, que estabelece as Diretrizes Nacionais sobre Empresas e Direitos Humanos. Essas informações também estão disponíveis para todos os colaboradores na intranet da Finep.</w:t>
      </w:r>
    </w:p>
    <w:p w14:paraId="484FCB8F" w14:textId="77777777" w:rsidR="00997FA2" w:rsidRDefault="00997FA2" w:rsidP="00997FA2">
      <w:pPr>
        <w:spacing w:before="120" w:after="120" w:line="360" w:lineRule="auto"/>
        <w:rPr>
          <w:rFonts w:ascii="Tahoma" w:hAnsi="Tahoma" w:cs="Tahoma"/>
          <w:sz w:val="19"/>
          <w:szCs w:val="19"/>
        </w:rPr>
      </w:pPr>
    </w:p>
    <w:p w14:paraId="38411660" w14:textId="77777777" w:rsidR="00997FA2" w:rsidRDefault="00997FA2" w:rsidP="00997FA2">
      <w:pPr>
        <w:spacing w:before="120" w:after="120" w:line="360" w:lineRule="auto"/>
        <w:rPr>
          <w:rFonts w:ascii="Tahoma" w:hAnsi="Tahoma" w:cs="Tahoma"/>
          <w:sz w:val="19"/>
          <w:szCs w:val="19"/>
        </w:rPr>
      </w:pPr>
    </w:p>
    <w:p w14:paraId="34042A28" w14:textId="77777777" w:rsidR="00997FA2" w:rsidRPr="006C1650" w:rsidRDefault="00997FA2" w:rsidP="00997FA2">
      <w:pPr>
        <w:pStyle w:val="Ttulo2"/>
        <w:spacing w:before="0" w:after="120" w:line="360" w:lineRule="auto"/>
        <w:ind w:left="862" w:hanging="578"/>
        <w:rPr>
          <w:rFonts w:ascii="Tahoma" w:eastAsia="Calibri" w:hAnsi="Tahoma" w:cs="Tahoma"/>
          <w:color w:val="0098BA"/>
          <w:sz w:val="19"/>
          <w:szCs w:val="19"/>
        </w:rPr>
      </w:pPr>
      <w:bookmarkStart w:id="296" w:name="_Toc105003813"/>
      <w:bookmarkStart w:id="297" w:name="_Toc105006496"/>
      <w:bookmarkStart w:id="298" w:name="_Toc131692262"/>
      <w:bookmarkStart w:id="299" w:name="_Toc163025277"/>
      <w:bookmarkStart w:id="300" w:name="_Toc162512613"/>
      <w:r w:rsidRPr="009E5683">
        <w:rPr>
          <w:rFonts w:ascii="Tahoma" w:hAnsi="Tahoma" w:cs="Tahoma"/>
          <w:color w:val="0098BA"/>
          <w:sz w:val="24"/>
          <w:szCs w:val="24"/>
        </w:rPr>
        <w:t>Pessoas</w:t>
      </w:r>
      <w:bookmarkEnd w:id="276"/>
      <w:bookmarkEnd w:id="277"/>
      <w:bookmarkEnd w:id="278"/>
      <w:bookmarkEnd w:id="279"/>
      <w:bookmarkEnd w:id="280"/>
      <w:bookmarkEnd w:id="281"/>
      <w:bookmarkEnd w:id="296"/>
      <w:bookmarkEnd w:id="297"/>
      <w:bookmarkEnd w:id="298"/>
      <w:bookmarkEnd w:id="299"/>
      <w:bookmarkEnd w:id="300"/>
    </w:p>
    <w:p w14:paraId="1ED20CBC" w14:textId="77777777" w:rsidR="00997FA2" w:rsidRDefault="00997FA2" w:rsidP="00997FA2">
      <w:pPr>
        <w:spacing w:before="120" w:after="120" w:line="360" w:lineRule="auto"/>
        <w:rPr>
          <w:rFonts w:ascii="Tahoma" w:hAnsi="Tahoma" w:cs="Tahoma"/>
          <w:color w:val="0098BA"/>
          <w:sz w:val="19"/>
          <w:szCs w:val="19"/>
        </w:rPr>
      </w:pPr>
      <w:r>
        <w:rPr>
          <w:rFonts w:ascii="Tahoma" w:hAnsi="Tahoma" w:cs="Tahoma"/>
          <w:color w:val="0098BA"/>
          <w:sz w:val="19"/>
          <w:szCs w:val="19"/>
        </w:rPr>
        <w:t>Valorização das Pessoas</w:t>
      </w:r>
    </w:p>
    <w:p w14:paraId="7B3F57B8" w14:textId="77777777" w:rsidR="00997FA2" w:rsidRPr="00C04CDB" w:rsidRDefault="00997FA2" w:rsidP="00997FA2">
      <w:pPr>
        <w:spacing w:before="120" w:after="120" w:line="360" w:lineRule="auto"/>
        <w:rPr>
          <w:rFonts w:ascii="Tahoma" w:hAnsi="Tahoma" w:cs="Tahoma"/>
          <w:sz w:val="19"/>
          <w:szCs w:val="19"/>
        </w:rPr>
      </w:pPr>
      <w:r w:rsidRPr="009E5683">
        <w:rPr>
          <w:rFonts w:ascii="Tahoma" w:hAnsi="Tahoma" w:cs="Tahoma"/>
          <w:sz w:val="19"/>
          <w:szCs w:val="19"/>
        </w:rPr>
        <w:t>Um dos marcos relevantes na nossa gestão em 2023 foi o fortalecimento do diálogo com o corpo funcional no sentido de valorização das pessoas e melhoria do clima organizacional. Observou-se uma intensificação da participação de empregados da Finep em diversos fóruns internos e externos. Fóruns internos como o CPLAN – Comitê de Planejamento, a CIS – Comissão Interna de Saúde e a CPART – Comissão Paritária para Aprimoramento das Relações de Trabalho da Finep voltaram a se reunir depois de anos desativados.</w:t>
      </w:r>
    </w:p>
    <w:p w14:paraId="48151C5D" w14:textId="77777777" w:rsidR="00997FA2" w:rsidRPr="00C04CDB" w:rsidRDefault="00997FA2" w:rsidP="00997FA2">
      <w:pPr>
        <w:spacing w:before="120" w:after="120" w:line="360" w:lineRule="auto"/>
        <w:rPr>
          <w:rFonts w:ascii="Tahoma" w:hAnsi="Tahoma" w:cs="Tahoma"/>
          <w:sz w:val="19"/>
          <w:szCs w:val="19"/>
        </w:rPr>
      </w:pPr>
      <w:r w:rsidRPr="009E5683">
        <w:rPr>
          <w:rFonts w:ascii="Tahoma" w:hAnsi="Tahoma" w:cs="Tahoma"/>
          <w:sz w:val="19"/>
          <w:szCs w:val="19"/>
        </w:rPr>
        <w:t>Externamente, além dos fóruns que a Finep já participava, a empresa passou a integrar o Comitê Interno de Governança do MCTI – CIG, o Conselho Consultivo da 5º Conferência Nacional de CT&amp;I, bem como o Pacto Global da ONU – Organização das Nações Unidas.</w:t>
      </w:r>
    </w:p>
    <w:p w14:paraId="6CEDF2A0" w14:textId="77777777" w:rsidR="00997FA2" w:rsidRPr="00C04CDB" w:rsidRDefault="00997FA2" w:rsidP="00997FA2">
      <w:pPr>
        <w:spacing w:before="120" w:after="120" w:line="360" w:lineRule="auto"/>
        <w:jc w:val="both"/>
        <w:rPr>
          <w:rFonts w:ascii="Tahoma" w:hAnsi="Tahoma" w:cs="Tahoma"/>
          <w:sz w:val="19"/>
          <w:szCs w:val="19"/>
        </w:rPr>
      </w:pPr>
      <w:r w:rsidRPr="009E5683">
        <w:rPr>
          <w:rFonts w:ascii="Tahoma" w:hAnsi="Tahoma" w:cs="Tahoma"/>
          <w:sz w:val="19"/>
          <w:szCs w:val="19"/>
        </w:rPr>
        <w:t>Com o objetivo de dar voz às questões femininas</w:t>
      </w:r>
      <w:r>
        <w:rPr>
          <w:rFonts w:ascii="Tahoma" w:hAnsi="Tahoma" w:cs="Tahoma"/>
          <w:sz w:val="19"/>
          <w:szCs w:val="19"/>
        </w:rPr>
        <w:t>,</w:t>
      </w:r>
      <w:r w:rsidRPr="009E5683">
        <w:rPr>
          <w:rFonts w:ascii="Tahoma" w:hAnsi="Tahoma" w:cs="Tahoma"/>
          <w:sz w:val="19"/>
          <w:szCs w:val="19"/>
        </w:rPr>
        <w:t xml:space="preserve"> foi lançado o </w:t>
      </w:r>
      <w:r w:rsidRPr="009E5683">
        <w:rPr>
          <w:rFonts w:ascii="Tahoma" w:hAnsi="Tahoma" w:cs="Tahoma"/>
          <w:color w:val="0098BA"/>
          <w:sz w:val="19"/>
          <w:szCs w:val="19"/>
        </w:rPr>
        <w:t>Programa Todos por Elas</w:t>
      </w:r>
      <w:r w:rsidRPr="009E5683">
        <w:rPr>
          <w:rFonts w:ascii="Tahoma" w:hAnsi="Tahoma" w:cs="Tahoma"/>
          <w:sz w:val="19"/>
          <w:szCs w:val="19"/>
        </w:rPr>
        <w:t>. O programa é uma iniciativa de escuta, debate e busca de possíveis soluções para a promoção da equidade de gênero e para as questões de dificuldades enfrentadas pelas mulheres no ambiente de trabalho e na vida em geral.</w:t>
      </w:r>
      <w:r>
        <w:rPr>
          <w:rFonts w:ascii="Tahoma" w:hAnsi="Tahoma" w:cs="Tahoma"/>
          <w:sz w:val="19"/>
          <w:szCs w:val="19"/>
        </w:rPr>
        <w:t xml:space="preserve"> </w:t>
      </w:r>
      <w:r>
        <w:rPr>
          <w:rFonts w:ascii="Tahoma" w:hAnsi="Tahoma" w:cs="Tahoma"/>
          <w:sz w:val="19"/>
          <w:szCs w:val="19"/>
        </w:rPr>
        <w:lastRenderedPageBreak/>
        <w:t>Adicionalmente, foi criado um grupo de trabalho para propor melhorias para reduzir as desigualdades de gênero na empresa.</w:t>
      </w:r>
    </w:p>
    <w:p w14:paraId="7F81D1F7" w14:textId="3F8B4A56" w:rsidR="00997FA2" w:rsidRPr="00C04CDB" w:rsidRDefault="00997FA2" w:rsidP="00997FA2">
      <w:pPr>
        <w:shd w:val="clear" w:color="auto" w:fill="FFFFFF" w:themeFill="background1"/>
        <w:spacing w:before="165" w:after="165" w:line="360" w:lineRule="auto"/>
        <w:rPr>
          <w:rFonts w:ascii="Tahoma" w:hAnsi="Tahoma" w:cs="Tahoma"/>
          <w:sz w:val="19"/>
          <w:szCs w:val="19"/>
        </w:rPr>
      </w:pPr>
      <w:r w:rsidRPr="009E5683">
        <w:rPr>
          <w:rFonts w:ascii="Tahoma" w:hAnsi="Tahoma" w:cs="Tahoma"/>
          <w:sz w:val="19"/>
          <w:szCs w:val="19"/>
        </w:rPr>
        <w:t>No âmbito do PCG</w:t>
      </w:r>
      <w:r w:rsidRPr="00BF3B20">
        <w:rPr>
          <w:rFonts w:ascii="Tahoma" w:hAnsi="Tahoma" w:cs="Tahoma"/>
          <w:sz w:val="19"/>
          <w:szCs w:val="19"/>
        </w:rPr>
        <w:t xml:space="preserve"> (</w:t>
      </w:r>
      <w:r w:rsidRPr="006C1650">
        <w:rPr>
          <w:rFonts w:ascii="Tahoma" w:hAnsi="Tahoma" w:cs="Tahoma"/>
          <w:color w:val="0098BA"/>
          <w:sz w:val="19"/>
          <w:szCs w:val="19"/>
        </w:rPr>
        <w:t>Plano de Cargos em Comissão e Funções Gratificadas</w:t>
      </w:r>
      <w:r w:rsidRPr="009E5683">
        <w:rPr>
          <w:rFonts w:ascii="Tahoma" w:hAnsi="Tahoma" w:cs="Tahoma"/>
          <w:sz w:val="19"/>
          <w:szCs w:val="19"/>
        </w:rPr>
        <w:t xml:space="preserve">), a Finep alterou o requisito mínimo para o cargo de coordenador para Assistente I, de modo que pessoas da carreira de nível médio pudessem </w:t>
      </w:r>
      <w:r w:rsidR="00281E55" w:rsidRPr="12C0A91C">
        <w:rPr>
          <w:rFonts w:ascii="Tahoma" w:hAnsi="Tahoma" w:cs="Tahoma"/>
          <w:sz w:val="19"/>
          <w:szCs w:val="19"/>
        </w:rPr>
        <w:t>ascender</w:t>
      </w:r>
      <w:r w:rsidRPr="009E5683">
        <w:rPr>
          <w:rFonts w:ascii="Tahoma" w:hAnsi="Tahoma" w:cs="Tahoma"/>
          <w:sz w:val="19"/>
          <w:szCs w:val="19"/>
        </w:rPr>
        <w:t xml:space="preserve"> a esse cargo.</w:t>
      </w:r>
    </w:p>
    <w:p w14:paraId="3260FC06" w14:textId="77777777" w:rsidR="00997FA2" w:rsidRPr="00C04CDB" w:rsidRDefault="00997FA2" w:rsidP="00997FA2">
      <w:pPr>
        <w:shd w:val="clear" w:color="auto" w:fill="FFFFFF" w:themeFill="background1"/>
        <w:spacing w:before="165" w:after="165" w:line="360" w:lineRule="auto"/>
        <w:rPr>
          <w:rFonts w:ascii="Tahoma" w:hAnsi="Tahoma" w:cs="Tahoma"/>
          <w:noProof/>
          <w:sz w:val="19"/>
          <w:szCs w:val="19"/>
        </w:rPr>
      </w:pPr>
      <w:r w:rsidRPr="009E5683">
        <w:rPr>
          <w:rFonts w:ascii="Tahoma" w:hAnsi="Tahoma" w:cs="Tahoma"/>
          <w:sz w:val="19"/>
          <w:szCs w:val="19"/>
        </w:rPr>
        <w:t xml:space="preserve">Em 2023, também foi criado um grupo de trabalho para avaliar a </w:t>
      </w:r>
      <w:r>
        <w:rPr>
          <w:rFonts w:ascii="Tahoma" w:hAnsi="Tahoma" w:cs="Tahoma"/>
          <w:sz w:val="19"/>
          <w:szCs w:val="19"/>
        </w:rPr>
        <w:t>M</w:t>
      </w:r>
      <w:r w:rsidRPr="009E5683">
        <w:rPr>
          <w:rFonts w:ascii="Tahoma" w:hAnsi="Tahoma" w:cs="Tahoma"/>
          <w:sz w:val="19"/>
          <w:szCs w:val="19"/>
        </w:rPr>
        <w:t xml:space="preserve">etodologia do </w:t>
      </w:r>
      <w:r>
        <w:rPr>
          <w:rFonts w:ascii="Tahoma" w:hAnsi="Tahoma" w:cs="Tahoma"/>
          <w:sz w:val="19"/>
          <w:szCs w:val="19"/>
        </w:rPr>
        <w:t>P</w:t>
      </w:r>
      <w:r w:rsidRPr="009E5683">
        <w:rPr>
          <w:rFonts w:ascii="Tahoma" w:hAnsi="Tahoma" w:cs="Tahoma"/>
          <w:sz w:val="19"/>
          <w:szCs w:val="19"/>
        </w:rPr>
        <w:t xml:space="preserve">rocesso </w:t>
      </w:r>
      <w:r w:rsidRPr="006C1650">
        <w:rPr>
          <w:rFonts w:ascii="Tahoma" w:hAnsi="Tahoma" w:cs="Tahoma"/>
          <w:color w:val="0098BA"/>
          <w:sz w:val="19"/>
          <w:szCs w:val="19"/>
        </w:rPr>
        <w:t xml:space="preserve">de </w:t>
      </w:r>
      <w:r>
        <w:rPr>
          <w:rFonts w:ascii="Tahoma" w:hAnsi="Tahoma" w:cs="Tahoma"/>
          <w:color w:val="0098BA"/>
          <w:sz w:val="19"/>
          <w:szCs w:val="19"/>
        </w:rPr>
        <w:t>P</w:t>
      </w:r>
      <w:r w:rsidRPr="006C1650">
        <w:rPr>
          <w:rFonts w:ascii="Tahoma" w:hAnsi="Tahoma" w:cs="Tahoma"/>
          <w:color w:val="0098BA"/>
          <w:sz w:val="19"/>
          <w:szCs w:val="19"/>
        </w:rPr>
        <w:t xml:space="preserve">romoção </w:t>
      </w:r>
      <w:r>
        <w:rPr>
          <w:rFonts w:ascii="Tahoma" w:hAnsi="Tahoma" w:cs="Tahoma"/>
          <w:color w:val="0098BA"/>
          <w:sz w:val="19"/>
          <w:szCs w:val="19"/>
        </w:rPr>
        <w:t>F</w:t>
      </w:r>
      <w:r w:rsidRPr="006C1650">
        <w:rPr>
          <w:rFonts w:ascii="Tahoma" w:hAnsi="Tahoma" w:cs="Tahoma"/>
          <w:color w:val="0098BA"/>
          <w:sz w:val="19"/>
          <w:szCs w:val="19"/>
        </w:rPr>
        <w:t>uncional</w:t>
      </w:r>
      <w:r w:rsidRPr="009E5683">
        <w:rPr>
          <w:rFonts w:ascii="Tahoma" w:hAnsi="Tahoma" w:cs="Tahoma"/>
          <w:sz w:val="19"/>
          <w:szCs w:val="19"/>
        </w:rPr>
        <w:t xml:space="preserve"> a fim de aperfeiçoá-lo, especialmente considerando a valorização da carreira de nível médio, de modo a promover a perenidade do processo, reconhecer o esforço dos colaboradores por meio da valorização do profissional interno e do encarreiramento sustentável, bem como promover a equidade na distribuição dos recursos. </w:t>
      </w:r>
    </w:p>
    <w:p w14:paraId="4DB13F6E" w14:textId="77777777" w:rsidR="00997FA2" w:rsidRPr="00C04CDB" w:rsidRDefault="00997FA2" w:rsidP="00997FA2">
      <w:pPr>
        <w:shd w:val="clear" w:color="auto" w:fill="FFFFFF" w:themeFill="background1"/>
        <w:spacing w:before="165" w:after="165" w:line="360" w:lineRule="auto"/>
        <w:rPr>
          <w:rFonts w:ascii="Tahoma" w:hAnsi="Tahoma" w:cs="Tahoma"/>
          <w:noProof/>
          <w:sz w:val="19"/>
          <w:szCs w:val="19"/>
        </w:rPr>
      </w:pPr>
      <w:r>
        <w:rPr>
          <w:rFonts w:ascii="Tahoma" w:hAnsi="Tahoma" w:cs="Tahoma"/>
          <w:sz w:val="19"/>
          <w:szCs w:val="19"/>
        </w:rPr>
        <w:t>F</w:t>
      </w:r>
      <w:r w:rsidRPr="009E5683">
        <w:rPr>
          <w:rFonts w:ascii="Tahoma" w:hAnsi="Tahoma" w:cs="Tahoma"/>
          <w:sz w:val="19"/>
          <w:szCs w:val="19"/>
        </w:rPr>
        <w:t xml:space="preserve">oi estruturado </w:t>
      </w:r>
      <w:r>
        <w:rPr>
          <w:rFonts w:ascii="Tahoma" w:hAnsi="Tahoma" w:cs="Tahoma"/>
          <w:sz w:val="19"/>
          <w:szCs w:val="19"/>
        </w:rPr>
        <w:t xml:space="preserve">ainda </w:t>
      </w:r>
      <w:r w:rsidRPr="009E5683">
        <w:rPr>
          <w:rFonts w:ascii="Tahoma" w:hAnsi="Tahoma" w:cs="Tahoma"/>
          <w:sz w:val="19"/>
          <w:szCs w:val="19"/>
        </w:rPr>
        <w:t>o</w:t>
      </w:r>
      <w:r w:rsidRPr="009E5683">
        <w:rPr>
          <w:rFonts w:ascii="Tahoma" w:hAnsi="Tahoma" w:cs="Tahoma"/>
          <w:b/>
          <w:bCs/>
          <w:sz w:val="19"/>
          <w:szCs w:val="19"/>
        </w:rPr>
        <w:t xml:space="preserve"> </w:t>
      </w:r>
      <w:r w:rsidRPr="009E5683">
        <w:rPr>
          <w:rFonts w:ascii="Tahoma" w:hAnsi="Tahoma" w:cs="Tahoma"/>
          <w:color w:val="0098BA"/>
          <w:sz w:val="19"/>
          <w:szCs w:val="19"/>
        </w:rPr>
        <w:t>Plano de Comunicação de Combate e Prevenção ao Assédio</w:t>
      </w:r>
      <w:r w:rsidRPr="009E5683">
        <w:rPr>
          <w:rFonts w:ascii="Tahoma" w:hAnsi="Tahoma" w:cs="Tahoma"/>
          <w:sz w:val="19"/>
          <w:szCs w:val="19"/>
        </w:rPr>
        <w:t xml:space="preserve"> a partir de trabalho conjunto entre a Área de Gestão de Pessoas, Ouvidoria, Área de Correição, Comissão de Ética, Comunicação e CIPA. O plano apresenta diversas ações em seu escopo, dentre elas, reuniões de sensibilização, capacitações, distribuição de materiais educativos e de comunicação interna, e disponibilização de canais permanentes de escuta. A </w:t>
      </w:r>
      <w:r>
        <w:rPr>
          <w:rFonts w:ascii="Tahoma" w:hAnsi="Tahoma" w:cs="Tahoma"/>
          <w:sz w:val="19"/>
          <w:szCs w:val="19"/>
        </w:rPr>
        <w:t>c</w:t>
      </w:r>
      <w:r w:rsidRPr="009E5683">
        <w:rPr>
          <w:rFonts w:ascii="Tahoma" w:hAnsi="Tahoma" w:cs="Tahoma"/>
          <w:sz w:val="19"/>
          <w:szCs w:val="19"/>
        </w:rPr>
        <w:t>ampanha faz parte de um conjunto de pilares que estamos reforçando para prevenir e combater o assédio moral e sexual</w:t>
      </w:r>
      <w:r>
        <w:rPr>
          <w:rFonts w:ascii="Tahoma" w:hAnsi="Tahoma" w:cs="Tahoma"/>
          <w:sz w:val="19"/>
          <w:szCs w:val="19"/>
        </w:rPr>
        <w:t>.</w:t>
      </w:r>
    </w:p>
    <w:p w14:paraId="23DB4338" w14:textId="77777777" w:rsidR="00997FA2" w:rsidRPr="00900043" w:rsidRDefault="00997FA2" w:rsidP="00997FA2">
      <w:pPr>
        <w:spacing w:before="120" w:after="120" w:line="360" w:lineRule="auto"/>
        <w:jc w:val="both"/>
        <w:rPr>
          <w:rFonts w:ascii="Tahoma" w:hAnsi="Tahoma" w:cs="Tahoma"/>
          <w:sz w:val="19"/>
          <w:szCs w:val="19"/>
        </w:rPr>
      </w:pPr>
      <w:r w:rsidRPr="009E5683">
        <w:rPr>
          <w:rFonts w:ascii="Tahoma" w:hAnsi="Tahoma" w:cs="Tahoma"/>
          <w:sz w:val="19"/>
          <w:szCs w:val="19"/>
        </w:rPr>
        <w:t xml:space="preserve">O </w:t>
      </w:r>
      <w:r w:rsidRPr="009E5683">
        <w:rPr>
          <w:rFonts w:ascii="Tahoma" w:hAnsi="Tahoma" w:cs="Tahoma"/>
          <w:color w:val="0098BA"/>
          <w:sz w:val="19"/>
          <w:szCs w:val="19"/>
        </w:rPr>
        <w:t xml:space="preserve">Programa de Qualidade de Vida </w:t>
      </w:r>
      <w:r w:rsidRPr="009E5683">
        <w:rPr>
          <w:rFonts w:ascii="Tahoma" w:hAnsi="Tahoma" w:cs="Tahoma"/>
          <w:sz w:val="19"/>
          <w:szCs w:val="19"/>
        </w:rPr>
        <w:t>se tornou um projeto estratégico para a Finep, com foco no desenvolvimento de ações voltadas à promoção de saúde e bem-estar no ambiente de trabalho. Essas ações se alinham à diretriz de valorizar, cuidar e reconhecer a importância do seu corpo funcional e, nesse sentido, diversas ações vêm sendo planejadas para a retomada e a ampliação do Programa em seus diferentes eixos, estimulando a mudança do estilo de vida, a adoção de hábitos saudáveis, a valorização da prevenção de doenças, a promoção da saúde mental e a integração social das pessoas.</w:t>
      </w:r>
    </w:p>
    <w:p w14:paraId="2DAE702B" w14:textId="77777777" w:rsidR="00997FA2" w:rsidRDefault="00997FA2" w:rsidP="00997FA2">
      <w:pPr>
        <w:spacing w:before="120" w:after="120" w:line="360" w:lineRule="auto"/>
        <w:rPr>
          <w:rFonts w:ascii="Tahoma" w:hAnsi="Tahoma" w:cs="Tahoma"/>
          <w:sz w:val="19"/>
          <w:szCs w:val="19"/>
        </w:rPr>
      </w:pPr>
      <w:r w:rsidRPr="000F51E1">
        <w:rPr>
          <w:rFonts w:ascii="Tahoma" w:hAnsi="Tahoma" w:cs="Tahoma"/>
          <w:noProof/>
          <w:sz w:val="20"/>
          <w:szCs w:val="20"/>
        </w:rPr>
        <w:drawing>
          <wp:inline distT="0" distB="0" distL="0" distR="0" wp14:anchorId="670DACDF" wp14:editId="12ADC8DF">
            <wp:extent cx="4970296" cy="2305050"/>
            <wp:effectExtent l="0" t="0" r="1905" b="0"/>
            <wp:docPr id="215696796" name="Imagem 1"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96796" name="Imagem 1" descr="Tela de celular com texto preto sobre fundo branco&#10;&#10;Descrição gerada automaticamente"/>
                    <pic:cNvPicPr/>
                  </pic:nvPicPr>
                  <pic:blipFill rotWithShape="1">
                    <a:blip r:embed="rId251"/>
                    <a:srcRect l="1104" t="3434" r="1022" b="2481"/>
                    <a:stretch/>
                  </pic:blipFill>
                  <pic:spPr bwMode="auto">
                    <a:xfrm>
                      <a:off x="0" y="0"/>
                      <a:ext cx="5002075" cy="2319788"/>
                    </a:xfrm>
                    <a:prstGeom prst="rect">
                      <a:avLst/>
                    </a:prstGeom>
                    <a:ln>
                      <a:noFill/>
                    </a:ln>
                    <a:extLst>
                      <a:ext uri="{53640926-AAD7-44D8-BBD7-CCE9431645EC}">
                        <a14:shadowObscured xmlns:a14="http://schemas.microsoft.com/office/drawing/2010/main"/>
                      </a:ext>
                    </a:extLst>
                  </pic:spPr>
                </pic:pic>
              </a:graphicData>
            </a:graphic>
          </wp:inline>
        </w:drawing>
      </w:r>
    </w:p>
    <w:p w14:paraId="64F695C5" w14:textId="77777777" w:rsidR="00997FA2" w:rsidRPr="00D334E9" w:rsidRDefault="00997FA2" w:rsidP="00997FA2">
      <w:pPr>
        <w:spacing w:before="120" w:after="120" w:line="360" w:lineRule="auto"/>
        <w:rPr>
          <w:rFonts w:ascii="Tahoma" w:hAnsi="Tahoma" w:cs="Tahoma"/>
          <w:sz w:val="19"/>
          <w:szCs w:val="19"/>
        </w:rPr>
      </w:pPr>
    </w:p>
    <w:p w14:paraId="62DC87E5" w14:textId="77777777" w:rsidR="00997FA2" w:rsidRDefault="00997FA2" w:rsidP="00997FA2">
      <w:pPr>
        <w:spacing w:before="120" w:after="120" w:line="360" w:lineRule="auto"/>
        <w:rPr>
          <w:rFonts w:ascii="Tahoma" w:hAnsi="Tahoma" w:cs="Tahoma"/>
          <w:color w:val="0098BA"/>
          <w:sz w:val="19"/>
          <w:szCs w:val="19"/>
        </w:rPr>
      </w:pPr>
      <w:r w:rsidRPr="009E5683">
        <w:rPr>
          <w:rFonts w:ascii="Tahoma" w:hAnsi="Tahoma" w:cs="Tahoma"/>
          <w:color w:val="0098BA"/>
          <w:sz w:val="19"/>
          <w:szCs w:val="19"/>
        </w:rPr>
        <w:t>Política de Promoção de Equidade – Nosso compromisso</w:t>
      </w:r>
    </w:p>
    <w:p w14:paraId="41565A85" w14:textId="77777777" w:rsidR="00997FA2" w:rsidRDefault="00997FA2" w:rsidP="00997FA2">
      <w:pPr>
        <w:spacing w:before="120" w:after="120" w:line="360" w:lineRule="auto"/>
        <w:rPr>
          <w:rFonts w:ascii="Tahoma" w:hAnsi="Tahoma" w:cs="Tahoma"/>
          <w:sz w:val="19"/>
          <w:szCs w:val="19"/>
        </w:rPr>
      </w:pPr>
      <w:r w:rsidRPr="009E5683">
        <w:rPr>
          <w:rFonts w:ascii="Tahoma" w:hAnsi="Tahoma" w:cs="Tahoma"/>
          <w:sz w:val="19"/>
          <w:szCs w:val="19"/>
        </w:rPr>
        <w:t xml:space="preserve">Em 2023, a Política de Promoção de Equidade, resultado do trabalho desenvolvido por integrantes de todas as diretorias da empresa e das carreiras de nível superior e médio, foi aprovada pelo Conselho de </w:t>
      </w:r>
      <w:r w:rsidRPr="009E5683">
        <w:rPr>
          <w:rFonts w:ascii="Tahoma" w:hAnsi="Tahoma" w:cs="Tahoma"/>
          <w:sz w:val="19"/>
          <w:szCs w:val="19"/>
        </w:rPr>
        <w:lastRenderedPageBreak/>
        <w:t>Administração</w:t>
      </w:r>
      <w:r>
        <w:rPr>
          <w:rFonts w:ascii="Tahoma" w:hAnsi="Tahoma" w:cs="Tahoma"/>
          <w:sz w:val="19"/>
          <w:szCs w:val="19"/>
        </w:rPr>
        <w:t xml:space="preserve"> e criado </w:t>
      </w:r>
      <w:r w:rsidRPr="00D03B72">
        <w:rPr>
          <w:rFonts w:ascii="Tahoma" w:hAnsi="Tahoma" w:cs="Tahoma"/>
          <w:sz w:val="19"/>
          <w:szCs w:val="19"/>
        </w:rPr>
        <w:t>o Comitê Executivo de Diversidade e Sustentabilidade</w:t>
      </w:r>
      <w:r w:rsidRPr="009E5683">
        <w:rPr>
          <w:rFonts w:ascii="Tahoma" w:hAnsi="Tahoma" w:cs="Tahoma"/>
          <w:sz w:val="19"/>
          <w:szCs w:val="19"/>
        </w:rPr>
        <w:t>. Esta política estabelece princípios e compromissos institucionais a serem incorporados à cultura organizacional da Finep, tendo como diretriz a valorização da diversidade de identidades de seus colaboradores e a promoção da equidade e da inclusão em suas ações, incluindo recortes de gênero, raça, orientação sexual, pessoas com deficiência, bem como a questão etária.</w:t>
      </w:r>
    </w:p>
    <w:p w14:paraId="28DB8399" w14:textId="77777777" w:rsidR="00997FA2" w:rsidRDefault="00997FA2" w:rsidP="00997FA2">
      <w:pPr>
        <w:spacing w:before="120" w:after="120" w:line="360" w:lineRule="auto"/>
        <w:rPr>
          <w:rFonts w:ascii="Tahoma" w:hAnsi="Tahoma" w:cs="Tahoma"/>
          <w:sz w:val="19"/>
          <w:szCs w:val="19"/>
        </w:rPr>
      </w:pPr>
      <w:r w:rsidRPr="009E5683">
        <w:rPr>
          <w:rFonts w:ascii="Tahoma" w:hAnsi="Tahoma" w:cs="Tahoma"/>
          <w:sz w:val="19"/>
          <w:szCs w:val="19"/>
        </w:rPr>
        <w:t>A promoção da diversidade tem como meta fazer com que todos se sintam representados, possam se expressar livremente e sejam ouvidos e respeitados. É a primeira Política da Finep orientada para a gestão de pessoas previamente discutida com os funcionários antes de sua aprovação.</w:t>
      </w:r>
    </w:p>
    <w:p w14:paraId="085451E9" w14:textId="77777777" w:rsidR="00997FA2" w:rsidRDefault="00997FA2" w:rsidP="00997FA2">
      <w:pPr>
        <w:spacing w:before="120" w:after="120" w:line="360" w:lineRule="auto"/>
        <w:rPr>
          <w:rFonts w:ascii="Tahoma" w:hAnsi="Tahoma" w:cs="Tahoma"/>
          <w:sz w:val="19"/>
          <w:szCs w:val="19"/>
        </w:rPr>
      </w:pPr>
    </w:p>
    <w:p w14:paraId="25D71C81" w14:textId="77777777" w:rsidR="00997FA2" w:rsidRPr="00362380" w:rsidRDefault="00997FA2" w:rsidP="00997FA2">
      <w:pPr>
        <w:spacing w:before="120" w:after="120" w:line="360" w:lineRule="auto"/>
        <w:jc w:val="both"/>
        <w:rPr>
          <w:rFonts w:ascii="Tahoma" w:hAnsi="Tahoma" w:cs="Tahoma"/>
          <w:color w:val="0098BA"/>
          <w:sz w:val="20"/>
          <w:szCs w:val="20"/>
        </w:rPr>
      </w:pPr>
      <w:r w:rsidRPr="00362380">
        <w:rPr>
          <w:rFonts w:ascii="Tahoma" w:hAnsi="Tahoma" w:cs="Tahoma"/>
          <w:color w:val="0098BA"/>
          <w:sz w:val="20"/>
          <w:szCs w:val="20"/>
        </w:rPr>
        <w:t>Desenvolvimento de carreiras</w:t>
      </w:r>
    </w:p>
    <w:p w14:paraId="486D57EE" w14:textId="77777777" w:rsidR="00997FA2" w:rsidRPr="000F51E1" w:rsidRDefault="00997FA2" w:rsidP="00997FA2">
      <w:pPr>
        <w:spacing w:before="120" w:after="120" w:line="360" w:lineRule="auto"/>
        <w:jc w:val="both"/>
        <w:rPr>
          <w:rFonts w:ascii="Tahoma" w:hAnsi="Tahoma" w:cs="Tahoma"/>
          <w:sz w:val="20"/>
          <w:szCs w:val="20"/>
        </w:rPr>
      </w:pPr>
      <w:r w:rsidRPr="000F51E1">
        <w:rPr>
          <w:rFonts w:ascii="Tahoma" w:hAnsi="Tahoma" w:cs="Tahoma"/>
          <w:sz w:val="20"/>
          <w:szCs w:val="20"/>
        </w:rPr>
        <w:t>A estrutura de carreira da Finep se caracteriza pela adoção do conceito de competência como elemento estruturante, exigindo o investimento na capacitação e atualização contínuas de seus empregados e na renovação das equipes.</w:t>
      </w:r>
    </w:p>
    <w:p w14:paraId="25D321D9" w14:textId="77777777" w:rsidR="00997FA2" w:rsidRPr="000F51E1" w:rsidRDefault="00997FA2" w:rsidP="00997FA2">
      <w:pPr>
        <w:spacing w:before="120" w:after="120" w:line="360" w:lineRule="auto"/>
        <w:jc w:val="both"/>
        <w:rPr>
          <w:rFonts w:ascii="Tahoma" w:hAnsi="Tahoma" w:cs="Tahoma"/>
          <w:sz w:val="20"/>
          <w:szCs w:val="20"/>
        </w:rPr>
      </w:pPr>
      <w:r w:rsidRPr="000F51E1">
        <w:rPr>
          <w:rFonts w:ascii="Tahoma" w:hAnsi="Tahoma" w:cs="Tahoma"/>
          <w:sz w:val="20"/>
          <w:szCs w:val="20"/>
        </w:rPr>
        <w:t xml:space="preserve">Nesse sentido, no que tange às principais iniciativas vinculadas à gestão e desenvolvimento de carreiras no ano de 2023, </w:t>
      </w:r>
      <w:r>
        <w:rPr>
          <w:rFonts w:ascii="Tahoma" w:hAnsi="Tahoma" w:cs="Tahoma"/>
          <w:sz w:val="20"/>
          <w:szCs w:val="20"/>
        </w:rPr>
        <w:t>buscamos</w:t>
      </w:r>
      <w:r w:rsidRPr="000F51E1">
        <w:rPr>
          <w:rFonts w:ascii="Tahoma" w:hAnsi="Tahoma" w:cs="Tahoma"/>
          <w:sz w:val="20"/>
          <w:szCs w:val="20"/>
        </w:rPr>
        <w:t xml:space="preserve"> apoiar o alcance dos objetivos estratégicos através de projetos e ações estruturantes. Particularmente, as ações abaixo encontram-se diretamente correlacionadas ao objetivo estratégico “desenvolver práticas de gestão de pessoas, competências e cultura organizacional com foco em resultados e valorização do corpo funcional”, previsto na ELPPN 2023.</w:t>
      </w:r>
      <w:r>
        <w:rPr>
          <w:rFonts w:ascii="Tahoma" w:hAnsi="Tahoma" w:cs="Tahoma"/>
          <w:sz w:val="20"/>
          <w:szCs w:val="20"/>
        </w:rPr>
        <w:t xml:space="preserve"> </w:t>
      </w:r>
    </w:p>
    <w:p w14:paraId="2FC65A40" w14:textId="77777777" w:rsidR="00997FA2" w:rsidRPr="000F51E1" w:rsidRDefault="00997FA2" w:rsidP="00997FA2">
      <w:pPr>
        <w:spacing w:before="120" w:after="120" w:line="360" w:lineRule="auto"/>
        <w:jc w:val="both"/>
        <w:rPr>
          <w:rFonts w:ascii="Tahoma" w:hAnsi="Tahoma" w:cs="Tahoma"/>
          <w:sz w:val="20"/>
          <w:szCs w:val="20"/>
        </w:rPr>
      </w:pPr>
      <w:r w:rsidRPr="006E3B06">
        <w:rPr>
          <w:rFonts w:ascii="Tahoma" w:hAnsi="Tahoma" w:cs="Tahoma"/>
          <w:sz w:val="20"/>
          <w:szCs w:val="20"/>
        </w:rPr>
        <w:t xml:space="preserve">Visando potencializar e multiplicar a reflexão sobre os temas relacionados à Finep, </w:t>
      </w:r>
      <w:r>
        <w:rPr>
          <w:rFonts w:ascii="Tahoma" w:hAnsi="Tahoma" w:cs="Tahoma"/>
          <w:sz w:val="20"/>
          <w:szCs w:val="20"/>
        </w:rPr>
        <w:t>iniciamos</w:t>
      </w:r>
      <w:r w:rsidRPr="006E3B06">
        <w:rPr>
          <w:rFonts w:ascii="Tahoma" w:hAnsi="Tahoma" w:cs="Tahoma"/>
          <w:sz w:val="20"/>
          <w:szCs w:val="20"/>
        </w:rPr>
        <w:t xml:space="preserve"> o </w:t>
      </w:r>
      <w:r w:rsidRPr="000F51E1">
        <w:rPr>
          <w:rFonts w:ascii="Tahoma" w:hAnsi="Tahoma" w:cs="Tahoma"/>
          <w:sz w:val="20"/>
          <w:szCs w:val="20"/>
        </w:rPr>
        <w:t xml:space="preserve">ciclo de debates intitulado </w:t>
      </w:r>
      <w:r w:rsidRPr="00362380">
        <w:rPr>
          <w:rFonts w:ascii="Tahoma" w:hAnsi="Tahoma" w:cs="Tahoma"/>
          <w:color w:val="0098BA"/>
          <w:sz w:val="20"/>
          <w:szCs w:val="20"/>
        </w:rPr>
        <w:t>Pensar a Finep</w:t>
      </w:r>
      <w:r w:rsidRPr="000F51E1">
        <w:rPr>
          <w:rFonts w:ascii="Tahoma" w:hAnsi="Tahoma" w:cs="Tahoma"/>
          <w:sz w:val="20"/>
          <w:szCs w:val="20"/>
        </w:rPr>
        <w:t>. Essa ação tem como foco a integração dos diversos campos de atuação da Finep, considerando as singularidades de cada assunto e articulações no contexto institucional, além da apresentação do acúmulo institucional do conjunto de conhecimentos do corpo funcional da empresa, proporcionando conteúdo e reflexão em cada tema abordado.</w:t>
      </w:r>
    </w:p>
    <w:p w14:paraId="6781099C" w14:textId="77777777" w:rsidR="00997FA2" w:rsidRPr="000F51E1" w:rsidRDefault="00997FA2" w:rsidP="00997FA2">
      <w:pPr>
        <w:spacing w:before="120" w:after="120" w:line="360" w:lineRule="auto"/>
        <w:jc w:val="both"/>
        <w:rPr>
          <w:rFonts w:ascii="Tahoma" w:hAnsi="Tahoma" w:cs="Tahoma"/>
          <w:sz w:val="20"/>
          <w:szCs w:val="20"/>
        </w:rPr>
      </w:pPr>
      <w:r w:rsidRPr="0016468C">
        <w:rPr>
          <w:rFonts w:ascii="Tahoma" w:hAnsi="Tahoma" w:cs="Tahoma"/>
          <w:sz w:val="20"/>
          <w:szCs w:val="20"/>
        </w:rPr>
        <w:t xml:space="preserve">Após quase </w:t>
      </w:r>
      <w:r>
        <w:rPr>
          <w:rFonts w:ascii="Tahoma" w:hAnsi="Tahoma" w:cs="Tahoma"/>
          <w:sz w:val="20"/>
          <w:szCs w:val="20"/>
        </w:rPr>
        <w:t>dez</w:t>
      </w:r>
      <w:r w:rsidRPr="0016468C">
        <w:rPr>
          <w:rFonts w:ascii="Tahoma" w:hAnsi="Tahoma" w:cs="Tahoma"/>
          <w:sz w:val="20"/>
          <w:szCs w:val="20"/>
        </w:rPr>
        <w:t xml:space="preserve"> anos mantendo o quadro da empresa sem o ingresso de novos empregados efetivos, </w:t>
      </w:r>
      <w:r>
        <w:rPr>
          <w:rFonts w:ascii="Tahoma" w:hAnsi="Tahoma" w:cs="Tahoma"/>
          <w:sz w:val="20"/>
          <w:szCs w:val="20"/>
        </w:rPr>
        <w:t>lançamos</w:t>
      </w:r>
      <w:r w:rsidRPr="000F51E1">
        <w:rPr>
          <w:rFonts w:ascii="Tahoma" w:hAnsi="Tahoma" w:cs="Tahoma"/>
          <w:sz w:val="20"/>
          <w:szCs w:val="20"/>
        </w:rPr>
        <w:t xml:space="preserve"> o </w:t>
      </w:r>
      <w:r>
        <w:rPr>
          <w:rFonts w:ascii="Tahoma" w:hAnsi="Tahoma" w:cs="Tahoma"/>
          <w:sz w:val="20"/>
          <w:szCs w:val="20"/>
        </w:rPr>
        <w:t>e</w:t>
      </w:r>
      <w:r w:rsidRPr="000F51E1">
        <w:rPr>
          <w:rFonts w:ascii="Tahoma" w:hAnsi="Tahoma" w:cs="Tahoma"/>
          <w:sz w:val="20"/>
          <w:szCs w:val="20"/>
        </w:rPr>
        <w:t xml:space="preserve">dital do </w:t>
      </w:r>
      <w:r w:rsidRPr="00362380">
        <w:rPr>
          <w:rFonts w:ascii="Tahoma" w:hAnsi="Tahoma" w:cs="Tahoma"/>
          <w:color w:val="0098BA"/>
          <w:sz w:val="20"/>
          <w:szCs w:val="20"/>
        </w:rPr>
        <w:t>Concurso Público da Finep</w:t>
      </w:r>
      <w:r w:rsidRPr="000F51E1">
        <w:rPr>
          <w:rFonts w:ascii="Tahoma" w:hAnsi="Tahoma" w:cs="Tahoma"/>
          <w:sz w:val="20"/>
          <w:szCs w:val="20"/>
        </w:rPr>
        <w:t>. A iniciativa faz parte da estratégia de oxigenação do corpo funcional, no intuito de fazer frente aos desafios impostos à Finep para os próximos anos. O c</w:t>
      </w:r>
      <w:r>
        <w:rPr>
          <w:rFonts w:ascii="Tahoma" w:hAnsi="Tahoma" w:cs="Tahoma"/>
          <w:sz w:val="20"/>
          <w:szCs w:val="20"/>
        </w:rPr>
        <w:t>oncurso</w:t>
      </w:r>
      <w:r w:rsidRPr="000F51E1">
        <w:rPr>
          <w:rFonts w:ascii="Tahoma" w:hAnsi="Tahoma" w:cs="Tahoma"/>
          <w:sz w:val="20"/>
          <w:szCs w:val="20"/>
        </w:rPr>
        <w:t xml:space="preserve"> foi desenvolvido observando-se a promoção dos pilares da equidade e diversidade, ao aumentar a reserva de vagas para pessoas com deficiência e pessoas negras e estender os locais de prova para regiões nas quais a Finep possui representações, em linha com o objetivo ODS </w:t>
      </w:r>
      <w:r>
        <w:rPr>
          <w:rFonts w:ascii="Tahoma" w:hAnsi="Tahoma" w:cs="Tahoma"/>
          <w:sz w:val="20"/>
          <w:szCs w:val="20"/>
        </w:rPr>
        <w:t xml:space="preserve">de </w:t>
      </w:r>
      <w:r w:rsidRPr="000F51E1">
        <w:rPr>
          <w:rFonts w:ascii="Tahoma" w:hAnsi="Tahoma" w:cs="Tahoma"/>
          <w:sz w:val="20"/>
          <w:szCs w:val="20"/>
        </w:rPr>
        <w:t>redução das desigualdades.</w:t>
      </w:r>
    </w:p>
    <w:p w14:paraId="5C5AA6FF" w14:textId="77777777" w:rsidR="00997FA2" w:rsidRPr="003C7977" w:rsidRDefault="00997FA2" w:rsidP="00997FA2">
      <w:pPr>
        <w:spacing w:before="120" w:after="120" w:line="360" w:lineRule="auto"/>
        <w:jc w:val="both"/>
        <w:rPr>
          <w:rFonts w:ascii="Tahoma" w:hAnsi="Tahoma" w:cs="Tahoma"/>
          <w:sz w:val="20"/>
          <w:szCs w:val="20"/>
        </w:rPr>
      </w:pPr>
      <w:r w:rsidRPr="242E303B">
        <w:rPr>
          <w:rFonts w:ascii="Tahoma" w:hAnsi="Tahoma" w:cs="Tahoma"/>
          <w:sz w:val="20"/>
          <w:szCs w:val="20"/>
        </w:rPr>
        <w:t xml:space="preserve">Também disponibilizamos novas trilhas e cursos no </w:t>
      </w:r>
      <w:r w:rsidRPr="242E303B">
        <w:rPr>
          <w:rFonts w:ascii="Tahoma" w:hAnsi="Tahoma" w:cs="Tahoma"/>
          <w:color w:val="0098BA"/>
          <w:sz w:val="20"/>
          <w:szCs w:val="20"/>
        </w:rPr>
        <w:t>Portal de Educação Finep</w:t>
      </w:r>
      <w:r w:rsidRPr="242E303B">
        <w:rPr>
          <w:rFonts w:ascii="Tahoma" w:hAnsi="Tahoma" w:cs="Tahoma"/>
          <w:sz w:val="20"/>
          <w:szCs w:val="20"/>
        </w:rPr>
        <w:t xml:space="preserve">, bem como vários cursos abertos e </w:t>
      </w:r>
      <w:r w:rsidRPr="242E303B">
        <w:rPr>
          <w:rFonts w:ascii="Tahoma" w:hAnsi="Tahoma" w:cs="Tahoma"/>
          <w:i/>
          <w:iCs/>
          <w:sz w:val="20"/>
          <w:szCs w:val="20"/>
        </w:rPr>
        <w:t>in company</w:t>
      </w:r>
      <w:r w:rsidRPr="242E303B">
        <w:rPr>
          <w:rFonts w:ascii="Tahoma" w:hAnsi="Tahoma" w:cs="Tahoma"/>
          <w:sz w:val="20"/>
          <w:szCs w:val="20"/>
        </w:rPr>
        <w:t xml:space="preserve">, destacando-se treinamentos voltados para o desenvolvimento de competências e uso de ferramentas adequadas aos dos novos modelos de trabalho, bem como os cursos voltados para Ética, Integridade e gestão de pessoas. </w:t>
      </w:r>
    </w:p>
    <w:p w14:paraId="1CC5721C" w14:textId="77777777" w:rsidR="00997FA2" w:rsidRPr="000F51E1" w:rsidRDefault="00997FA2" w:rsidP="00997FA2">
      <w:pPr>
        <w:spacing w:before="120" w:after="120" w:line="360" w:lineRule="auto"/>
        <w:jc w:val="both"/>
        <w:rPr>
          <w:rFonts w:ascii="Tahoma" w:hAnsi="Tahoma" w:cs="Tahoma"/>
          <w:sz w:val="20"/>
          <w:szCs w:val="20"/>
        </w:rPr>
      </w:pPr>
      <w:r w:rsidRPr="242E303B">
        <w:rPr>
          <w:rFonts w:ascii="Tahoma" w:hAnsi="Tahoma" w:cs="Tahoma"/>
          <w:sz w:val="20"/>
          <w:szCs w:val="20"/>
        </w:rPr>
        <w:lastRenderedPageBreak/>
        <w:t>A Finep mantém</w:t>
      </w:r>
      <w:r w:rsidRPr="242E303B">
        <w:rPr>
          <w:rFonts w:ascii="Tahoma" w:hAnsi="Tahoma" w:cs="Tahoma"/>
          <w:b/>
          <w:bCs/>
          <w:sz w:val="20"/>
          <w:szCs w:val="20"/>
        </w:rPr>
        <w:t xml:space="preserve"> </w:t>
      </w:r>
      <w:r w:rsidRPr="242E303B">
        <w:rPr>
          <w:rFonts w:ascii="Tahoma" w:hAnsi="Tahoma" w:cs="Tahoma"/>
          <w:color w:val="0098BA"/>
          <w:sz w:val="20"/>
          <w:szCs w:val="20"/>
        </w:rPr>
        <w:t>Programa de Estágio</w:t>
      </w:r>
      <w:r w:rsidRPr="242E303B">
        <w:rPr>
          <w:rFonts w:ascii="Tahoma" w:hAnsi="Tahoma" w:cs="Tahoma"/>
          <w:b/>
          <w:bCs/>
          <w:sz w:val="20"/>
          <w:szCs w:val="20"/>
        </w:rPr>
        <w:t xml:space="preserve"> </w:t>
      </w:r>
      <w:r w:rsidRPr="242E303B">
        <w:rPr>
          <w:rFonts w:ascii="Tahoma" w:hAnsi="Tahoma" w:cs="Tahoma"/>
          <w:sz w:val="20"/>
          <w:szCs w:val="20"/>
        </w:rPr>
        <w:t>e busca</w:t>
      </w:r>
      <w:r w:rsidRPr="242E303B">
        <w:rPr>
          <w:rFonts w:ascii="Tahoma" w:hAnsi="Tahoma" w:cs="Tahoma"/>
          <w:b/>
          <w:bCs/>
          <w:sz w:val="20"/>
          <w:szCs w:val="20"/>
        </w:rPr>
        <w:t xml:space="preserve"> </w:t>
      </w:r>
      <w:r w:rsidRPr="242E303B">
        <w:rPr>
          <w:rFonts w:ascii="Tahoma" w:hAnsi="Tahoma" w:cs="Tahoma"/>
          <w:sz w:val="20"/>
          <w:szCs w:val="20"/>
        </w:rPr>
        <w:t>observar as melhores práticas adotadas pelas demais instituições das iniciativas pública e privada. Para 2024 está prevista a revisão das práticas até então adotadas e a elaboração de um normativo voltado a disciplinar nosso Programa de Estágios.</w:t>
      </w:r>
    </w:p>
    <w:p w14:paraId="5DB75E1B" w14:textId="77777777" w:rsidR="00997FA2" w:rsidRDefault="00997FA2" w:rsidP="00997FA2">
      <w:pPr>
        <w:spacing w:before="120" w:after="120" w:line="360" w:lineRule="auto"/>
        <w:rPr>
          <w:rFonts w:ascii="Tahoma" w:hAnsi="Tahoma" w:cs="Tahoma"/>
          <w:sz w:val="19"/>
          <w:szCs w:val="19"/>
        </w:rPr>
      </w:pPr>
    </w:p>
    <w:p w14:paraId="5EA22C04" w14:textId="77777777" w:rsidR="00997FA2" w:rsidRPr="003D0607" w:rsidRDefault="00997FA2" w:rsidP="00997FA2">
      <w:pPr>
        <w:pStyle w:val="Ttulo2"/>
        <w:spacing w:before="0" w:after="120" w:line="360" w:lineRule="auto"/>
        <w:ind w:left="862" w:hanging="578"/>
        <w:rPr>
          <w:rFonts w:ascii="Tahoma" w:hAnsi="Tahoma" w:cs="Tahoma"/>
          <w:color w:val="0098BA"/>
          <w:sz w:val="24"/>
          <w:szCs w:val="24"/>
        </w:rPr>
      </w:pPr>
      <w:bookmarkStart w:id="301" w:name="_Toc131692264"/>
      <w:bookmarkStart w:id="302" w:name="_Toc163025278"/>
      <w:bookmarkStart w:id="303" w:name="_Toc162512614"/>
      <w:r w:rsidRPr="003D0607">
        <w:rPr>
          <w:rFonts w:ascii="Tahoma" w:hAnsi="Tahoma" w:cs="Tahoma"/>
          <w:color w:val="0098BA"/>
          <w:sz w:val="24"/>
          <w:szCs w:val="24"/>
        </w:rPr>
        <w:t>Tecnologia da informação</w:t>
      </w:r>
      <w:bookmarkEnd w:id="301"/>
      <w:bookmarkEnd w:id="302"/>
      <w:bookmarkEnd w:id="303"/>
    </w:p>
    <w:p w14:paraId="0E7F791C" w14:textId="77777777" w:rsidR="00997FA2" w:rsidRPr="00E46717" w:rsidRDefault="00997FA2" w:rsidP="00997FA2">
      <w:pPr>
        <w:spacing w:before="120" w:after="120" w:line="360" w:lineRule="auto"/>
        <w:jc w:val="both"/>
        <w:rPr>
          <w:rFonts w:ascii="Tahoma" w:hAnsi="Tahoma" w:cs="Tahoma"/>
          <w:sz w:val="19"/>
          <w:szCs w:val="19"/>
        </w:rPr>
      </w:pPr>
      <w:r w:rsidRPr="00E46717">
        <w:rPr>
          <w:rFonts w:ascii="Tahoma" w:hAnsi="Tahoma" w:cs="Tahoma"/>
          <w:sz w:val="19"/>
          <w:szCs w:val="19"/>
        </w:rPr>
        <w:t xml:space="preserve">Para conseguir operar o maior volume de recursos em toda sua história, </w:t>
      </w:r>
      <w:r>
        <w:rPr>
          <w:rFonts w:ascii="Tahoma" w:hAnsi="Tahoma" w:cs="Tahoma"/>
          <w:sz w:val="19"/>
          <w:szCs w:val="19"/>
        </w:rPr>
        <w:t>precisamos</w:t>
      </w:r>
      <w:r w:rsidRPr="00E46717">
        <w:rPr>
          <w:rFonts w:ascii="Tahoma" w:hAnsi="Tahoma" w:cs="Tahoma"/>
          <w:sz w:val="19"/>
          <w:szCs w:val="19"/>
        </w:rPr>
        <w:t xml:space="preserve"> inovar também </w:t>
      </w:r>
      <w:r>
        <w:rPr>
          <w:rFonts w:ascii="Tahoma" w:hAnsi="Tahoma" w:cs="Tahoma"/>
          <w:sz w:val="19"/>
          <w:szCs w:val="19"/>
        </w:rPr>
        <w:t>noss</w:t>
      </w:r>
      <w:r w:rsidRPr="00E46717">
        <w:rPr>
          <w:rFonts w:ascii="Tahoma" w:hAnsi="Tahoma" w:cs="Tahoma"/>
          <w:sz w:val="19"/>
          <w:szCs w:val="19"/>
        </w:rPr>
        <w:t>a forma de trabalhar. O regime de trabalho híbrido consolidou-se como uma prática bem-sucedida na empresa a partir do investimento feito nas ferramentas de tecnologia de informação necessárias para garantir a produtividade dos seus profissionais.</w:t>
      </w:r>
    </w:p>
    <w:p w14:paraId="4B55F0FA" w14:textId="77777777" w:rsidR="00997FA2" w:rsidRPr="00E46717" w:rsidRDefault="00997FA2" w:rsidP="00997FA2">
      <w:pPr>
        <w:spacing w:before="120" w:after="120" w:line="360" w:lineRule="auto"/>
        <w:jc w:val="both"/>
        <w:rPr>
          <w:rFonts w:ascii="Tahoma" w:hAnsi="Tahoma" w:cs="Tahoma"/>
          <w:sz w:val="19"/>
          <w:szCs w:val="19"/>
        </w:rPr>
      </w:pPr>
      <w:r w:rsidRPr="00E46717">
        <w:rPr>
          <w:rFonts w:ascii="Tahoma" w:hAnsi="Tahoma" w:cs="Tahoma"/>
          <w:sz w:val="19"/>
          <w:szCs w:val="19"/>
        </w:rPr>
        <w:t xml:space="preserve">A implantação da </w:t>
      </w:r>
      <w:r w:rsidRPr="00034BC8">
        <w:rPr>
          <w:rFonts w:ascii="Tahoma" w:hAnsi="Tahoma" w:cs="Tahoma"/>
          <w:sz w:val="19"/>
          <w:szCs w:val="19"/>
        </w:rPr>
        <w:t>plataforma Microsoft 365</w:t>
      </w:r>
      <w:r w:rsidRPr="00E46717">
        <w:rPr>
          <w:rFonts w:ascii="Tahoma" w:hAnsi="Tahoma" w:cs="Tahoma"/>
          <w:sz w:val="19"/>
          <w:szCs w:val="19"/>
        </w:rPr>
        <w:t xml:space="preserve"> ofereceu acesso a recursos de comunicação e colaboração no trabalho à distância, contribuindo para a identificação e mitigação de ameaças. Além disso, </w:t>
      </w:r>
      <w:r>
        <w:rPr>
          <w:rFonts w:ascii="Tahoma" w:hAnsi="Tahoma" w:cs="Tahoma"/>
          <w:sz w:val="19"/>
          <w:szCs w:val="19"/>
        </w:rPr>
        <w:t>implementamos</w:t>
      </w:r>
      <w:r w:rsidRPr="00E46717">
        <w:rPr>
          <w:rFonts w:ascii="Tahoma" w:hAnsi="Tahoma" w:cs="Tahoma"/>
          <w:sz w:val="19"/>
          <w:szCs w:val="19"/>
        </w:rPr>
        <w:t xml:space="preserve"> políticas de classificação de documentos, com o propósito de proteger informações confidenciais; e aprimora</w:t>
      </w:r>
      <w:r>
        <w:rPr>
          <w:rFonts w:ascii="Tahoma" w:hAnsi="Tahoma" w:cs="Tahoma"/>
          <w:sz w:val="19"/>
          <w:szCs w:val="19"/>
        </w:rPr>
        <w:t>mos</w:t>
      </w:r>
      <w:r w:rsidRPr="00E46717">
        <w:rPr>
          <w:rFonts w:ascii="Tahoma" w:hAnsi="Tahoma" w:cs="Tahoma"/>
          <w:sz w:val="19"/>
          <w:szCs w:val="19"/>
        </w:rPr>
        <w:t xml:space="preserve"> os controles de acesso, com a adoção da autenticação em dois fatores e de recursos de gerenciamento de dispositivos.</w:t>
      </w:r>
    </w:p>
    <w:p w14:paraId="3B0A7D70" w14:textId="77777777" w:rsidR="00997FA2" w:rsidRPr="00E46717" w:rsidRDefault="00997FA2" w:rsidP="00997FA2">
      <w:pPr>
        <w:spacing w:before="120" w:after="120" w:line="360" w:lineRule="auto"/>
        <w:jc w:val="both"/>
        <w:rPr>
          <w:rFonts w:ascii="Tahoma" w:hAnsi="Tahoma" w:cs="Tahoma"/>
          <w:sz w:val="19"/>
          <w:szCs w:val="19"/>
        </w:rPr>
      </w:pPr>
      <w:r w:rsidRPr="00E46717">
        <w:rPr>
          <w:rFonts w:ascii="Tahoma" w:hAnsi="Tahoma" w:cs="Tahoma"/>
          <w:sz w:val="19"/>
          <w:szCs w:val="19"/>
        </w:rPr>
        <w:t xml:space="preserve">A infraestrutura de TI recebeu também grandes investimentos, com a migração do ambiente computacional da Finep para um provedor externo (IaaS). Ainda nesse sentido, também </w:t>
      </w:r>
      <w:r>
        <w:rPr>
          <w:rFonts w:ascii="Tahoma" w:hAnsi="Tahoma" w:cs="Tahoma"/>
          <w:sz w:val="19"/>
          <w:szCs w:val="19"/>
        </w:rPr>
        <w:t>renovamos</w:t>
      </w:r>
      <w:r w:rsidRPr="00E46717">
        <w:rPr>
          <w:rFonts w:ascii="Tahoma" w:hAnsi="Tahoma" w:cs="Tahoma"/>
          <w:sz w:val="19"/>
          <w:szCs w:val="19"/>
        </w:rPr>
        <w:t xml:space="preserve"> todo o parque de computadores </w:t>
      </w:r>
      <w:r>
        <w:rPr>
          <w:rFonts w:ascii="Tahoma" w:hAnsi="Tahoma" w:cs="Tahoma"/>
          <w:sz w:val="19"/>
          <w:szCs w:val="19"/>
        </w:rPr>
        <w:t xml:space="preserve">da empresa </w:t>
      </w:r>
      <w:r w:rsidRPr="00E46717">
        <w:rPr>
          <w:rFonts w:ascii="Tahoma" w:hAnsi="Tahoma" w:cs="Tahoma"/>
          <w:sz w:val="19"/>
          <w:szCs w:val="19"/>
        </w:rPr>
        <w:t xml:space="preserve">e hoje todos os empregados contam com </w:t>
      </w:r>
      <w:r w:rsidRPr="00254F4A">
        <w:rPr>
          <w:rFonts w:ascii="Tahoma" w:hAnsi="Tahoma"/>
          <w:i/>
          <w:sz w:val="19"/>
        </w:rPr>
        <w:t xml:space="preserve">notebooks </w:t>
      </w:r>
      <w:r w:rsidRPr="00E46717">
        <w:rPr>
          <w:rFonts w:ascii="Tahoma" w:hAnsi="Tahoma" w:cs="Tahoma"/>
          <w:sz w:val="19"/>
          <w:szCs w:val="19"/>
        </w:rPr>
        <w:t xml:space="preserve">e não mais com equipamentos do tipo </w:t>
      </w:r>
      <w:r w:rsidRPr="00254F4A">
        <w:rPr>
          <w:rFonts w:ascii="Tahoma" w:hAnsi="Tahoma"/>
          <w:i/>
          <w:sz w:val="19"/>
        </w:rPr>
        <w:t>desktop</w:t>
      </w:r>
      <w:r w:rsidRPr="00E46717">
        <w:rPr>
          <w:rFonts w:ascii="Tahoma" w:hAnsi="Tahoma" w:cs="Tahoma"/>
          <w:sz w:val="19"/>
          <w:szCs w:val="19"/>
        </w:rPr>
        <w:t>.</w:t>
      </w:r>
    </w:p>
    <w:p w14:paraId="1C7B0AA1" w14:textId="77777777" w:rsidR="00997FA2" w:rsidRPr="00E46717" w:rsidRDefault="00997FA2" w:rsidP="00997FA2">
      <w:pPr>
        <w:spacing w:before="120" w:after="120" w:line="360" w:lineRule="auto"/>
        <w:jc w:val="both"/>
        <w:rPr>
          <w:rFonts w:ascii="Tahoma" w:hAnsi="Tahoma" w:cs="Tahoma"/>
          <w:sz w:val="19"/>
          <w:szCs w:val="19"/>
        </w:rPr>
      </w:pPr>
      <w:r w:rsidRPr="00E46717">
        <w:rPr>
          <w:rFonts w:ascii="Tahoma" w:hAnsi="Tahoma" w:cs="Tahoma"/>
          <w:sz w:val="19"/>
          <w:szCs w:val="19"/>
        </w:rPr>
        <w:t xml:space="preserve">Além de oferecer condições mais adequadas de trabalho para seus colaboradores, </w:t>
      </w:r>
      <w:r>
        <w:rPr>
          <w:rFonts w:ascii="Tahoma" w:hAnsi="Tahoma" w:cs="Tahoma"/>
          <w:sz w:val="19"/>
          <w:szCs w:val="19"/>
        </w:rPr>
        <w:t>investimos</w:t>
      </w:r>
      <w:r w:rsidRPr="00E46717">
        <w:rPr>
          <w:rFonts w:ascii="Tahoma" w:hAnsi="Tahoma" w:cs="Tahoma"/>
          <w:sz w:val="19"/>
          <w:szCs w:val="19"/>
        </w:rPr>
        <w:t xml:space="preserve"> muito em 2023 nos sistemas de relacionamento com clientes. </w:t>
      </w:r>
      <w:r w:rsidRPr="009E7D09">
        <w:rPr>
          <w:rFonts w:ascii="Tahoma" w:hAnsi="Tahoma" w:cs="Tahoma"/>
          <w:sz w:val="19"/>
          <w:szCs w:val="19"/>
        </w:rPr>
        <w:t>O novo sistema de análise e acompanhamento de projetos de financiamento não-reembolsável a ICTs e de subvenção econômica a empresas está em impl</w:t>
      </w:r>
      <w:r>
        <w:rPr>
          <w:rFonts w:ascii="Tahoma" w:hAnsi="Tahoma" w:cs="Tahoma"/>
          <w:sz w:val="19"/>
          <w:szCs w:val="19"/>
        </w:rPr>
        <w:t>an</w:t>
      </w:r>
      <w:r w:rsidRPr="009E7D09">
        <w:rPr>
          <w:rFonts w:ascii="Tahoma" w:hAnsi="Tahoma" w:cs="Tahoma"/>
          <w:sz w:val="19"/>
          <w:szCs w:val="19"/>
        </w:rPr>
        <w:t>tação e quatro chamadas públicas foram operacionalizadas nele em 2023.</w:t>
      </w:r>
      <w:r w:rsidRPr="00E46717">
        <w:rPr>
          <w:rFonts w:ascii="Tahoma" w:hAnsi="Tahoma" w:cs="Tahoma"/>
          <w:sz w:val="19"/>
          <w:szCs w:val="19"/>
        </w:rPr>
        <w:t xml:space="preserve"> Toda a interface para apresentação de propostas foi reformulada, com foco em melhorar a experiência dos clientes da Finep, tornando os procedimentos mais ágeis e amigáveis. Também </w:t>
      </w:r>
      <w:r>
        <w:rPr>
          <w:rFonts w:ascii="Tahoma" w:hAnsi="Tahoma" w:cs="Tahoma"/>
          <w:sz w:val="19"/>
          <w:szCs w:val="19"/>
        </w:rPr>
        <w:t>adotamos</w:t>
      </w:r>
      <w:r w:rsidRPr="00E46717">
        <w:rPr>
          <w:rFonts w:ascii="Tahoma" w:hAnsi="Tahoma" w:cs="Tahoma"/>
          <w:sz w:val="19"/>
          <w:szCs w:val="19"/>
        </w:rPr>
        <w:t xml:space="preserve"> novas ferramentas de tecnologia voltadas para a gestão financeira, incluindo o apoio aos processos de tesouraria e de captação. E o sistema Finep Crédito também passou por melhorias, incluindo agora etapas de resultados e impactos necessários para a avaliação das políticas públicas promovidas pela empresa.</w:t>
      </w:r>
    </w:p>
    <w:p w14:paraId="37538D44" w14:textId="77777777" w:rsidR="00997FA2" w:rsidRPr="00E46717" w:rsidRDefault="00997FA2" w:rsidP="00997FA2">
      <w:pPr>
        <w:spacing w:before="120" w:after="120" w:line="360" w:lineRule="auto"/>
        <w:jc w:val="both"/>
        <w:rPr>
          <w:rFonts w:ascii="Tahoma" w:hAnsi="Tahoma" w:cs="Tahoma"/>
          <w:sz w:val="19"/>
          <w:szCs w:val="19"/>
        </w:rPr>
      </w:pPr>
      <w:r w:rsidRPr="00E46717">
        <w:rPr>
          <w:rFonts w:ascii="Tahoma" w:hAnsi="Tahoma" w:cs="Tahoma"/>
          <w:sz w:val="19"/>
          <w:szCs w:val="19"/>
        </w:rPr>
        <w:t>Foi necessário investimento e muito trabalho para trazer a Finep para o presente e agora estamos prontos para poder, enfim, olhar para o futuro. Com isso, a empresa se prepara para dar novos saltos em sua jornada de transformação digital em 2024, com o planejamento do desenvolvimento do novo site institucional em uma plataforma de experiência digital (DXP), a adoção de uma nova ferramenta de gerenciamento de serviços administrativos e de TI e a implantação da nova estratégia institucional de inteligência de dados.</w:t>
      </w:r>
    </w:p>
    <w:p w14:paraId="1B5F4E2F" w14:textId="77777777" w:rsidR="00997FA2" w:rsidRPr="00E46717" w:rsidRDefault="00997FA2" w:rsidP="00997FA2">
      <w:pPr>
        <w:spacing w:before="120" w:after="120" w:line="360" w:lineRule="auto"/>
        <w:jc w:val="both"/>
        <w:rPr>
          <w:rFonts w:ascii="Tahoma" w:hAnsi="Tahoma" w:cs="Tahoma"/>
          <w:sz w:val="19"/>
          <w:szCs w:val="19"/>
        </w:rPr>
      </w:pPr>
      <w:r w:rsidRPr="00E46717">
        <w:rPr>
          <w:rFonts w:ascii="Tahoma" w:hAnsi="Tahoma" w:cs="Tahoma"/>
          <w:sz w:val="19"/>
          <w:szCs w:val="19"/>
        </w:rPr>
        <w:t>Nossa estrutura de Governança de TI possui duas instâncias complementares de atuação: o Comitê Gestor de TI (CGTI) e o Comitê Estratégico de TI (CETI). </w:t>
      </w:r>
    </w:p>
    <w:p w14:paraId="32472ACE" w14:textId="77777777" w:rsidR="00997FA2" w:rsidRPr="00E46717" w:rsidRDefault="00997FA2" w:rsidP="00997FA2">
      <w:pPr>
        <w:spacing w:before="120" w:after="120" w:line="360" w:lineRule="auto"/>
        <w:jc w:val="both"/>
        <w:rPr>
          <w:rFonts w:ascii="Tahoma" w:hAnsi="Tahoma" w:cs="Tahoma"/>
          <w:sz w:val="19"/>
          <w:szCs w:val="19"/>
        </w:rPr>
      </w:pPr>
      <w:r w:rsidRPr="00E46717">
        <w:rPr>
          <w:rFonts w:ascii="Tahoma" w:hAnsi="Tahoma" w:cs="Tahoma"/>
          <w:sz w:val="19"/>
          <w:szCs w:val="19"/>
        </w:rPr>
        <w:t xml:space="preserve">O CGTI é um órgão colegiado de caráter permanente, com responsabilidades de cunho executivo e consultivo para assuntos relacionados à Tecnologia da Informação. Como instância da Governança de TI, atua no nível tático tendo como missão a implementação da estratégia de Tecnologia da Informação da Finep. O CETI é </w:t>
      </w:r>
      <w:r w:rsidRPr="00E46717">
        <w:rPr>
          <w:rFonts w:ascii="Tahoma" w:hAnsi="Tahoma" w:cs="Tahoma"/>
          <w:sz w:val="19"/>
          <w:szCs w:val="19"/>
        </w:rPr>
        <w:lastRenderedPageBreak/>
        <w:t>um órgão colegiado de caráter permanente, com responsabilidades de cunho estratégico para assuntos relacionados à Tecnologia da Informação. Esse último é composto pela Diretoria Executiva. </w:t>
      </w:r>
    </w:p>
    <w:p w14:paraId="6F41F07B" w14:textId="77777777" w:rsidR="00997FA2" w:rsidRPr="00E46717" w:rsidRDefault="00997FA2" w:rsidP="00997FA2">
      <w:pPr>
        <w:spacing w:before="120" w:after="120" w:line="360" w:lineRule="auto"/>
        <w:jc w:val="both"/>
        <w:rPr>
          <w:rFonts w:ascii="Tahoma" w:hAnsi="Tahoma" w:cs="Tahoma"/>
          <w:sz w:val="19"/>
          <w:szCs w:val="19"/>
        </w:rPr>
      </w:pPr>
      <w:r w:rsidRPr="00E46717">
        <w:rPr>
          <w:rFonts w:ascii="Tahoma" w:hAnsi="Tahoma" w:cs="Tahoma"/>
          <w:sz w:val="19"/>
          <w:szCs w:val="19"/>
        </w:rPr>
        <w:t>Encerramos o período com 26 contratos ativos de TI, totalizando aproximadamente R$ 71,</w:t>
      </w:r>
      <w:r>
        <w:rPr>
          <w:rFonts w:ascii="Tahoma" w:hAnsi="Tahoma" w:cs="Tahoma"/>
          <w:sz w:val="19"/>
          <w:szCs w:val="19"/>
        </w:rPr>
        <w:t>2 milhões</w:t>
      </w:r>
      <w:r w:rsidRPr="00E46717">
        <w:rPr>
          <w:rFonts w:ascii="Tahoma" w:hAnsi="Tahoma" w:cs="Tahoma"/>
          <w:sz w:val="19"/>
          <w:szCs w:val="19"/>
        </w:rPr>
        <w:t xml:space="preserve"> em valor total contratado. Trazendo esse montante para termos anuais, isso significa um valor total na ordem de R$ 25,5</w:t>
      </w:r>
      <w:r>
        <w:rPr>
          <w:rFonts w:ascii="Tahoma" w:hAnsi="Tahoma" w:cs="Tahoma"/>
          <w:sz w:val="19"/>
          <w:szCs w:val="19"/>
        </w:rPr>
        <w:t xml:space="preserve"> milhões. </w:t>
      </w:r>
      <w:r w:rsidRPr="00E46717">
        <w:rPr>
          <w:rFonts w:ascii="Tahoma" w:hAnsi="Tahoma" w:cs="Tahoma"/>
          <w:sz w:val="19"/>
          <w:szCs w:val="19"/>
        </w:rPr>
        <w:t> O gráfico destaca a participação do montante anual de TI e os principais objetos dessas contratações, com respectivos valores/ano. </w:t>
      </w:r>
    </w:p>
    <w:p w14:paraId="4FB3A21B" w14:textId="77777777" w:rsidR="00997FA2" w:rsidRPr="00E46717" w:rsidRDefault="00997FA2" w:rsidP="00997FA2">
      <w:pPr>
        <w:spacing w:before="120" w:after="120" w:line="360" w:lineRule="auto"/>
        <w:jc w:val="both"/>
        <w:rPr>
          <w:rFonts w:ascii="Tahoma" w:hAnsi="Tahoma" w:cs="Tahoma"/>
          <w:sz w:val="19"/>
          <w:szCs w:val="19"/>
        </w:rPr>
      </w:pPr>
      <w:r w:rsidRPr="00E46717">
        <w:rPr>
          <w:rStyle w:val="wacimagecontainer"/>
          <w:rFonts w:ascii="Segoe UI" w:hAnsi="Segoe UI" w:cs="Segoe UI"/>
          <w:noProof/>
          <w:color w:val="000000"/>
          <w:sz w:val="19"/>
          <w:szCs w:val="19"/>
          <w:shd w:val="clear" w:color="auto" w:fill="FFFFFF"/>
        </w:rPr>
        <w:drawing>
          <wp:inline distT="0" distB="0" distL="0" distR="0" wp14:anchorId="2FFFCF08" wp14:editId="03B62C58">
            <wp:extent cx="4584916" cy="2524125"/>
            <wp:effectExtent l="0" t="0" r="6350" b="0"/>
            <wp:docPr id="347485769" name="Imagem 1"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áfico, Gráfico de pizza&#10;&#10;Descrição gerada automaticament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94383" cy="2529337"/>
                    </a:xfrm>
                    <a:prstGeom prst="rect">
                      <a:avLst/>
                    </a:prstGeom>
                    <a:noFill/>
                    <a:ln>
                      <a:noFill/>
                    </a:ln>
                  </pic:spPr>
                </pic:pic>
              </a:graphicData>
            </a:graphic>
          </wp:inline>
        </w:drawing>
      </w:r>
      <w:r w:rsidRPr="00E46717">
        <w:rPr>
          <w:rFonts w:ascii="Tahoma" w:hAnsi="Tahoma" w:cs="Tahoma"/>
          <w:color w:val="000000"/>
          <w:sz w:val="19"/>
          <w:szCs w:val="19"/>
          <w:shd w:val="clear" w:color="auto" w:fill="FFFFFF"/>
        </w:rPr>
        <w:br/>
      </w:r>
    </w:p>
    <w:p w14:paraId="395ED6BA" w14:textId="77777777" w:rsidR="00997FA2" w:rsidRPr="00E46717" w:rsidRDefault="00997FA2" w:rsidP="00997FA2">
      <w:pPr>
        <w:spacing w:before="120" w:after="120" w:line="360" w:lineRule="auto"/>
        <w:jc w:val="both"/>
        <w:rPr>
          <w:rFonts w:ascii="Tahoma" w:hAnsi="Tahoma" w:cs="Tahoma"/>
          <w:sz w:val="19"/>
          <w:szCs w:val="19"/>
        </w:rPr>
      </w:pPr>
      <w:r w:rsidRPr="00E46717">
        <w:rPr>
          <w:rFonts w:ascii="Tahoma" w:hAnsi="Tahoma" w:cs="Tahoma"/>
          <w:sz w:val="19"/>
          <w:szCs w:val="19"/>
        </w:rPr>
        <w:t xml:space="preserve">Sob uma perspectiva histórica, é possível notar que as despesas com processamentos de dados voltaram em 2023 ao patamar mais condizente com o desafio que a Finep enfrenta </w:t>
      </w:r>
      <w:r w:rsidRPr="00034BC8">
        <w:rPr>
          <w:rFonts w:ascii="Tahoma" w:hAnsi="Tahoma" w:cs="Tahoma"/>
          <w:sz w:val="19"/>
          <w:szCs w:val="19"/>
        </w:rPr>
        <w:t>de recuperação do</w:t>
      </w:r>
      <w:r w:rsidRPr="00E46717">
        <w:rPr>
          <w:rFonts w:ascii="Tahoma" w:hAnsi="Tahoma" w:cs="Tahoma"/>
          <w:sz w:val="19"/>
          <w:szCs w:val="19"/>
        </w:rPr>
        <w:t xml:space="preserve"> seu papel como a principal instituição de </w:t>
      </w:r>
      <w:r>
        <w:rPr>
          <w:rFonts w:ascii="Tahoma" w:hAnsi="Tahoma" w:cs="Tahoma"/>
          <w:sz w:val="19"/>
          <w:szCs w:val="19"/>
        </w:rPr>
        <w:t>g</w:t>
      </w:r>
      <w:r w:rsidRPr="00E46717">
        <w:rPr>
          <w:rFonts w:ascii="Tahoma" w:hAnsi="Tahoma" w:cs="Tahoma"/>
          <w:sz w:val="19"/>
          <w:szCs w:val="19"/>
        </w:rPr>
        <w:t>overno responsável pelo fomento de CT&amp;I no país. O gráfico a seguir mostra a evolução dos valores dispendidos desde 2015.</w:t>
      </w:r>
    </w:p>
    <w:p w14:paraId="06606D26" w14:textId="77777777" w:rsidR="00997FA2" w:rsidRPr="00E46717" w:rsidRDefault="00997FA2" w:rsidP="00997FA2">
      <w:pPr>
        <w:spacing w:before="120" w:after="120" w:line="360" w:lineRule="auto"/>
        <w:jc w:val="both"/>
        <w:rPr>
          <w:rFonts w:ascii="Tahoma" w:hAnsi="Tahoma" w:cs="Tahoma"/>
          <w:sz w:val="19"/>
          <w:szCs w:val="19"/>
        </w:rPr>
      </w:pPr>
    </w:p>
    <w:p w14:paraId="3C47FA89" w14:textId="77777777" w:rsidR="00997FA2" w:rsidRPr="00E46717" w:rsidRDefault="00997FA2" w:rsidP="00997FA2">
      <w:pPr>
        <w:spacing w:before="120" w:after="60"/>
        <w:rPr>
          <w:rFonts w:ascii="Tahoma" w:hAnsi="Tahoma" w:cs="Tahoma"/>
          <w:sz w:val="19"/>
          <w:szCs w:val="19"/>
        </w:rPr>
      </w:pPr>
      <w:r>
        <w:rPr>
          <w:noProof/>
        </w:rPr>
        <w:drawing>
          <wp:inline distT="0" distB="0" distL="0" distR="0" wp14:anchorId="7ECFD58D" wp14:editId="06407B29">
            <wp:extent cx="4477534" cy="2339439"/>
            <wp:effectExtent l="0" t="0" r="18415" b="3810"/>
            <wp:docPr id="945351693" name="Gráfico 1">
              <a:extLst xmlns:a="http://schemas.openxmlformats.org/drawingml/2006/main">
                <a:ext uri="{FF2B5EF4-FFF2-40B4-BE49-F238E27FC236}">
                  <a16:creationId xmlns:a16="http://schemas.microsoft.com/office/drawing/2014/main" id="{07420092-112B-4A3B-A233-300DF787DC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3063284C" w14:textId="77777777" w:rsidR="00997FA2" w:rsidRPr="00631259" w:rsidRDefault="00997FA2" w:rsidP="00997FA2">
      <w:pPr>
        <w:rPr>
          <w:rFonts w:ascii="Tahoma" w:hAnsi="Tahoma" w:cs="Tahoma"/>
          <w:sz w:val="16"/>
          <w:szCs w:val="16"/>
        </w:rPr>
      </w:pPr>
      <w:r w:rsidRPr="00631259">
        <w:rPr>
          <w:rFonts w:ascii="Tahoma" w:hAnsi="Tahoma" w:cs="Tahoma"/>
          <w:sz w:val="16"/>
          <w:szCs w:val="16"/>
        </w:rPr>
        <w:t>Fonte: DRE - Demonstrativo de Resultados do Exercício</w:t>
      </w:r>
    </w:p>
    <w:p w14:paraId="73611C41" w14:textId="77777777" w:rsidR="00E46717" w:rsidRPr="00E46717" w:rsidRDefault="00E46717" w:rsidP="00E46717">
      <w:pPr>
        <w:spacing w:before="120" w:after="120" w:line="360" w:lineRule="auto"/>
        <w:rPr>
          <w:rFonts w:ascii="Tahoma" w:hAnsi="Tahoma" w:cs="Tahoma"/>
          <w:sz w:val="19"/>
          <w:szCs w:val="19"/>
        </w:rPr>
      </w:pPr>
    </w:p>
    <w:p w14:paraId="7D961D9F" w14:textId="0B424BA9" w:rsidR="00AB7521" w:rsidRDefault="00AB7521">
      <w:pPr>
        <w:autoSpaceDN w:val="0"/>
        <w:spacing w:after="160"/>
        <w:textAlignment w:val="baseline"/>
        <w:rPr>
          <w:rFonts w:ascii="Tahoma" w:hAnsi="Tahoma" w:cs="Tahoma"/>
          <w:sz w:val="19"/>
          <w:szCs w:val="19"/>
        </w:rPr>
      </w:pPr>
      <w:r>
        <w:rPr>
          <w:rFonts w:ascii="Tahoma" w:hAnsi="Tahoma" w:cs="Tahoma"/>
          <w:sz w:val="19"/>
          <w:szCs w:val="19"/>
        </w:rPr>
        <w:br w:type="page"/>
      </w:r>
    </w:p>
    <w:p w14:paraId="0BD06B2A" w14:textId="77777777" w:rsidR="000D6D0A" w:rsidRPr="003D0607" w:rsidRDefault="00BB0E07" w:rsidP="003D0607">
      <w:pPr>
        <w:pStyle w:val="Ttulo2"/>
        <w:spacing w:before="0" w:after="120" w:line="360" w:lineRule="auto"/>
        <w:ind w:left="862" w:hanging="578"/>
        <w:rPr>
          <w:rFonts w:ascii="Tahoma" w:hAnsi="Tahoma" w:cs="Tahoma"/>
          <w:color w:val="0098BA"/>
          <w:sz w:val="24"/>
          <w:szCs w:val="24"/>
        </w:rPr>
      </w:pPr>
      <w:bookmarkStart w:id="304" w:name="_Toc163025279"/>
      <w:bookmarkStart w:id="305" w:name="_Toc162512615"/>
      <w:r w:rsidRPr="003D0607">
        <w:rPr>
          <w:rFonts w:ascii="Tahoma" w:hAnsi="Tahoma" w:cs="Tahoma"/>
          <w:color w:val="0098BA"/>
          <w:sz w:val="24"/>
          <w:szCs w:val="24"/>
        </w:rPr>
        <w:lastRenderedPageBreak/>
        <w:t>Riscos e controles internos</w:t>
      </w:r>
      <w:bookmarkEnd w:id="282"/>
      <w:bookmarkEnd w:id="283"/>
      <w:bookmarkEnd w:id="284"/>
      <w:bookmarkEnd w:id="285"/>
      <w:bookmarkEnd w:id="286"/>
      <w:bookmarkEnd w:id="287"/>
      <w:bookmarkEnd w:id="288"/>
      <w:bookmarkEnd w:id="289"/>
      <w:bookmarkEnd w:id="290"/>
      <w:bookmarkEnd w:id="304"/>
      <w:bookmarkEnd w:id="305"/>
    </w:p>
    <w:p w14:paraId="0B7B418C" w14:textId="77777777" w:rsidR="00AB7521" w:rsidRPr="00AB7521" w:rsidRDefault="00AB7521" w:rsidP="00AB7521">
      <w:pPr>
        <w:spacing w:before="120" w:after="120" w:line="360" w:lineRule="auto"/>
        <w:rPr>
          <w:rFonts w:ascii="Tahoma" w:hAnsi="Tahoma" w:cs="Tahoma"/>
          <w:color w:val="595959" w:themeColor="text1" w:themeTint="A6"/>
          <w:sz w:val="19"/>
          <w:szCs w:val="19"/>
        </w:rPr>
      </w:pPr>
      <w:bookmarkStart w:id="306" w:name="_Toc451854312"/>
      <w:r w:rsidRPr="00AB7521">
        <w:rPr>
          <w:rFonts w:ascii="Tahoma" w:hAnsi="Tahoma" w:cs="Tahoma"/>
          <w:color w:val="595959" w:themeColor="text1" w:themeTint="A6"/>
          <w:sz w:val="19"/>
          <w:szCs w:val="19"/>
        </w:rPr>
        <w:t>A alta administração implementa e supervisiona de maneira sistemática o processo de gestão de riscos e de controles internos estabelecidos para a prevenção e mitigação dos principais riscos a que está́ exposta a Finep a fim de desenvolver uma visão de riscos de forma consolidada.</w:t>
      </w:r>
    </w:p>
    <w:p w14:paraId="128E47AB" w14:textId="452BAA02" w:rsidR="00AB7521" w:rsidRPr="00AB7521" w:rsidRDefault="00AB7521" w:rsidP="00AB7521">
      <w:pPr>
        <w:spacing w:before="120" w:after="120" w:line="360" w:lineRule="auto"/>
        <w:rPr>
          <w:rFonts w:ascii="Tahoma" w:hAnsi="Tahoma" w:cs="Tahoma"/>
          <w:color w:val="595959" w:themeColor="text1" w:themeTint="A6"/>
          <w:sz w:val="19"/>
          <w:szCs w:val="19"/>
        </w:rPr>
      </w:pPr>
      <w:r w:rsidRPr="00AB7521">
        <w:rPr>
          <w:rFonts w:ascii="Tahoma" w:hAnsi="Tahoma" w:cs="Tahoma"/>
          <w:color w:val="595959" w:themeColor="text1" w:themeTint="A6"/>
          <w:sz w:val="19"/>
          <w:szCs w:val="19"/>
        </w:rPr>
        <w:t>As funções relativas ao gerenciamento de riscos na Finep, bem como o relacionamento dest</w:t>
      </w:r>
      <w:r>
        <w:rPr>
          <w:rFonts w:ascii="Tahoma" w:hAnsi="Tahoma" w:cs="Tahoma"/>
          <w:color w:val="595959" w:themeColor="text1" w:themeTint="A6"/>
          <w:sz w:val="19"/>
          <w:szCs w:val="19"/>
        </w:rPr>
        <w:t>e</w:t>
      </w:r>
      <w:r w:rsidRPr="00AB7521">
        <w:rPr>
          <w:rFonts w:ascii="Tahoma" w:hAnsi="Tahoma" w:cs="Tahoma"/>
          <w:color w:val="595959" w:themeColor="text1" w:themeTint="A6"/>
          <w:sz w:val="19"/>
          <w:szCs w:val="19"/>
        </w:rPr>
        <w:t xml:space="preserve">s com as funções de auditoria e órgãos de governança e/ou externos, estão estruturadas de acordo com o conceito do Modelo das Três Linhas, conforme figuras a seguir. </w:t>
      </w:r>
    </w:p>
    <w:p w14:paraId="77601A3F" w14:textId="77777777" w:rsidR="00AB7521" w:rsidRPr="00AB7521" w:rsidRDefault="00AB7521" w:rsidP="00AB7521">
      <w:pPr>
        <w:spacing w:before="100" w:beforeAutospacing="1"/>
        <w:ind w:left="284" w:hanging="284"/>
        <w:jc w:val="center"/>
        <w:rPr>
          <w:rFonts w:ascii="Tahoma" w:hAnsi="Tahoma" w:cs="Tahoma"/>
          <w:color w:val="0098BA"/>
          <w:sz w:val="19"/>
          <w:szCs w:val="19"/>
        </w:rPr>
      </w:pPr>
      <w:r w:rsidRPr="00AB7521">
        <w:rPr>
          <w:rFonts w:ascii="Tahoma" w:hAnsi="Tahoma" w:cs="Tahoma"/>
          <w:color w:val="0098BA"/>
          <w:sz w:val="19"/>
          <w:szCs w:val="19"/>
        </w:rPr>
        <w:t>Modelo das Três Linhas</w:t>
      </w:r>
    </w:p>
    <w:p w14:paraId="3CDBECC1" w14:textId="2250A024" w:rsidR="00AB7521" w:rsidRDefault="00AB7521" w:rsidP="00AB7521">
      <w:pPr>
        <w:jc w:val="center"/>
        <w:rPr>
          <w:rFonts w:cstheme="minorHAnsi"/>
          <w:color w:val="595959" w:themeColor="text1" w:themeTint="A6"/>
          <w:sz w:val="20"/>
          <w:szCs w:val="20"/>
        </w:rPr>
      </w:pPr>
      <w:r>
        <w:rPr>
          <w:rFonts w:cstheme="minorHAnsi"/>
          <w:noProof/>
          <w:color w:val="595959" w:themeColor="text1" w:themeTint="A6"/>
          <w:sz w:val="20"/>
          <w:szCs w:val="20"/>
        </w:rPr>
        <w:drawing>
          <wp:inline distT="0" distB="0" distL="0" distR="0" wp14:anchorId="69EF9BC7" wp14:editId="3068374C">
            <wp:extent cx="4490042" cy="3390405"/>
            <wp:effectExtent l="0" t="0" r="6350" b="635"/>
            <wp:docPr id="2087886911" name="Imagem 1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19476338" descr="Diagrama&#10;&#10;Descrição gerada automaticament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497361" cy="3395932"/>
                    </a:xfrm>
                    <a:prstGeom prst="rect">
                      <a:avLst/>
                    </a:prstGeom>
                    <a:noFill/>
                    <a:ln>
                      <a:noFill/>
                    </a:ln>
                  </pic:spPr>
                </pic:pic>
              </a:graphicData>
            </a:graphic>
          </wp:inline>
        </w:drawing>
      </w:r>
    </w:p>
    <w:p w14:paraId="5C168A58" w14:textId="77777777" w:rsidR="00AB7521" w:rsidRPr="00AB7521" w:rsidRDefault="00AB7521" w:rsidP="00AB7521">
      <w:pPr>
        <w:spacing w:after="100" w:afterAutospacing="1"/>
        <w:ind w:left="284" w:firstLine="709"/>
        <w:jc w:val="both"/>
        <w:rPr>
          <w:rFonts w:ascii="Tahoma" w:hAnsi="Tahoma" w:cs="Tahoma"/>
          <w:color w:val="595959" w:themeColor="text1" w:themeTint="A6"/>
          <w:sz w:val="18"/>
          <w:szCs w:val="18"/>
        </w:rPr>
      </w:pPr>
      <w:r w:rsidRPr="00AB7521">
        <w:rPr>
          <w:rFonts w:ascii="Tahoma" w:hAnsi="Tahoma" w:cs="Tahoma"/>
          <w:color w:val="595959" w:themeColor="text1" w:themeTint="A6"/>
          <w:sz w:val="18"/>
          <w:szCs w:val="18"/>
        </w:rPr>
        <w:t>Fonte: The IIA, adaptado para a Finep.</w:t>
      </w:r>
    </w:p>
    <w:p w14:paraId="67C630D3" w14:textId="73C8222F" w:rsidR="00AB7521" w:rsidRPr="00AB7521" w:rsidRDefault="00AB7521" w:rsidP="00AB7521">
      <w:pPr>
        <w:spacing w:before="120" w:after="120" w:line="360" w:lineRule="auto"/>
        <w:rPr>
          <w:rFonts w:ascii="Tahoma" w:hAnsi="Tahoma" w:cs="Tahoma"/>
          <w:color w:val="595959" w:themeColor="text1" w:themeTint="A6"/>
          <w:sz w:val="19"/>
          <w:szCs w:val="19"/>
        </w:rPr>
      </w:pPr>
      <w:r w:rsidRPr="00AB7521">
        <w:rPr>
          <w:rFonts w:ascii="Tahoma" w:hAnsi="Tahoma" w:cs="Tahoma"/>
          <w:color w:val="595959" w:themeColor="text1" w:themeTint="A6"/>
          <w:sz w:val="19"/>
          <w:szCs w:val="19"/>
        </w:rPr>
        <w:t xml:space="preserve">Para ampliar e reforçar a governança do tema na Finep, </w:t>
      </w:r>
      <w:r>
        <w:rPr>
          <w:rFonts w:ascii="Tahoma" w:hAnsi="Tahoma" w:cs="Tahoma"/>
          <w:color w:val="595959" w:themeColor="text1" w:themeTint="A6"/>
          <w:sz w:val="19"/>
          <w:szCs w:val="19"/>
        </w:rPr>
        <w:t xml:space="preserve">contamos com o </w:t>
      </w:r>
      <w:r w:rsidRPr="00AB7521">
        <w:rPr>
          <w:rFonts w:ascii="Tahoma" w:hAnsi="Tahoma" w:cs="Tahoma"/>
          <w:color w:val="595959" w:themeColor="text1" w:themeTint="A6"/>
          <w:sz w:val="19"/>
          <w:szCs w:val="19"/>
        </w:rPr>
        <w:t>Comitê de Gestão de Riscos (CGR)</w:t>
      </w:r>
      <w:r w:rsidR="00D3109A">
        <w:rPr>
          <w:rFonts w:ascii="Tahoma" w:hAnsi="Tahoma" w:cs="Tahoma"/>
          <w:color w:val="595959" w:themeColor="text1" w:themeTint="A6"/>
          <w:sz w:val="19"/>
          <w:szCs w:val="19"/>
        </w:rPr>
        <w:t>,</w:t>
      </w:r>
      <w:r w:rsidRPr="00AB7521">
        <w:rPr>
          <w:rFonts w:ascii="Tahoma" w:hAnsi="Tahoma" w:cs="Tahoma"/>
          <w:color w:val="595959" w:themeColor="text1" w:themeTint="A6"/>
          <w:sz w:val="19"/>
          <w:szCs w:val="19"/>
        </w:rPr>
        <w:t xml:space="preserve"> </w:t>
      </w:r>
      <w:r w:rsidR="00D3109A">
        <w:rPr>
          <w:rFonts w:ascii="Tahoma" w:hAnsi="Tahoma" w:cs="Tahoma"/>
          <w:color w:val="595959" w:themeColor="text1" w:themeTint="A6"/>
          <w:sz w:val="19"/>
          <w:szCs w:val="19"/>
        </w:rPr>
        <w:t xml:space="preserve">que se reúne </w:t>
      </w:r>
      <w:r w:rsidR="00D3109A" w:rsidRPr="00AB7521">
        <w:rPr>
          <w:rFonts w:ascii="Tahoma" w:hAnsi="Tahoma" w:cs="Tahoma"/>
          <w:color w:val="595959" w:themeColor="text1" w:themeTint="A6"/>
          <w:sz w:val="19"/>
          <w:szCs w:val="19"/>
        </w:rPr>
        <w:t xml:space="preserve">periodicamente ao longo do ano </w:t>
      </w:r>
      <w:r w:rsidR="00D3109A">
        <w:rPr>
          <w:rFonts w:ascii="Tahoma" w:hAnsi="Tahoma" w:cs="Tahoma"/>
          <w:color w:val="595959" w:themeColor="text1" w:themeTint="A6"/>
          <w:sz w:val="19"/>
          <w:szCs w:val="19"/>
        </w:rPr>
        <w:t>e</w:t>
      </w:r>
      <w:r w:rsidRPr="00AB7521">
        <w:rPr>
          <w:rFonts w:ascii="Tahoma" w:hAnsi="Tahoma" w:cs="Tahoma"/>
          <w:color w:val="595959" w:themeColor="text1" w:themeTint="A6"/>
          <w:sz w:val="19"/>
          <w:szCs w:val="19"/>
        </w:rPr>
        <w:t xml:space="preserve"> tem como finalidade assessorar e subsidiar a Diretoria Executiva nos temas relacionados à Gestão Integrada de Riscos.</w:t>
      </w:r>
    </w:p>
    <w:p w14:paraId="394C0D35" w14:textId="4FB5E56F" w:rsidR="00AB7521" w:rsidRPr="00AB7521" w:rsidRDefault="00AB7521" w:rsidP="00AB7521">
      <w:pPr>
        <w:spacing w:before="120" w:after="120" w:line="360" w:lineRule="auto"/>
        <w:rPr>
          <w:rFonts w:ascii="Tahoma" w:hAnsi="Tahoma" w:cs="Tahoma"/>
          <w:color w:val="595959" w:themeColor="text1" w:themeTint="A6"/>
          <w:sz w:val="19"/>
          <w:szCs w:val="19"/>
        </w:rPr>
      </w:pPr>
      <w:r w:rsidRPr="00AB7521">
        <w:rPr>
          <w:rFonts w:ascii="Tahoma" w:hAnsi="Tahoma" w:cs="Tahoma"/>
          <w:color w:val="595959" w:themeColor="text1" w:themeTint="A6"/>
          <w:sz w:val="19"/>
          <w:szCs w:val="19"/>
        </w:rPr>
        <w:t xml:space="preserve">Adicionalmente, </w:t>
      </w:r>
      <w:r w:rsidR="00D3109A">
        <w:rPr>
          <w:rFonts w:ascii="Tahoma" w:hAnsi="Tahoma" w:cs="Tahoma"/>
          <w:color w:val="595959" w:themeColor="text1" w:themeTint="A6"/>
          <w:sz w:val="19"/>
          <w:szCs w:val="19"/>
        </w:rPr>
        <w:t>o</w:t>
      </w:r>
      <w:r w:rsidRPr="00AB7521">
        <w:rPr>
          <w:rFonts w:ascii="Tahoma" w:hAnsi="Tahoma" w:cs="Tahoma"/>
          <w:color w:val="595959" w:themeColor="text1" w:themeTint="A6"/>
          <w:sz w:val="19"/>
          <w:szCs w:val="19"/>
        </w:rPr>
        <w:t xml:space="preserve"> Comitê de Caixa se reúne mensalmente e tem, dentre seus objetivos, orientar os responsáveis pela gestão do </w:t>
      </w:r>
      <w:r w:rsidR="00D3109A" w:rsidRPr="00AB7521">
        <w:rPr>
          <w:rFonts w:ascii="Tahoma" w:hAnsi="Tahoma" w:cs="Tahoma"/>
          <w:color w:val="595959" w:themeColor="text1" w:themeTint="A6"/>
          <w:sz w:val="19"/>
          <w:szCs w:val="19"/>
        </w:rPr>
        <w:t>fluxo de caixa e captações</w:t>
      </w:r>
      <w:r w:rsidRPr="00AB7521">
        <w:rPr>
          <w:rFonts w:ascii="Tahoma" w:hAnsi="Tahoma" w:cs="Tahoma"/>
          <w:color w:val="595959" w:themeColor="text1" w:themeTint="A6"/>
          <w:sz w:val="19"/>
          <w:szCs w:val="19"/>
        </w:rPr>
        <w:t xml:space="preserve"> da Finep sobre as ações estratégicas a serem tomadas para minimizar riscos e manter a </w:t>
      </w:r>
      <w:r w:rsidR="00D3109A">
        <w:rPr>
          <w:rFonts w:ascii="Tahoma" w:hAnsi="Tahoma" w:cs="Tahoma"/>
          <w:color w:val="595959" w:themeColor="text1" w:themeTint="A6"/>
          <w:sz w:val="19"/>
          <w:szCs w:val="19"/>
        </w:rPr>
        <w:t>empresa</w:t>
      </w:r>
      <w:r w:rsidRPr="00AB7521">
        <w:rPr>
          <w:rFonts w:ascii="Tahoma" w:hAnsi="Tahoma" w:cs="Tahoma"/>
          <w:color w:val="595959" w:themeColor="text1" w:themeTint="A6"/>
          <w:sz w:val="19"/>
          <w:szCs w:val="19"/>
        </w:rPr>
        <w:t xml:space="preserve"> em situação de liquidez</w:t>
      </w:r>
      <w:r w:rsidR="00D3109A">
        <w:rPr>
          <w:rFonts w:ascii="Tahoma" w:hAnsi="Tahoma" w:cs="Tahoma"/>
          <w:color w:val="595959" w:themeColor="text1" w:themeTint="A6"/>
          <w:sz w:val="19"/>
          <w:szCs w:val="19"/>
        </w:rPr>
        <w:t>. U</w:t>
      </w:r>
      <w:r w:rsidRPr="00AB7521">
        <w:rPr>
          <w:rFonts w:ascii="Tahoma" w:hAnsi="Tahoma" w:cs="Tahoma"/>
          <w:color w:val="595959" w:themeColor="text1" w:themeTint="A6"/>
          <w:sz w:val="19"/>
          <w:szCs w:val="19"/>
        </w:rPr>
        <w:t xml:space="preserve">ma </w:t>
      </w:r>
      <w:r w:rsidR="00D3109A">
        <w:rPr>
          <w:rFonts w:ascii="Tahoma" w:hAnsi="Tahoma" w:cs="Tahoma"/>
          <w:color w:val="595959" w:themeColor="text1" w:themeTint="A6"/>
          <w:sz w:val="19"/>
          <w:szCs w:val="19"/>
        </w:rPr>
        <w:t>das</w:t>
      </w:r>
      <w:r w:rsidRPr="00AB7521">
        <w:rPr>
          <w:rFonts w:ascii="Tahoma" w:hAnsi="Tahoma" w:cs="Tahoma"/>
          <w:color w:val="595959" w:themeColor="text1" w:themeTint="A6"/>
          <w:sz w:val="19"/>
          <w:szCs w:val="19"/>
        </w:rPr>
        <w:t xml:space="preserve"> atribuições</w:t>
      </w:r>
      <w:r w:rsidR="00D3109A">
        <w:rPr>
          <w:rFonts w:ascii="Tahoma" w:hAnsi="Tahoma" w:cs="Tahoma"/>
          <w:color w:val="595959" w:themeColor="text1" w:themeTint="A6"/>
          <w:sz w:val="19"/>
          <w:szCs w:val="19"/>
        </w:rPr>
        <w:t xml:space="preserve"> do</w:t>
      </w:r>
      <w:r w:rsidR="00D3109A" w:rsidRPr="00AB7521">
        <w:rPr>
          <w:rFonts w:ascii="Tahoma" w:hAnsi="Tahoma" w:cs="Tahoma"/>
          <w:color w:val="595959" w:themeColor="text1" w:themeTint="A6"/>
          <w:sz w:val="19"/>
          <w:szCs w:val="19"/>
        </w:rPr>
        <w:t xml:space="preserve"> Comitê de Caixa</w:t>
      </w:r>
      <w:r w:rsidR="00D3109A">
        <w:rPr>
          <w:rFonts w:ascii="Tahoma" w:hAnsi="Tahoma" w:cs="Tahoma"/>
          <w:color w:val="595959" w:themeColor="text1" w:themeTint="A6"/>
          <w:sz w:val="19"/>
          <w:szCs w:val="19"/>
        </w:rPr>
        <w:t xml:space="preserve"> é</w:t>
      </w:r>
      <w:r w:rsidRPr="00AB7521">
        <w:rPr>
          <w:rFonts w:ascii="Tahoma" w:hAnsi="Tahoma" w:cs="Tahoma"/>
          <w:color w:val="595959" w:themeColor="text1" w:themeTint="A6"/>
          <w:sz w:val="19"/>
          <w:szCs w:val="19"/>
        </w:rPr>
        <w:t xml:space="preserve"> o acompanhamento de variáveis que impactam na gestão do risco de liquidez.</w:t>
      </w:r>
    </w:p>
    <w:p w14:paraId="35A37C14" w14:textId="4B06E0D0" w:rsidR="00AB7521" w:rsidRPr="00AB7521" w:rsidRDefault="00D3109A" w:rsidP="00AB7521">
      <w:pPr>
        <w:spacing w:before="120" w:after="120" w:line="360" w:lineRule="auto"/>
        <w:rPr>
          <w:rFonts w:ascii="Tahoma" w:hAnsi="Tahoma" w:cs="Tahoma"/>
          <w:color w:val="595959" w:themeColor="text1" w:themeTint="A6"/>
          <w:sz w:val="19"/>
          <w:szCs w:val="19"/>
        </w:rPr>
      </w:pPr>
      <w:r>
        <w:rPr>
          <w:rFonts w:ascii="Tahoma" w:hAnsi="Tahoma" w:cs="Tahoma"/>
          <w:color w:val="595959" w:themeColor="text1" w:themeTint="A6"/>
          <w:sz w:val="19"/>
          <w:szCs w:val="19"/>
        </w:rPr>
        <w:t>As atividades</w:t>
      </w:r>
      <w:r w:rsidR="00AB7521" w:rsidRPr="00AB7521">
        <w:rPr>
          <w:rFonts w:ascii="Tahoma" w:hAnsi="Tahoma" w:cs="Tahoma"/>
          <w:color w:val="595959" w:themeColor="text1" w:themeTint="A6"/>
          <w:sz w:val="19"/>
          <w:szCs w:val="19"/>
        </w:rPr>
        <w:t xml:space="preserve"> de gestão de riscos são basead</w:t>
      </w:r>
      <w:r>
        <w:rPr>
          <w:rFonts w:ascii="Tahoma" w:hAnsi="Tahoma" w:cs="Tahoma"/>
          <w:color w:val="595959" w:themeColor="text1" w:themeTint="A6"/>
          <w:sz w:val="19"/>
          <w:szCs w:val="19"/>
        </w:rPr>
        <w:t>a</w:t>
      </w:r>
      <w:r w:rsidR="00AB7521" w:rsidRPr="00AB7521">
        <w:rPr>
          <w:rFonts w:ascii="Tahoma" w:hAnsi="Tahoma" w:cs="Tahoma"/>
          <w:color w:val="595959" w:themeColor="text1" w:themeTint="A6"/>
          <w:sz w:val="19"/>
          <w:szCs w:val="19"/>
        </w:rPr>
        <w:t xml:space="preserve">s na sua estrutura normativa. </w:t>
      </w:r>
      <w:r>
        <w:rPr>
          <w:rFonts w:ascii="Tahoma" w:hAnsi="Tahoma" w:cs="Tahoma"/>
          <w:color w:val="595959" w:themeColor="text1" w:themeTint="A6"/>
          <w:sz w:val="19"/>
          <w:szCs w:val="19"/>
        </w:rPr>
        <w:t>Possuímos</w:t>
      </w:r>
      <w:r w:rsidR="00AB7521" w:rsidRPr="00AB7521">
        <w:rPr>
          <w:rFonts w:ascii="Tahoma" w:hAnsi="Tahoma" w:cs="Tahoma"/>
          <w:color w:val="595959" w:themeColor="text1" w:themeTint="A6"/>
          <w:sz w:val="19"/>
          <w:szCs w:val="19"/>
        </w:rPr>
        <w:t xml:space="preserve"> políticas, normas e metodologias padronizadas para identificar, monitorar e gerenciar os riscos significativos relacionados às atividades e processos de negócio (atividade</w:t>
      </w:r>
      <w:r>
        <w:rPr>
          <w:rFonts w:ascii="Tahoma" w:hAnsi="Tahoma" w:cs="Tahoma"/>
          <w:color w:val="595959" w:themeColor="text1" w:themeTint="A6"/>
          <w:sz w:val="19"/>
          <w:szCs w:val="19"/>
        </w:rPr>
        <w:t>s</w:t>
      </w:r>
      <w:r w:rsidR="00AB7521" w:rsidRPr="00AB7521">
        <w:rPr>
          <w:rFonts w:ascii="Tahoma" w:hAnsi="Tahoma" w:cs="Tahoma"/>
          <w:color w:val="595959" w:themeColor="text1" w:themeTint="A6"/>
          <w:sz w:val="19"/>
          <w:szCs w:val="19"/>
        </w:rPr>
        <w:t xml:space="preserve"> fim), bem como aqueles relacionados às funções de suporte ao negócio.</w:t>
      </w:r>
    </w:p>
    <w:p w14:paraId="5BDBCC3A" w14:textId="61EB5B36" w:rsidR="00AB7521" w:rsidRPr="00AB7521" w:rsidRDefault="00AB7521" w:rsidP="00AB7521">
      <w:pPr>
        <w:spacing w:before="120" w:after="120" w:line="360" w:lineRule="auto"/>
        <w:rPr>
          <w:rFonts w:ascii="Tahoma" w:hAnsi="Tahoma" w:cs="Tahoma"/>
          <w:color w:val="595959" w:themeColor="text1" w:themeTint="A6"/>
          <w:sz w:val="19"/>
          <w:szCs w:val="19"/>
        </w:rPr>
      </w:pPr>
      <w:r w:rsidRPr="00AB7521">
        <w:rPr>
          <w:rFonts w:ascii="Tahoma" w:hAnsi="Tahoma" w:cs="Tahoma"/>
          <w:color w:val="595959" w:themeColor="text1" w:themeTint="A6"/>
          <w:sz w:val="19"/>
          <w:szCs w:val="19"/>
        </w:rPr>
        <w:t>As normas listam os procedimentos necessários para se cumprir as etapas de identificação, avaliação, mensuração, mitigação e monitoramento de riscos.</w:t>
      </w:r>
    </w:p>
    <w:p w14:paraId="3EBEC9CF" w14:textId="3D2E7291" w:rsidR="00AB7521" w:rsidRPr="00D3109A" w:rsidRDefault="00AB7521" w:rsidP="00D3109A">
      <w:pPr>
        <w:spacing w:before="120" w:after="120" w:line="360" w:lineRule="auto"/>
        <w:rPr>
          <w:rFonts w:ascii="Tahoma" w:hAnsi="Tahoma" w:cs="Tahoma"/>
          <w:color w:val="595959" w:themeColor="text1" w:themeTint="A6"/>
          <w:sz w:val="19"/>
          <w:szCs w:val="19"/>
        </w:rPr>
      </w:pPr>
      <w:r w:rsidRPr="00D3109A">
        <w:rPr>
          <w:rFonts w:ascii="Tahoma" w:hAnsi="Tahoma" w:cs="Tahoma"/>
          <w:color w:val="595959" w:themeColor="text1" w:themeTint="A6"/>
          <w:sz w:val="19"/>
          <w:szCs w:val="19"/>
        </w:rPr>
        <w:lastRenderedPageBreak/>
        <w:t xml:space="preserve">O Conselho de Administração e a Diretoria Executiva são os colegiados responsáveis pela aprovação das </w:t>
      </w:r>
      <w:r w:rsidR="00D3109A">
        <w:rPr>
          <w:rFonts w:ascii="Tahoma" w:hAnsi="Tahoma" w:cs="Tahoma"/>
          <w:color w:val="595959" w:themeColor="text1" w:themeTint="A6"/>
          <w:sz w:val="19"/>
          <w:szCs w:val="19"/>
        </w:rPr>
        <w:t>p</w:t>
      </w:r>
      <w:r w:rsidRPr="00D3109A">
        <w:rPr>
          <w:rFonts w:ascii="Tahoma" w:hAnsi="Tahoma" w:cs="Tahoma"/>
          <w:color w:val="595959" w:themeColor="text1" w:themeTint="A6"/>
          <w:sz w:val="19"/>
          <w:szCs w:val="19"/>
        </w:rPr>
        <w:t xml:space="preserve">olíticas </w:t>
      </w:r>
      <w:r w:rsidR="00D3109A">
        <w:rPr>
          <w:rFonts w:ascii="Tahoma" w:hAnsi="Tahoma" w:cs="Tahoma"/>
          <w:color w:val="595959" w:themeColor="text1" w:themeTint="A6"/>
          <w:sz w:val="19"/>
          <w:szCs w:val="19"/>
        </w:rPr>
        <w:t>c</w:t>
      </w:r>
      <w:r w:rsidRPr="00D3109A">
        <w:rPr>
          <w:rFonts w:ascii="Tahoma" w:hAnsi="Tahoma" w:cs="Tahoma"/>
          <w:color w:val="595959" w:themeColor="text1" w:themeTint="A6"/>
          <w:sz w:val="19"/>
          <w:szCs w:val="19"/>
        </w:rPr>
        <w:t xml:space="preserve">orporativas de </w:t>
      </w:r>
      <w:r w:rsidR="00D3109A">
        <w:rPr>
          <w:rFonts w:ascii="Tahoma" w:hAnsi="Tahoma" w:cs="Tahoma"/>
          <w:color w:val="595959" w:themeColor="text1" w:themeTint="A6"/>
          <w:sz w:val="19"/>
          <w:szCs w:val="19"/>
        </w:rPr>
        <w:t>g</w:t>
      </w:r>
      <w:r w:rsidRPr="00D3109A">
        <w:rPr>
          <w:rFonts w:ascii="Tahoma" w:hAnsi="Tahoma" w:cs="Tahoma"/>
          <w:color w:val="595959" w:themeColor="text1" w:themeTint="A6"/>
          <w:sz w:val="19"/>
          <w:szCs w:val="19"/>
        </w:rPr>
        <w:t xml:space="preserve">estão de </w:t>
      </w:r>
      <w:r w:rsidR="00D3109A">
        <w:rPr>
          <w:rFonts w:ascii="Tahoma" w:hAnsi="Tahoma" w:cs="Tahoma"/>
          <w:color w:val="595959" w:themeColor="text1" w:themeTint="A6"/>
          <w:sz w:val="19"/>
          <w:szCs w:val="19"/>
        </w:rPr>
        <w:t>r</w:t>
      </w:r>
      <w:r w:rsidRPr="00D3109A">
        <w:rPr>
          <w:rFonts w:ascii="Tahoma" w:hAnsi="Tahoma" w:cs="Tahoma"/>
          <w:color w:val="595959" w:themeColor="text1" w:themeTint="A6"/>
          <w:sz w:val="19"/>
          <w:szCs w:val="19"/>
        </w:rPr>
        <w:t>iscos, que formalizam as diretrizes e o processo de gestão dos riscos na Finep.</w:t>
      </w:r>
      <w:r w:rsidR="00D3109A">
        <w:rPr>
          <w:rFonts w:ascii="Tahoma" w:hAnsi="Tahoma" w:cs="Tahoma"/>
          <w:color w:val="595959" w:themeColor="text1" w:themeTint="A6"/>
          <w:sz w:val="19"/>
          <w:szCs w:val="19"/>
        </w:rPr>
        <w:t xml:space="preserve"> </w:t>
      </w:r>
      <w:r w:rsidRPr="00D3109A">
        <w:rPr>
          <w:rFonts w:ascii="Tahoma" w:hAnsi="Tahoma" w:cs="Tahoma"/>
          <w:color w:val="595959" w:themeColor="text1" w:themeTint="A6"/>
          <w:sz w:val="19"/>
          <w:szCs w:val="19"/>
        </w:rPr>
        <w:t xml:space="preserve">As duas </w:t>
      </w:r>
      <w:r w:rsidR="00D3109A">
        <w:rPr>
          <w:rFonts w:ascii="Tahoma" w:hAnsi="Tahoma" w:cs="Tahoma"/>
          <w:color w:val="595959" w:themeColor="text1" w:themeTint="A6"/>
          <w:sz w:val="19"/>
          <w:szCs w:val="19"/>
        </w:rPr>
        <w:t>p</w:t>
      </w:r>
      <w:r w:rsidRPr="00D3109A">
        <w:rPr>
          <w:rFonts w:ascii="Tahoma" w:hAnsi="Tahoma" w:cs="Tahoma"/>
          <w:color w:val="595959" w:themeColor="text1" w:themeTint="A6"/>
          <w:sz w:val="19"/>
          <w:szCs w:val="19"/>
        </w:rPr>
        <w:t xml:space="preserve">olíticas </w:t>
      </w:r>
      <w:r w:rsidR="00D3109A">
        <w:rPr>
          <w:rFonts w:ascii="Tahoma" w:hAnsi="Tahoma" w:cs="Tahoma"/>
          <w:color w:val="595959" w:themeColor="text1" w:themeTint="A6"/>
          <w:sz w:val="19"/>
          <w:szCs w:val="19"/>
        </w:rPr>
        <w:t>c</w:t>
      </w:r>
      <w:r w:rsidRPr="00D3109A">
        <w:rPr>
          <w:rFonts w:ascii="Tahoma" w:hAnsi="Tahoma" w:cs="Tahoma"/>
          <w:color w:val="595959" w:themeColor="text1" w:themeTint="A6"/>
          <w:sz w:val="19"/>
          <w:szCs w:val="19"/>
        </w:rPr>
        <w:t xml:space="preserve">orporativas relacionadas ao </w:t>
      </w:r>
      <w:r w:rsidR="00D3109A">
        <w:rPr>
          <w:rFonts w:ascii="Tahoma" w:hAnsi="Tahoma" w:cs="Tahoma"/>
          <w:color w:val="595959" w:themeColor="text1" w:themeTint="A6"/>
          <w:sz w:val="19"/>
          <w:szCs w:val="19"/>
        </w:rPr>
        <w:t>p</w:t>
      </w:r>
      <w:r w:rsidRPr="00D3109A">
        <w:rPr>
          <w:rFonts w:ascii="Tahoma" w:hAnsi="Tahoma" w:cs="Tahoma"/>
          <w:color w:val="595959" w:themeColor="text1" w:themeTint="A6"/>
          <w:sz w:val="19"/>
          <w:szCs w:val="19"/>
        </w:rPr>
        <w:t xml:space="preserve">rocesso de </w:t>
      </w:r>
      <w:r w:rsidR="00D3109A">
        <w:rPr>
          <w:rFonts w:ascii="Tahoma" w:hAnsi="Tahoma" w:cs="Tahoma"/>
          <w:color w:val="595959" w:themeColor="text1" w:themeTint="A6"/>
          <w:sz w:val="19"/>
          <w:szCs w:val="19"/>
        </w:rPr>
        <w:t>g</w:t>
      </w:r>
      <w:r w:rsidRPr="00D3109A">
        <w:rPr>
          <w:rFonts w:ascii="Tahoma" w:hAnsi="Tahoma" w:cs="Tahoma"/>
          <w:color w:val="595959" w:themeColor="text1" w:themeTint="A6"/>
          <w:sz w:val="19"/>
          <w:szCs w:val="19"/>
        </w:rPr>
        <w:t xml:space="preserve">erenciamento de </w:t>
      </w:r>
      <w:r w:rsidR="00D3109A">
        <w:rPr>
          <w:rFonts w:ascii="Tahoma" w:hAnsi="Tahoma" w:cs="Tahoma"/>
          <w:color w:val="595959" w:themeColor="text1" w:themeTint="A6"/>
          <w:sz w:val="19"/>
          <w:szCs w:val="19"/>
        </w:rPr>
        <w:t>r</w:t>
      </w:r>
      <w:r w:rsidRPr="00D3109A">
        <w:rPr>
          <w:rFonts w:ascii="Tahoma" w:hAnsi="Tahoma" w:cs="Tahoma"/>
          <w:color w:val="595959" w:themeColor="text1" w:themeTint="A6"/>
          <w:sz w:val="19"/>
          <w:szCs w:val="19"/>
        </w:rPr>
        <w:t xml:space="preserve">iscos na Finep são a </w:t>
      </w:r>
      <w:hyperlink r:id="rId255" w:history="1">
        <w:r w:rsidRPr="00D3109A">
          <w:rPr>
            <w:rStyle w:val="Hyperlink"/>
            <w:rFonts w:ascii="Tahoma" w:hAnsi="Tahoma" w:cs="Tahoma"/>
            <w:sz w:val="19"/>
            <w:szCs w:val="19"/>
          </w:rPr>
          <w:t>Política de Gestão Integrada de Riscos</w:t>
        </w:r>
      </w:hyperlink>
      <w:r w:rsidRPr="00D3109A">
        <w:rPr>
          <w:rFonts w:ascii="Tahoma" w:hAnsi="Tahoma" w:cs="Tahoma"/>
          <w:color w:val="595959" w:themeColor="text1" w:themeTint="A6"/>
          <w:sz w:val="19"/>
          <w:szCs w:val="19"/>
        </w:rPr>
        <w:t xml:space="preserve"> e a </w:t>
      </w:r>
      <w:hyperlink r:id="rId256" w:history="1">
        <w:r w:rsidRPr="00D3109A">
          <w:rPr>
            <w:rStyle w:val="Hyperlink"/>
            <w:rFonts w:ascii="Tahoma" w:hAnsi="Tahoma" w:cs="Tahoma"/>
            <w:sz w:val="19"/>
            <w:szCs w:val="19"/>
          </w:rPr>
          <w:t>Política de Apetite por Riscos</w:t>
        </w:r>
      </w:hyperlink>
      <w:r w:rsidR="00D3109A">
        <w:rPr>
          <w:rFonts w:ascii="Tahoma" w:hAnsi="Tahoma" w:cs="Tahoma"/>
          <w:color w:val="595959" w:themeColor="text1" w:themeTint="A6"/>
          <w:sz w:val="19"/>
          <w:szCs w:val="19"/>
        </w:rPr>
        <w:t>. O</w:t>
      </w:r>
      <w:r w:rsidRPr="00D3109A">
        <w:rPr>
          <w:rFonts w:ascii="Tahoma" w:hAnsi="Tahoma" w:cs="Tahoma"/>
          <w:color w:val="595959" w:themeColor="text1" w:themeTint="A6"/>
          <w:sz w:val="19"/>
          <w:szCs w:val="19"/>
        </w:rPr>
        <w:t xml:space="preserve"> objetivo dessas políticas é estabelecer princípios, diretrizes e responsabilidades para a gestão de riscos na Finep.</w:t>
      </w:r>
    </w:p>
    <w:p w14:paraId="3850E83C" w14:textId="77777777" w:rsidR="00AB7521" w:rsidRPr="00D3109A" w:rsidRDefault="00AB7521" w:rsidP="00D3109A">
      <w:pPr>
        <w:spacing w:before="120" w:after="120" w:line="360" w:lineRule="auto"/>
        <w:rPr>
          <w:rFonts w:ascii="Tahoma" w:hAnsi="Tahoma" w:cs="Tahoma"/>
          <w:color w:val="595959" w:themeColor="text1" w:themeTint="A6"/>
          <w:sz w:val="19"/>
          <w:szCs w:val="19"/>
        </w:rPr>
      </w:pPr>
      <w:r w:rsidRPr="00D3109A">
        <w:rPr>
          <w:rFonts w:ascii="Tahoma" w:hAnsi="Tahoma" w:cs="Tahoma"/>
          <w:color w:val="595959" w:themeColor="text1" w:themeTint="A6"/>
          <w:sz w:val="19"/>
          <w:szCs w:val="19"/>
        </w:rPr>
        <w:t>Os processos de identificação, mapeamento, avaliação e mitigação dos riscos contam com o envolvimento dos proprietários de riscos, ou seja, os gestores com alçada para orientar e acompanhar as ações necessárias.</w:t>
      </w:r>
    </w:p>
    <w:p w14:paraId="12EA1E11" w14:textId="39EDEE7B" w:rsidR="00AB7521" w:rsidRPr="00D3109A" w:rsidRDefault="00AB7521" w:rsidP="00D3109A">
      <w:pPr>
        <w:spacing w:before="120" w:after="120" w:line="360" w:lineRule="auto"/>
        <w:rPr>
          <w:rFonts w:ascii="Tahoma" w:hAnsi="Tahoma" w:cs="Tahoma"/>
          <w:color w:val="595959" w:themeColor="text1" w:themeTint="A6"/>
          <w:sz w:val="19"/>
          <w:szCs w:val="19"/>
        </w:rPr>
      </w:pPr>
      <w:r w:rsidRPr="00D3109A">
        <w:rPr>
          <w:rFonts w:ascii="Tahoma" w:hAnsi="Tahoma" w:cs="Tahoma"/>
          <w:color w:val="595959" w:themeColor="text1" w:themeTint="A6"/>
          <w:sz w:val="19"/>
          <w:szCs w:val="19"/>
        </w:rPr>
        <w:t>Os resultados das atividades de gerenciamento de riscos e controles apontam que a empresa está exposta a riscos das seguintes naturezas:</w:t>
      </w:r>
    </w:p>
    <w:p w14:paraId="5A559A0A" w14:textId="21034CF9" w:rsidR="00FF5A35" w:rsidRPr="00D3109A" w:rsidRDefault="00FF5A35" w:rsidP="00D3109A">
      <w:pPr>
        <w:spacing w:before="120" w:after="120" w:line="360" w:lineRule="auto"/>
        <w:jc w:val="center"/>
        <w:rPr>
          <w:rFonts w:ascii="Tahoma" w:hAnsi="Tahoma" w:cs="Tahoma"/>
          <w:color w:val="595959" w:themeColor="text1" w:themeTint="A6"/>
          <w:sz w:val="19"/>
          <w:szCs w:val="19"/>
        </w:rPr>
      </w:pPr>
      <w:r>
        <w:rPr>
          <w:noProof/>
          <w:color w:val="2B579A"/>
          <w:shd w:val="clear" w:color="auto" w:fill="E6E6E6"/>
        </w:rPr>
        <w:drawing>
          <wp:inline distT="0" distB="0" distL="0" distR="0" wp14:anchorId="16ACB00C" wp14:editId="79EA69B0">
            <wp:extent cx="2969431" cy="3199805"/>
            <wp:effectExtent l="0" t="0" r="2369" b="595"/>
            <wp:docPr id="2080132196" name="Picture 28"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2969431" cy="3199805"/>
                    </a:xfrm>
                    <a:prstGeom prst="rect">
                      <a:avLst/>
                    </a:prstGeom>
                    <a:noFill/>
                    <a:ln>
                      <a:noFill/>
                      <a:prstDash/>
                    </a:ln>
                  </pic:spPr>
                </pic:pic>
              </a:graphicData>
            </a:graphic>
          </wp:inline>
        </w:drawing>
      </w:r>
    </w:p>
    <w:p w14:paraId="46D90B26" w14:textId="35674CE7" w:rsidR="00AB7521" w:rsidRPr="00D3109A" w:rsidRDefault="00D3109A" w:rsidP="00D3109A">
      <w:pPr>
        <w:spacing w:before="120" w:after="120" w:line="360" w:lineRule="auto"/>
        <w:rPr>
          <w:rFonts w:ascii="Tahoma" w:hAnsi="Tahoma" w:cs="Tahoma"/>
          <w:color w:val="595959" w:themeColor="text1" w:themeTint="A6"/>
          <w:sz w:val="19"/>
          <w:szCs w:val="19"/>
        </w:rPr>
      </w:pPr>
      <w:r>
        <w:rPr>
          <w:rFonts w:ascii="Tahoma" w:hAnsi="Tahoma" w:cs="Tahoma"/>
          <w:color w:val="595959" w:themeColor="text1" w:themeTint="A6"/>
          <w:sz w:val="19"/>
          <w:szCs w:val="19"/>
        </w:rPr>
        <w:t>Também dispomos</w:t>
      </w:r>
      <w:r w:rsidR="00AB7521" w:rsidRPr="00D3109A">
        <w:rPr>
          <w:rFonts w:ascii="Tahoma" w:hAnsi="Tahoma" w:cs="Tahoma"/>
          <w:color w:val="595959" w:themeColor="text1" w:themeTint="A6"/>
          <w:sz w:val="19"/>
          <w:szCs w:val="19"/>
        </w:rPr>
        <w:t xml:space="preserve"> de iniciativas para a disseminação da cultura de gestão de riscos, que envolvem todos os colaboradores</w:t>
      </w:r>
      <w:r>
        <w:rPr>
          <w:rFonts w:ascii="Tahoma" w:hAnsi="Tahoma" w:cs="Tahoma"/>
          <w:color w:val="595959" w:themeColor="text1" w:themeTint="A6"/>
          <w:sz w:val="19"/>
          <w:szCs w:val="19"/>
        </w:rPr>
        <w:t>. D</w:t>
      </w:r>
      <w:r w:rsidR="00AB7521" w:rsidRPr="00D3109A">
        <w:rPr>
          <w:rFonts w:ascii="Tahoma" w:hAnsi="Tahoma" w:cs="Tahoma"/>
          <w:color w:val="595959" w:themeColor="text1" w:themeTint="A6"/>
          <w:sz w:val="19"/>
          <w:szCs w:val="19"/>
        </w:rPr>
        <w:t xml:space="preserve">estaca-se a publicação de matérias no </w:t>
      </w:r>
      <w:r>
        <w:rPr>
          <w:rFonts w:ascii="Tahoma" w:hAnsi="Tahoma" w:cs="Tahoma"/>
          <w:color w:val="595959" w:themeColor="text1" w:themeTint="A6"/>
          <w:sz w:val="19"/>
          <w:szCs w:val="19"/>
        </w:rPr>
        <w:t>b</w:t>
      </w:r>
      <w:r w:rsidR="00AB7521" w:rsidRPr="00D3109A">
        <w:rPr>
          <w:rFonts w:ascii="Tahoma" w:hAnsi="Tahoma" w:cs="Tahoma"/>
          <w:color w:val="595959" w:themeColor="text1" w:themeTint="A6"/>
          <w:sz w:val="19"/>
          <w:szCs w:val="19"/>
        </w:rPr>
        <w:t xml:space="preserve">oletim da </w:t>
      </w:r>
      <w:r>
        <w:rPr>
          <w:rFonts w:ascii="Tahoma" w:hAnsi="Tahoma" w:cs="Tahoma"/>
          <w:color w:val="595959" w:themeColor="text1" w:themeTint="A6"/>
          <w:sz w:val="19"/>
          <w:szCs w:val="19"/>
        </w:rPr>
        <w:t xml:space="preserve">área responsável </w:t>
      </w:r>
      <w:r w:rsidR="00AB7521" w:rsidRPr="00D3109A">
        <w:rPr>
          <w:rFonts w:ascii="Tahoma" w:hAnsi="Tahoma" w:cs="Tahoma"/>
          <w:color w:val="595959" w:themeColor="text1" w:themeTint="A6"/>
          <w:sz w:val="19"/>
          <w:szCs w:val="19"/>
        </w:rPr>
        <w:t>e a participação d</w:t>
      </w:r>
      <w:r>
        <w:rPr>
          <w:rFonts w:ascii="Tahoma" w:hAnsi="Tahoma" w:cs="Tahoma"/>
          <w:color w:val="595959" w:themeColor="text1" w:themeTint="A6"/>
          <w:sz w:val="19"/>
          <w:szCs w:val="19"/>
        </w:rPr>
        <w:t>e sua</w:t>
      </w:r>
      <w:r w:rsidR="00AB7521" w:rsidRPr="00D3109A">
        <w:rPr>
          <w:rFonts w:ascii="Tahoma" w:hAnsi="Tahoma" w:cs="Tahoma"/>
          <w:color w:val="595959" w:themeColor="text1" w:themeTint="A6"/>
          <w:sz w:val="19"/>
          <w:szCs w:val="19"/>
        </w:rPr>
        <w:t xml:space="preserve"> equipe no Grupo de Trabalho de </w:t>
      </w:r>
      <w:r w:rsidR="00FA4C89">
        <w:rPr>
          <w:rFonts w:ascii="Tahoma" w:hAnsi="Tahoma" w:cs="Tahoma"/>
          <w:color w:val="595959" w:themeColor="text1" w:themeTint="A6"/>
          <w:sz w:val="19"/>
          <w:szCs w:val="19"/>
        </w:rPr>
        <w:t>Gestão</w:t>
      </w:r>
      <w:r w:rsidR="00AB7521" w:rsidRPr="00D3109A">
        <w:rPr>
          <w:rFonts w:ascii="Tahoma" w:hAnsi="Tahoma" w:cs="Tahoma"/>
          <w:color w:val="595959" w:themeColor="text1" w:themeTint="A6"/>
          <w:sz w:val="19"/>
          <w:szCs w:val="19"/>
        </w:rPr>
        <w:t xml:space="preserve"> </w:t>
      </w:r>
      <w:r>
        <w:rPr>
          <w:rFonts w:ascii="Tahoma" w:hAnsi="Tahoma" w:cs="Tahoma"/>
          <w:color w:val="595959" w:themeColor="text1" w:themeTint="A6"/>
          <w:sz w:val="19"/>
          <w:szCs w:val="19"/>
        </w:rPr>
        <w:t>E</w:t>
      </w:r>
      <w:r w:rsidR="00AB7521" w:rsidRPr="00D3109A">
        <w:rPr>
          <w:rFonts w:ascii="Tahoma" w:hAnsi="Tahoma" w:cs="Tahoma"/>
          <w:color w:val="595959" w:themeColor="text1" w:themeTint="A6"/>
          <w:sz w:val="19"/>
          <w:szCs w:val="19"/>
        </w:rPr>
        <w:t>stratégic</w:t>
      </w:r>
      <w:r w:rsidR="00FA4C89">
        <w:rPr>
          <w:rFonts w:ascii="Tahoma" w:hAnsi="Tahoma" w:cs="Tahoma"/>
          <w:color w:val="595959" w:themeColor="text1" w:themeTint="A6"/>
          <w:sz w:val="19"/>
          <w:szCs w:val="19"/>
        </w:rPr>
        <w:t>a</w:t>
      </w:r>
      <w:r w:rsidR="00AB7521" w:rsidRPr="00D3109A">
        <w:rPr>
          <w:rFonts w:ascii="Tahoma" w:hAnsi="Tahoma" w:cs="Tahoma"/>
          <w:color w:val="595959" w:themeColor="text1" w:themeTint="A6"/>
          <w:sz w:val="19"/>
          <w:szCs w:val="19"/>
        </w:rPr>
        <w:t>, aprimorando o processo de identificação dos riscos estratégicos da Finep.</w:t>
      </w:r>
    </w:p>
    <w:p w14:paraId="0F8D9D87" w14:textId="3BEDD357" w:rsidR="00AB7521" w:rsidRDefault="00FF5A35" w:rsidP="00D3109A">
      <w:pPr>
        <w:spacing w:before="120" w:after="120" w:line="360" w:lineRule="auto"/>
        <w:rPr>
          <w:rFonts w:ascii="Tahoma" w:hAnsi="Tahoma" w:cs="Tahoma"/>
          <w:color w:val="595959" w:themeColor="text1" w:themeTint="A6"/>
          <w:sz w:val="19"/>
          <w:szCs w:val="19"/>
        </w:rPr>
      </w:pPr>
      <w:r w:rsidRPr="00210336">
        <w:rPr>
          <w:rFonts w:ascii="Tahoma" w:hAnsi="Tahoma" w:cs="Tahoma"/>
          <w:noProof/>
          <w:sz w:val="22"/>
          <w:szCs w:val="22"/>
        </w:rPr>
        <mc:AlternateContent>
          <mc:Choice Requires="wps">
            <w:drawing>
              <wp:anchor distT="0" distB="0" distL="114300" distR="114300" simplePos="0" relativeHeight="251857920" behindDoc="0" locked="0" layoutInCell="1" allowOverlap="1" wp14:anchorId="4087647C" wp14:editId="6B850A99">
                <wp:simplePos x="0" y="0"/>
                <wp:positionH relativeFrom="column">
                  <wp:posOffset>507307</wp:posOffset>
                </wp:positionH>
                <wp:positionV relativeFrom="paragraph">
                  <wp:posOffset>941260</wp:posOffset>
                </wp:positionV>
                <wp:extent cx="5147450" cy="296883"/>
                <wp:effectExtent l="0" t="0" r="0" b="8255"/>
                <wp:wrapNone/>
                <wp:docPr id="666347557" name="Text Box 237"/>
                <wp:cNvGraphicFramePr/>
                <a:graphic xmlns:a="http://schemas.openxmlformats.org/drawingml/2006/main">
                  <a:graphicData uri="http://schemas.microsoft.com/office/word/2010/wordprocessingShape">
                    <wps:wsp>
                      <wps:cNvSpPr txBox="1"/>
                      <wps:spPr>
                        <a:xfrm>
                          <a:off x="0" y="0"/>
                          <a:ext cx="5147450" cy="296883"/>
                        </a:xfrm>
                        <a:prstGeom prst="rect">
                          <a:avLst/>
                        </a:prstGeom>
                        <a:solidFill>
                          <a:srgbClr val="0098BA">
                            <a:alpha val="25098"/>
                          </a:srgbClr>
                        </a:solidFill>
                        <a:ln w="6345">
                          <a:noFill/>
                          <a:prstDash val="dash"/>
                        </a:ln>
                      </wps:spPr>
                      <wps:txbx>
                        <w:txbxContent>
                          <w:p w14:paraId="1DF8355E" w14:textId="583DC898" w:rsidR="00FF5A35" w:rsidRPr="0082438F" w:rsidRDefault="00FF5A35" w:rsidP="00FF5A35">
                            <w:pPr>
                              <w:rPr>
                                <w:rFonts w:ascii="Tahoma" w:hAnsi="Tahoma" w:cs="Tahoma"/>
                                <w:sz w:val="16"/>
                                <w:szCs w:val="16"/>
                              </w:rPr>
                            </w:pPr>
                            <w:r>
                              <w:rPr>
                                <w:rFonts w:ascii="Tahoma" w:hAnsi="Tahoma" w:cs="Tahoma"/>
                                <w:sz w:val="16"/>
                                <w:szCs w:val="16"/>
                              </w:rPr>
                              <w:t xml:space="preserve">Os riscos estratégicos são apresentados na seção </w:t>
                            </w:r>
                            <w:r w:rsidR="00281E55">
                              <w:rPr>
                                <w:rFonts w:ascii="Tahoma" w:hAnsi="Tahoma" w:cs="Tahoma"/>
                                <w:sz w:val="16"/>
                                <w:szCs w:val="16"/>
                              </w:rPr>
                              <w:t>‘</w:t>
                            </w:r>
                            <w:r w:rsidRPr="00FF5A35">
                              <w:rPr>
                                <w:rFonts w:ascii="Tahoma" w:hAnsi="Tahoma" w:cs="Tahoma"/>
                                <w:sz w:val="16"/>
                                <w:szCs w:val="16"/>
                              </w:rPr>
                              <w:t>Nosso desempenho – estratégia e operação</w:t>
                            </w:r>
                            <w:r w:rsidR="00281E55">
                              <w:rPr>
                                <w:rFonts w:ascii="Tahoma" w:hAnsi="Tahoma" w:cs="Tahoma"/>
                                <w:sz w:val="16"/>
                                <w:szCs w:val="16"/>
                              </w:rPr>
                              <w:t>’</w:t>
                            </w:r>
                            <w:r>
                              <w:rPr>
                                <w:rFonts w:ascii="Tahoma" w:hAnsi="Tahoma" w:cs="Tahoma"/>
                                <w:sz w:val="16"/>
                                <w:szCs w:val="16"/>
                              </w:rPr>
                              <w:t xml:space="preserve"> deste </w:t>
                            </w:r>
                            <w:r w:rsidRPr="00FF5A35">
                              <w:rPr>
                                <w:rFonts w:ascii="Tahoma" w:hAnsi="Tahoma" w:cs="Tahoma"/>
                                <w:sz w:val="16"/>
                                <w:szCs w:val="16"/>
                              </w:rPr>
                              <w:t>relatório.</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087647C" id="_x0000_s1055" type="#_x0000_t202" style="position:absolute;margin-left:39.95pt;margin-top:74.1pt;width:405.3pt;height:23.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" fillcolor="#0098ba" stroked="f" strokeweight=".17625mm">
                <v:fill opacity="16448f"/>
                <v:stroke dashstyle="dash"/>
                <v:textbox>
                  <w:txbxContent>
                    <w:p w14:paraId="1DF8355E" w14:textId="583DC898" w:rsidR="00FF5A35" w:rsidRPr="0082438F" w:rsidRDefault="00FF5A35" w:rsidP="00FF5A35">
                      <w:pPr>
                        <w:rPr>
                          <w:rFonts w:ascii="Tahoma" w:hAnsi="Tahoma" w:cs="Tahoma"/>
                          <w:sz w:val="16"/>
                          <w:szCs w:val="16"/>
                        </w:rPr>
                      </w:pPr>
                      <w:r>
                        <w:rPr>
                          <w:rFonts w:ascii="Tahoma" w:hAnsi="Tahoma" w:cs="Tahoma"/>
                          <w:sz w:val="16"/>
                          <w:szCs w:val="16"/>
                        </w:rPr>
                        <w:t xml:space="preserve">Os riscos estratégicos são apresentados na seção </w:t>
                      </w:r>
                      <w:r w:rsidR="00281E55">
                        <w:rPr>
                          <w:rFonts w:ascii="Tahoma" w:hAnsi="Tahoma" w:cs="Tahoma"/>
                          <w:sz w:val="16"/>
                          <w:szCs w:val="16"/>
                        </w:rPr>
                        <w:t>‘</w:t>
                      </w:r>
                      <w:r w:rsidRPr="00FF5A35">
                        <w:rPr>
                          <w:rFonts w:ascii="Tahoma" w:hAnsi="Tahoma" w:cs="Tahoma"/>
                          <w:sz w:val="16"/>
                          <w:szCs w:val="16"/>
                        </w:rPr>
                        <w:t>Nosso desempenho – estratégia e operação</w:t>
                      </w:r>
                      <w:r w:rsidR="00281E55">
                        <w:rPr>
                          <w:rFonts w:ascii="Tahoma" w:hAnsi="Tahoma" w:cs="Tahoma"/>
                          <w:sz w:val="16"/>
                          <w:szCs w:val="16"/>
                        </w:rPr>
                        <w:t>’</w:t>
                      </w:r>
                      <w:r>
                        <w:rPr>
                          <w:rFonts w:ascii="Tahoma" w:hAnsi="Tahoma" w:cs="Tahoma"/>
                          <w:sz w:val="16"/>
                          <w:szCs w:val="16"/>
                        </w:rPr>
                        <w:t xml:space="preserve"> deste </w:t>
                      </w:r>
                      <w:r w:rsidRPr="00FF5A35">
                        <w:rPr>
                          <w:rFonts w:ascii="Tahoma" w:hAnsi="Tahoma" w:cs="Tahoma"/>
                          <w:sz w:val="16"/>
                          <w:szCs w:val="16"/>
                        </w:rPr>
                        <w:t>relatório.</w:t>
                      </w:r>
                    </w:p>
                  </w:txbxContent>
                </v:textbox>
              </v:shape>
            </w:pict>
          </mc:Fallback>
        </mc:AlternateContent>
      </w:r>
      <w:r w:rsidR="00AB7521" w:rsidRPr="00D3109A">
        <w:rPr>
          <w:rFonts w:ascii="Tahoma" w:hAnsi="Tahoma" w:cs="Tahoma"/>
          <w:color w:val="595959" w:themeColor="text1" w:themeTint="A6"/>
          <w:sz w:val="19"/>
          <w:szCs w:val="19"/>
        </w:rPr>
        <w:t xml:space="preserve">Os </w:t>
      </w:r>
      <w:r>
        <w:rPr>
          <w:rFonts w:ascii="Tahoma" w:hAnsi="Tahoma" w:cs="Tahoma"/>
          <w:color w:val="595959" w:themeColor="text1" w:themeTint="A6"/>
          <w:sz w:val="19"/>
          <w:szCs w:val="19"/>
        </w:rPr>
        <w:t>r</w:t>
      </w:r>
      <w:r w:rsidR="00AB7521" w:rsidRPr="00D3109A">
        <w:rPr>
          <w:rFonts w:ascii="Tahoma" w:hAnsi="Tahoma" w:cs="Tahoma"/>
          <w:color w:val="595959" w:themeColor="text1" w:themeTint="A6"/>
          <w:sz w:val="19"/>
          <w:szCs w:val="19"/>
        </w:rPr>
        <w:t xml:space="preserve">iscos </w:t>
      </w:r>
      <w:r>
        <w:rPr>
          <w:rFonts w:ascii="Tahoma" w:hAnsi="Tahoma" w:cs="Tahoma"/>
          <w:color w:val="595959" w:themeColor="text1" w:themeTint="A6"/>
          <w:sz w:val="19"/>
          <w:szCs w:val="19"/>
        </w:rPr>
        <w:t>e</w:t>
      </w:r>
      <w:r w:rsidR="00AB7521" w:rsidRPr="00D3109A">
        <w:rPr>
          <w:rFonts w:ascii="Tahoma" w:hAnsi="Tahoma" w:cs="Tahoma"/>
          <w:color w:val="595959" w:themeColor="text1" w:themeTint="A6"/>
          <w:sz w:val="19"/>
          <w:szCs w:val="19"/>
        </w:rPr>
        <w:t xml:space="preserve">stratégicos fazem parte de nossa ELPPN e são anualmente revisitados. Essa revisão também atende à necessidade de manter o alinhamento dos riscos às diretrizes e aos objetivos estratégicos delineados pelos administradores da empresa que, no caso dos </w:t>
      </w:r>
      <w:r>
        <w:rPr>
          <w:rFonts w:ascii="Tahoma" w:hAnsi="Tahoma" w:cs="Tahoma"/>
          <w:color w:val="595959" w:themeColor="text1" w:themeTint="A6"/>
          <w:sz w:val="19"/>
          <w:szCs w:val="19"/>
        </w:rPr>
        <w:t>r</w:t>
      </w:r>
      <w:r w:rsidR="00AB7521" w:rsidRPr="00D3109A">
        <w:rPr>
          <w:rFonts w:ascii="Tahoma" w:hAnsi="Tahoma" w:cs="Tahoma"/>
          <w:color w:val="595959" w:themeColor="text1" w:themeTint="A6"/>
          <w:sz w:val="19"/>
          <w:szCs w:val="19"/>
        </w:rPr>
        <w:t xml:space="preserve">iscos </w:t>
      </w:r>
      <w:r>
        <w:rPr>
          <w:rFonts w:ascii="Tahoma" w:hAnsi="Tahoma" w:cs="Tahoma"/>
          <w:color w:val="595959" w:themeColor="text1" w:themeTint="A6"/>
          <w:sz w:val="19"/>
          <w:szCs w:val="19"/>
        </w:rPr>
        <w:t>e</w:t>
      </w:r>
      <w:r w:rsidR="00AB7521" w:rsidRPr="00D3109A">
        <w:rPr>
          <w:rFonts w:ascii="Tahoma" w:hAnsi="Tahoma" w:cs="Tahoma"/>
          <w:color w:val="595959" w:themeColor="text1" w:themeTint="A6"/>
          <w:sz w:val="19"/>
          <w:szCs w:val="19"/>
        </w:rPr>
        <w:t>stratégicos, assumem a função de proprietários dos riscos.</w:t>
      </w:r>
    </w:p>
    <w:p w14:paraId="400FD91C" w14:textId="3B8A18FF" w:rsidR="00FF5A35" w:rsidRDefault="00FF5A35" w:rsidP="00D3109A">
      <w:pPr>
        <w:spacing w:before="120" w:after="120" w:line="360" w:lineRule="auto"/>
        <w:rPr>
          <w:rFonts w:ascii="Tahoma" w:hAnsi="Tahoma" w:cs="Tahoma"/>
          <w:color w:val="595959" w:themeColor="text1" w:themeTint="A6"/>
          <w:sz w:val="19"/>
          <w:szCs w:val="19"/>
        </w:rPr>
      </w:pPr>
    </w:p>
    <w:p w14:paraId="601171B9" w14:textId="77777777" w:rsidR="00FF5A35" w:rsidRDefault="00FF5A35" w:rsidP="00D3109A">
      <w:pPr>
        <w:spacing w:before="120" w:after="120" w:line="360" w:lineRule="auto"/>
        <w:rPr>
          <w:rFonts w:ascii="Tahoma" w:hAnsi="Tahoma" w:cs="Tahoma"/>
          <w:color w:val="595959" w:themeColor="text1" w:themeTint="A6"/>
          <w:sz w:val="19"/>
          <w:szCs w:val="19"/>
        </w:rPr>
      </w:pPr>
    </w:p>
    <w:p w14:paraId="5499188C" w14:textId="5D02CCA5" w:rsidR="000D6D0A" w:rsidRDefault="00AB7521" w:rsidP="00F7661E">
      <w:pPr>
        <w:spacing w:before="120" w:after="120" w:line="360" w:lineRule="auto"/>
        <w:rPr>
          <w:rFonts w:ascii="Tahoma" w:eastAsia="Calibri" w:hAnsi="Tahoma" w:cs="Tahoma"/>
          <w:sz w:val="19"/>
          <w:szCs w:val="19"/>
        </w:rPr>
      </w:pPr>
      <w:r w:rsidRPr="00D3109A">
        <w:rPr>
          <w:rFonts w:ascii="Tahoma" w:hAnsi="Tahoma" w:cs="Tahoma"/>
          <w:color w:val="595959" w:themeColor="text1" w:themeTint="A6"/>
          <w:sz w:val="19"/>
          <w:szCs w:val="19"/>
        </w:rPr>
        <w:t xml:space="preserve">Por fim, para garantir que a gestão de riscos seja gerenciada de forma completa, </w:t>
      </w:r>
      <w:r w:rsidR="00FF5A35">
        <w:rPr>
          <w:rFonts w:ascii="Tahoma" w:hAnsi="Tahoma" w:cs="Tahoma"/>
          <w:color w:val="595959" w:themeColor="text1" w:themeTint="A6"/>
          <w:sz w:val="19"/>
          <w:szCs w:val="19"/>
        </w:rPr>
        <w:t>possuímos</w:t>
      </w:r>
      <w:r w:rsidRPr="00D3109A">
        <w:rPr>
          <w:rFonts w:ascii="Tahoma" w:hAnsi="Tahoma" w:cs="Tahoma"/>
          <w:color w:val="595959" w:themeColor="text1" w:themeTint="A6"/>
          <w:sz w:val="19"/>
          <w:szCs w:val="19"/>
        </w:rPr>
        <w:t xml:space="preserve"> processo contínuo </w:t>
      </w:r>
      <w:r w:rsidR="00FF5A35">
        <w:rPr>
          <w:rFonts w:ascii="Tahoma" w:hAnsi="Tahoma" w:cs="Tahoma"/>
          <w:color w:val="595959" w:themeColor="text1" w:themeTint="A6"/>
          <w:sz w:val="19"/>
          <w:szCs w:val="19"/>
        </w:rPr>
        <w:t xml:space="preserve">e </w:t>
      </w:r>
      <w:r w:rsidRPr="00D3109A">
        <w:rPr>
          <w:rFonts w:ascii="Tahoma" w:hAnsi="Tahoma" w:cs="Tahoma"/>
          <w:color w:val="595959" w:themeColor="text1" w:themeTint="A6"/>
          <w:sz w:val="19"/>
          <w:szCs w:val="19"/>
        </w:rPr>
        <w:t xml:space="preserve">estruturado de comunicação que atende </w:t>
      </w:r>
      <w:r w:rsidR="00FF5A35">
        <w:rPr>
          <w:rFonts w:ascii="Tahoma" w:hAnsi="Tahoma" w:cs="Tahoma"/>
          <w:color w:val="595959" w:themeColor="text1" w:themeTint="A6"/>
          <w:sz w:val="19"/>
          <w:szCs w:val="19"/>
        </w:rPr>
        <w:t>à</w:t>
      </w:r>
      <w:r w:rsidRPr="00D3109A">
        <w:rPr>
          <w:rFonts w:ascii="Tahoma" w:hAnsi="Tahoma" w:cs="Tahoma"/>
          <w:color w:val="595959" w:themeColor="text1" w:themeTint="A6"/>
          <w:sz w:val="19"/>
          <w:szCs w:val="19"/>
        </w:rPr>
        <w:t xml:space="preserve"> necessidade de reportar para todos os níveis da instituição, sobretudo à alta administração, o resultado do gerenciamento integrado de riscos, com a </w:t>
      </w:r>
      <w:r w:rsidRPr="00D3109A">
        <w:rPr>
          <w:rFonts w:ascii="Tahoma" w:hAnsi="Tahoma" w:cs="Tahoma"/>
          <w:color w:val="595959" w:themeColor="text1" w:themeTint="A6"/>
          <w:sz w:val="19"/>
          <w:szCs w:val="19"/>
        </w:rPr>
        <w:lastRenderedPageBreak/>
        <w:t>elaboração e divulgação d</w:t>
      </w:r>
      <w:r w:rsidR="00FF5A35">
        <w:rPr>
          <w:rFonts w:ascii="Tahoma" w:hAnsi="Tahoma" w:cs="Tahoma"/>
          <w:color w:val="595959" w:themeColor="text1" w:themeTint="A6"/>
          <w:sz w:val="19"/>
          <w:szCs w:val="19"/>
        </w:rPr>
        <w:t>e</w:t>
      </w:r>
      <w:r w:rsidRPr="00D3109A">
        <w:rPr>
          <w:rFonts w:ascii="Tahoma" w:hAnsi="Tahoma" w:cs="Tahoma"/>
          <w:color w:val="595959" w:themeColor="text1" w:themeTint="A6"/>
          <w:sz w:val="19"/>
          <w:szCs w:val="19"/>
        </w:rPr>
        <w:t xml:space="preserve"> plano anual e </w:t>
      </w:r>
      <w:r w:rsidR="00FF5A35">
        <w:rPr>
          <w:rFonts w:ascii="Tahoma" w:hAnsi="Tahoma" w:cs="Tahoma"/>
          <w:color w:val="595959" w:themeColor="text1" w:themeTint="A6"/>
          <w:sz w:val="19"/>
          <w:szCs w:val="19"/>
        </w:rPr>
        <w:t xml:space="preserve">de </w:t>
      </w:r>
      <w:r w:rsidRPr="00D3109A">
        <w:rPr>
          <w:rFonts w:ascii="Tahoma" w:hAnsi="Tahoma" w:cs="Tahoma"/>
          <w:color w:val="595959" w:themeColor="text1" w:themeTint="A6"/>
          <w:sz w:val="19"/>
          <w:szCs w:val="19"/>
        </w:rPr>
        <w:t xml:space="preserve">relatórios trimestrais de atividades </w:t>
      </w:r>
      <w:r w:rsidR="00FF5A35">
        <w:rPr>
          <w:rFonts w:ascii="Tahoma" w:hAnsi="Tahoma" w:cs="Tahoma"/>
          <w:color w:val="595959" w:themeColor="text1" w:themeTint="A6"/>
          <w:sz w:val="19"/>
          <w:szCs w:val="19"/>
        </w:rPr>
        <w:t>da área responsável pela gestão dos riscos</w:t>
      </w:r>
      <w:r w:rsidRPr="00D3109A">
        <w:rPr>
          <w:rFonts w:ascii="Tahoma" w:hAnsi="Tahoma" w:cs="Tahoma"/>
          <w:color w:val="595959" w:themeColor="text1" w:themeTint="A6"/>
          <w:sz w:val="19"/>
          <w:szCs w:val="19"/>
        </w:rPr>
        <w:t xml:space="preserve">, elaboração anual de Relatório de Gerenciamento de Riscos, </w:t>
      </w:r>
      <w:r w:rsidR="00FF5A35">
        <w:rPr>
          <w:rFonts w:ascii="Tahoma" w:hAnsi="Tahoma" w:cs="Tahoma"/>
          <w:color w:val="595959" w:themeColor="text1" w:themeTint="A6"/>
          <w:sz w:val="19"/>
          <w:szCs w:val="19"/>
        </w:rPr>
        <w:t>e de b</w:t>
      </w:r>
      <w:r w:rsidRPr="00D3109A">
        <w:rPr>
          <w:rFonts w:ascii="Tahoma" w:hAnsi="Tahoma" w:cs="Tahoma"/>
          <w:color w:val="595959" w:themeColor="text1" w:themeTint="A6"/>
          <w:sz w:val="19"/>
          <w:szCs w:val="19"/>
        </w:rPr>
        <w:t>oletins para divulgação do tema.</w:t>
      </w:r>
      <w:r w:rsidR="00BB0E07">
        <w:rPr>
          <w:rFonts w:ascii="Tahoma" w:eastAsia="Calibri" w:hAnsi="Tahoma" w:cs="Tahoma"/>
          <w:sz w:val="19"/>
          <w:szCs w:val="19"/>
        </w:rPr>
        <w:t xml:space="preserve"> </w:t>
      </w:r>
    </w:p>
    <w:p w14:paraId="104F8775" w14:textId="77777777" w:rsidR="000D6D0A" w:rsidRDefault="000D6D0A">
      <w:pPr>
        <w:spacing w:before="120" w:after="120"/>
        <w:rPr>
          <w:rFonts w:ascii="Tahoma" w:eastAsia="Calibri" w:hAnsi="Tahoma" w:cs="Tahoma"/>
          <w:sz w:val="19"/>
          <w:szCs w:val="19"/>
        </w:rPr>
      </w:pPr>
    </w:p>
    <w:p w14:paraId="560C49C0" w14:textId="6DB770F1" w:rsidR="000D6D0A" w:rsidRPr="0054356F" w:rsidRDefault="00BB0E07">
      <w:pPr>
        <w:spacing w:before="120" w:after="120" w:line="360" w:lineRule="auto"/>
        <w:rPr>
          <w:color w:val="0098BA"/>
          <w:sz w:val="19"/>
          <w:szCs w:val="19"/>
        </w:rPr>
      </w:pPr>
      <w:bookmarkStart w:id="307" w:name="_Toc94256495"/>
      <w:bookmarkStart w:id="308" w:name="_Toc94278220"/>
      <w:bookmarkStart w:id="309" w:name="_Toc97244827"/>
      <w:bookmarkStart w:id="310" w:name="_Toc105003815"/>
      <w:bookmarkStart w:id="311" w:name="_Toc105006498"/>
      <w:bookmarkStart w:id="312" w:name="_Toc129115548"/>
      <w:bookmarkEnd w:id="306"/>
      <w:r w:rsidRPr="0054356F">
        <w:rPr>
          <w:rFonts w:ascii="Tahoma" w:hAnsi="Tahoma" w:cs="Tahoma"/>
          <w:color w:val="0098BA"/>
          <w:sz w:val="19"/>
          <w:szCs w:val="19"/>
        </w:rPr>
        <w:t>Segurança da Informação</w:t>
      </w:r>
      <w:bookmarkEnd w:id="307"/>
      <w:bookmarkEnd w:id="308"/>
      <w:bookmarkEnd w:id="309"/>
      <w:bookmarkEnd w:id="310"/>
      <w:bookmarkEnd w:id="311"/>
      <w:bookmarkEnd w:id="312"/>
    </w:p>
    <w:p w14:paraId="30763812" w14:textId="77777777" w:rsidR="000D6D0A" w:rsidRDefault="00BB0E07">
      <w:pPr>
        <w:spacing w:before="120" w:line="360" w:lineRule="auto"/>
        <w:rPr>
          <w:rFonts w:ascii="Tahoma" w:hAnsi="Tahoma" w:cs="Tahoma"/>
          <w:sz w:val="19"/>
          <w:szCs w:val="19"/>
        </w:rPr>
      </w:pPr>
      <w:r>
        <w:rPr>
          <w:rFonts w:ascii="Tahoma" w:hAnsi="Tahoma" w:cs="Tahoma"/>
          <w:sz w:val="19"/>
          <w:szCs w:val="19"/>
        </w:rPr>
        <w:t>Compromissada com a segurança das informações que trata no âmbito de suas atividades, adotamos medidas alinhadas ao perfil de atuação visando garantir a proteção em níveis considerados adequados pelos administradores, dada a responsabilidade destes sobre o tema.</w:t>
      </w:r>
    </w:p>
    <w:p w14:paraId="4251E4E7" w14:textId="77777777" w:rsidR="000D6D0A" w:rsidRDefault="00BB0E07">
      <w:pPr>
        <w:spacing w:before="120" w:line="360" w:lineRule="auto"/>
        <w:rPr>
          <w:rFonts w:ascii="Tahoma" w:hAnsi="Tahoma" w:cs="Tahoma"/>
          <w:sz w:val="19"/>
          <w:szCs w:val="19"/>
        </w:rPr>
      </w:pPr>
      <w:r>
        <w:rPr>
          <w:rFonts w:ascii="Tahoma" w:hAnsi="Tahoma" w:cs="Tahoma"/>
          <w:sz w:val="19"/>
          <w:szCs w:val="19"/>
        </w:rPr>
        <w:t>Para operacionalização das medidas indicadas pelos administradores e mitigação de potenciais riscos que a empresa possa estar exposta no âmbito da Segurança da Informação, estabelecemos estrutura específica para o tema composta por:</w:t>
      </w:r>
    </w:p>
    <w:p w14:paraId="5AC74E01" w14:textId="77777777" w:rsidR="000D6D0A" w:rsidRDefault="00BB0E07">
      <w:pPr>
        <w:numPr>
          <w:ilvl w:val="0"/>
          <w:numId w:val="26"/>
        </w:numPr>
        <w:spacing w:after="60"/>
        <w:ind w:left="714" w:hanging="357"/>
      </w:pPr>
      <w:r>
        <w:rPr>
          <w:rFonts w:ascii="Tahoma" w:hAnsi="Tahoma" w:cs="Tahoma"/>
          <w:sz w:val="19"/>
          <w:szCs w:val="19"/>
        </w:rPr>
        <w:t xml:space="preserve">Comitê de </w:t>
      </w:r>
      <w:r>
        <w:rPr>
          <w:rFonts w:ascii="Tahoma" w:hAnsi="Tahoma" w:cs="Tahoma"/>
          <w:color w:val="000000"/>
          <w:sz w:val="19"/>
          <w:szCs w:val="19"/>
        </w:rPr>
        <w:t>Segurança da Informação (CSI);</w:t>
      </w:r>
    </w:p>
    <w:p w14:paraId="2B085F45" w14:textId="77777777" w:rsidR="000D6D0A" w:rsidRDefault="00BB0E07">
      <w:pPr>
        <w:numPr>
          <w:ilvl w:val="0"/>
          <w:numId w:val="26"/>
        </w:numPr>
        <w:spacing w:before="60" w:after="60"/>
        <w:ind w:left="714" w:hanging="357"/>
      </w:pPr>
      <w:r>
        <w:rPr>
          <w:rFonts w:ascii="Tahoma" w:hAnsi="Tahoma" w:cs="Tahoma"/>
          <w:color w:val="000000"/>
          <w:sz w:val="19"/>
          <w:szCs w:val="19"/>
        </w:rPr>
        <w:t xml:space="preserve">Gestor </w:t>
      </w:r>
      <w:r>
        <w:rPr>
          <w:rFonts w:ascii="Tahoma" w:hAnsi="Tahoma" w:cs="Tahoma"/>
          <w:sz w:val="19"/>
          <w:szCs w:val="19"/>
        </w:rPr>
        <w:t xml:space="preserve">de </w:t>
      </w:r>
      <w:r>
        <w:rPr>
          <w:rFonts w:ascii="Tahoma" w:hAnsi="Tahoma" w:cs="Tahoma"/>
          <w:color w:val="000000"/>
          <w:sz w:val="19"/>
          <w:szCs w:val="19"/>
        </w:rPr>
        <w:t>Segurança da Informação (GSIn);</w:t>
      </w:r>
    </w:p>
    <w:p w14:paraId="7B3BAAE9" w14:textId="77777777" w:rsidR="000D6D0A" w:rsidRDefault="00BB0E07">
      <w:pPr>
        <w:numPr>
          <w:ilvl w:val="0"/>
          <w:numId w:val="26"/>
        </w:numPr>
        <w:spacing w:before="60" w:after="60"/>
      </w:pPr>
      <w:r>
        <w:rPr>
          <w:rFonts w:ascii="Tahoma" w:hAnsi="Tahoma" w:cs="Tahoma"/>
          <w:color w:val="000000"/>
          <w:sz w:val="19"/>
          <w:szCs w:val="19"/>
        </w:rPr>
        <w:t>Equipe de Prevenção, Tratamento e Resposta a Incidentes Cibernéticos (ETIR).</w:t>
      </w:r>
    </w:p>
    <w:p w14:paraId="3B18AC79" w14:textId="68AD1026" w:rsidR="000D6D0A" w:rsidRDefault="0054356F">
      <w:pPr>
        <w:spacing w:before="120" w:after="120" w:line="360" w:lineRule="auto"/>
      </w:pPr>
      <w:r w:rsidRPr="00210336">
        <w:rPr>
          <w:rFonts w:ascii="Tahoma" w:hAnsi="Tahoma" w:cs="Tahoma"/>
          <w:noProof/>
          <w:sz w:val="22"/>
          <w:szCs w:val="22"/>
        </w:rPr>
        <mc:AlternateContent>
          <mc:Choice Requires="wps">
            <w:drawing>
              <wp:anchor distT="0" distB="0" distL="114300" distR="114300" simplePos="0" relativeHeight="251859968" behindDoc="0" locked="0" layoutInCell="1" allowOverlap="1" wp14:anchorId="1FADC45C" wp14:editId="1213CB5C">
                <wp:simplePos x="0" y="0"/>
                <wp:positionH relativeFrom="column">
                  <wp:posOffset>483577</wp:posOffset>
                </wp:positionH>
                <wp:positionV relativeFrom="paragraph">
                  <wp:posOffset>514692</wp:posOffset>
                </wp:positionV>
                <wp:extent cx="5124499" cy="552203"/>
                <wp:effectExtent l="0" t="0" r="0" b="635"/>
                <wp:wrapNone/>
                <wp:docPr id="1648383888" name="Text Box 237"/>
                <wp:cNvGraphicFramePr/>
                <a:graphic xmlns:a="http://schemas.openxmlformats.org/drawingml/2006/main">
                  <a:graphicData uri="http://schemas.microsoft.com/office/word/2010/wordprocessingShape">
                    <wps:wsp>
                      <wps:cNvSpPr txBox="1"/>
                      <wps:spPr>
                        <a:xfrm>
                          <a:off x="0" y="0"/>
                          <a:ext cx="5124499" cy="552203"/>
                        </a:xfrm>
                        <a:prstGeom prst="rect">
                          <a:avLst/>
                        </a:prstGeom>
                        <a:solidFill>
                          <a:srgbClr val="0098BA">
                            <a:alpha val="25098"/>
                          </a:srgbClr>
                        </a:solidFill>
                        <a:ln w="6345">
                          <a:noFill/>
                          <a:prstDash val="dash"/>
                        </a:ln>
                      </wps:spPr>
                      <wps:txbx>
                        <w:txbxContent>
                          <w:p w14:paraId="4CB05942" w14:textId="6D4C8430" w:rsidR="0054356F" w:rsidRPr="00F82BF9" w:rsidRDefault="0054356F" w:rsidP="0054356F">
                            <w:pPr>
                              <w:spacing w:line="200" w:lineRule="exact"/>
                              <w:jc w:val="right"/>
                              <w:rPr>
                                <w:rFonts w:ascii="Tahoma" w:hAnsi="Tahoma" w:cs="Tahoma"/>
                                <w:sz w:val="16"/>
                                <w:szCs w:val="16"/>
                              </w:rPr>
                            </w:pPr>
                            <w:r w:rsidRPr="00F82BF9">
                              <w:rPr>
                                <w:rFonts w:ascii="Tahoma" w:hAnsi="Tahoma" w:cs="Tahoma"/>
                                <w:sz w:val="16"/>
                                <w:szCs w:val="16"/>
                              </w:rPr>
                              <w:t>As ações de Segurança da Informação encontram amparo legal na Política Nacional de Segurança da Informação (PNSI), Decreto nº 9.637/2018, na Instrução Normativa nº 01/2020, emitida pelo Gabinete da Segurança Institucional da Presidência da República (GSI/PR), e nos demais normativos vigentes do GSI/PR.</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1FADC45C" id="_x0000_s1056" type="#_x0000_t202" style="position:absolute;margin-left:38.1pt;margin-top:40.55pt;width:403.5pt;height:4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" fillcolor="#0098ba" stroked="f" strokeweight=".17625mm">
                <v:fill opacity="16448f"/>
                <v:stroke dashstyle="dash"/>
                <v:textbox>
                  <w:txbxContent>
                    <w:p w14:paraId="4CB05942" w14:textId="6D4C8430" w:rsidR="0054356F" w:rsidRPr="00F82BF9" w:rsidRDefault="0054356F" w:rsidP="0054356F">
                      <w:pPr>
                        <w:spacing w:line="200" w:lineRule="exact"/>
                        <w:jc w:val="right"/>
                        <w:rPr>
                          <w:rFonts w:ascii="Tahoma" w:hAnsi="Tahoma" w:cs="Tahoma"/>
                          <w:sz w:val="16"/>
                          <w:szCs w:val="16"/>
                        </w:rPr>
                      </w:pPr>
                      <w:r w:rsidRPr="00F82BF9">
                        <w:rPr>
                          <w:rFonts w:ascii="Tahoma" w:hAnsi="Tahoma" w:cs="Tahoma"/>
                          <w:sz w:val="16"/>
                          <w:szCs w:val="16"/>
                        </w:rPr>
                        <w:t>As ações de Segurança da Informação encontram amparo legal na Política Nacional de Segurança da Informação (PNSI), Decreto nº 9.637/2018, na Instrução Normativa nº 01/2020, emitida pelo Gabinete da Segurança Institucional da Presidência da República (GSI/PR), e nos demais normativos vigentes do GSI/PR.</w:t>
                      </w:r>
                    </w:p>
                  </w:txbxContent>
                </v:textbox>
              </v:shape>
            </w:pict>
          </mc:Fallback>
        </mc:AlternateContent>
      </w:r>
      <w:r w:rsidR="00BB0E07">
        <w:rPr>
          <w:rFonts w:ascii="Tahoma" w:hAnsi="Tahoma" w:cs="Tahoma"/>
          <w:sz w:val="19"/>
          <w:szCs w:val="19"/>
        </w:rPr>
        <w:t xml:space="preserve">Além de atuar na proteção contra a materialização de riscos, essa estrutura está alinhada a </w:t>
      </w:r>
      <w:r w:rsidR="00BB0E07" w:rsidRPr="0054356F">
        <w:rPr>
          <w:rFonts w:ascii="Tahoma" w:hAnsi="Tahoma" w:cs="Tahoma"/>
          <w:color w:val="0098BA"/>
          <w:sz w:val="19"/>
          <w:szCs w:val="19"/>
        </w:rPr>
        <w:t>disposições regulatórias externas</w:t>
      </w:r>
      <w:r w:rsidR="00BB0E07">
        <w:rPr>
          <w:rFonts w:ascii="Tahoma" w:hAnsi="Tahoma" w:cs="Tahoma"/>
          <w:sz w:val="19"/>
          <w:szCs w:val="19"/>
        </w:rPr>
        <w:t>, aplicáveis à nossa atuação.</w:t>
      </w:r>
    </w:p>
    <w:p w14:paraId="3C9D734D" w14:textId="6B95ECA0" w:rsidR="000D6D0A" w:rsidRDefault="000D6D0A">
      <w:pPr>
        <w:spacing w:before="120"/>
        <w:rPr>
          <w:rFonts w:ascii="Tahoma" w:hAnsi="Tahoma" w:cs="Tahoma"/>
          <w:sz w:val="19"/>
          <w:szCs w:val="19"/>
        </w:rPr>
      </w:pPr>
    </w:p>
    <w:p w14:paraId="146BB9CA" w14:textId="68D2C5C9" w:rsidR="0054356F" w:rsidRDefault="0054356F">
      <w:pPr>
        <w:spacing w:before="120"/>
        <w:rPr>
          <w:rFonts w:ascii="Tahoma" w:hAnsi="Tahoma" w:cs="Tahoma"/>
          <w:sz w:val="19"/>
          <w:szCs w:val="19"/>
        </w:rPr>
      </w:pPr>
    </w:p>
    <w:p w14:paraId="755AF935" w14:textId="34E5A30E" w:rsidR="0054356F" w:rsidRDefault="0054356F">
      <w:pPr>
        <w:spacing w:before="120"/>
        <w:rPr>
          <w:rFonts w:ascii="Tahoma" w:hAnsi="Tahoma" w:cs="Tahoma"/>
          <w:sz w:val="19"/>
          <w:szCs w:val="19"/>
        </w:rPr>
      </w:pPr>
    </w:p>
    <w:p w14:paraId="7F5D268A" w14:textId="4CBC4532" w:rsidR="000D6D0A" w:rsidRDefault="00BB0E07">
      <w:pPr>
        <w:widowControl w:val="0"/>
        <w:autoSpaceDE w:val="0"/>
        <w:spacing w:before="120" w:after="120" w:line="360" w:lineRule="auto"/>
      </w:pPr>
      <w:r>
        <w:rPr>
          <w:rFonts w:ascii="Tahoma" w:hAnsi="Tahoma" w:cs="Tahoma"/>
          <w:sz w:val="19"/>
          <w:szCs w:val="19"/>
        </w:rPr>
        <w:t xml:space="preserve">No âmbito interno, visando prevenir incidentes de segurança da informação e manter o alinhamento às disposições regulatórias externas, dispomos de uma </w:t>
      </w:r>
      <w:hyperlink r:id="rId258" w:history="1">
        <w:r w:rsidRPr="0054356F">
          <w:rPr>
            <w:rStyle w:val="Hyperlink"/>
            <w:rFonts w:ascii="Tahoma" w:hAnsi="Tahoma" w:cs="Tahoma"/>
            <w:sz w:val="19"/>
            <w:szCs w:val="19"/>
          </w:rPr>
          <w:t>Política de Segurança da Informação (POSIN)</w:t>
        </w:r>
      </w:hyperlink>
      <w:r>
        <w:rPr>
          <w:rFonts w:ascii="Tahoma" w:hAnsi="Tahoma" w:cs="Tahoma"/>
          <w:sz w:val="19"/>
          <w:szCs w:val="19"/>
        </w:rPr>
        <w:t>, documento de caráter estratégico, que contém princípios, diretrizes, competências e subsídios para a gestão da segurança da informação na empresa.</w:t>
      </w:r>
    </w:p>
    <w:p w14:paraId="339C669B" w14:textId="77777777" w:rsidR="000D6D0A" w:rsidRDefault="00BB0E07">
      <w:pPr>
        <w:widowControl w:val="0"/>
        <w:autoSpaceDE w:val="0"/>
        <w:spacing w:before="120" w:after="120" w:line="360" w:lineRule="auto"/>
        <w:jc w:val="both"/>
        <w:rPr>
          <w:rFonts w:ascii="Tahoma" w:hAnsi="Tahoma" w:cs="Tahoma"/>
          <w:sz w:val="19"/>
          <w:szCs w:val="19"/>
        </w:rPr>
      </w:pPr>
      <w:r>
        <w:rPr>
          <w:rFonts w:ascii="Tahoma" w:hAnsi="Tahoma" w:cs="Tahoma"/>
          <w:sz w:val="19"/>
          <w:szCs w:val="19"/>
        </w:rPr>
        <w:t>A POSIN também orienta a construção de outras políticas, normativos, metodologias, processos e procedimentos que têm o propósito de fortalecer a segurança das informações institucionais.</w:t>
      </w:r>
    </w:p>
    <w:p w14:paraId="69429411" w14:textId="219EB25C" w:rsidR="0054356F" w:rsidRPr="0054356F" w:rsidRDefault="0054356F">
      <w:pPr>
        <w:widowControl w:val="0"/>
        <w:autoSpaceDE w:val="0"/>
        <w:spacing w:before="120" w:after="120" w:line="360" w:lineRule="auto"/>
        <w:rPr>
          <w:rFonts w:ascii="Tahoma" w:hAnsi="Tahoma" w:cs="Tahoma"/>
          <w:sz w:val="19"/>
          <w:szCs w:val="19"/>
        </w:rPr>
      </w:pPr>
      <w:r w:rsidRPr="0054356F">
        <w:rPr>
          <w:rFonts w:ascii="Tahoma" w:hAnsi="Tahoma" w:cs="Tahoma"/>
          <w:sz w:val="19"/>
          <w:szCs w:val="19"/>
        </w:rPr>
        <w:t xml:space="preserve">Em cumprimento à POSIN, em 2023, destacamos a avaliação dos resultados obtidos no projeto piloto e o consequente aprimoramento do processo de gestão de riscos de segurança da informação; a disseminação de cartilhas que abordam o uso seguro de celulares e tablets e de redes sociais e o teletrabalho seguro; o lançamento de </w:t>
      </w:r>
      <w:r w:rsidRPr="00254F4A">
        <w:rPr>
          <w:rFonts w:ascii="Tahoma" w:hAnsi="Tahoma"/>
          <w:i/>
          <w:sz w:val="19"/>
        </w:rPr>
        <w:t xml:space="preserve">quiz </w:t>
      </w:r>
      <w:r w:rsidRPr="0054356F">
        <w:rPr>
          <w:rFonts w:ascii="Tahoma" w:hAnsi="Tahoma" w:cs="Tahoma"/>
          <w:sz w:val="19"/>
          <w:szCs w:val="19"/>
        </w:rPr>
        <w:t>sobre segurança da informação; e a elaboração de proposta de estrutura para elaboração e acompanhamento da licitação para contratação de consultoria de segurança da informação e da execução do contrato.</w:t>
      </w:r>
    </w:p>
    <w:p w14:paraId="69E695F9" w14:textId="77777777" w:rsidR="000D6D0A" w:rsidRDefault="00BB0E07">
      <w:pPr>
        <w:widowControl w:val="0"/>
        <w:autoSpaceDE w:val="0"/>
        <w:spacing w:before="120" w:after="120" w:line="360" w:lineRule="auto"/>
        <w:rPr>
          <w:rFonts w:ascii="Tahoma" w:hAnsi="Tahoma" w:cs="Tahoma"/>
          <w:sz w:val="19"/>
          <w:szCs w:val="19"/>
        </w:rPr>
      </w:pPr>
      <w:r>
        <w:rPr>
          <w:rFonts w:ascii="Tahoma" w:hAnsi="Tahoma" w:cs="Tahoma"/>
          <w:sz w:val="19"/>
          <w:szCs w:val="19"/>
        </w:rPr>
        <w:t>Concomitantemente com essas atividades, a estrutura de Segurança da Informação esteve envolvida também no projeto de adequação da Finep à LGPD e nas atividades ligadas ao processo de gestão de incidentes de segurança da informação.</w:t>
      </w:r>
    </w:p>
    <w:p w14:paraId="4270323D" w14:textId="3E8360E2" w:rsidR="0054356F" w:rsidRDefault="0054356F">
      <w:pPr>
        <w:autoSpaceDN w:val="0"/>
        <w:spacing w:after="160"/>
        <w:textAlignment w:val="baseline"/>
        <w:rPr>
          <w:rFonts w:ascii="Tahoma" w:hAnsi="Tahoma" w:cs="Tahoma"/>
          <w:sz w:val="19"/>
          <w:szCs w:val="19"/>
        </w:rPr>
      </w:pPr>
      <w:r>
        <w:rPr>
          <w:rFonts w:ascii="Tahoma" w:hAnsi="Tahoma" w:cs="Tahoma"/>
          <w:sz w:val="19"/>
          <w:szCs w:val="19"/>
        </w:rPr>
        <w:br w:type="page"/>
      </w:r>
    </w:p>
    <w:p w14:paraId="7BDBE103" w14:textId="77777777" w:rsidR="000D6D0A" w:rsidRPr="003D0607" w:rsidRDefault="00BB0E07" w:rsidP="003D0607">
      <w:pPr>
        <w:pStyle w:val="Ttulo2"/>
        <w:spacing w:before="0" w:after="120" w:line="360" w:lineRule="auto"/>
        <w:ind w:left="862" w:hanging="578"/>
        <w:rPr>
          <w:rFonts w:ascii="Tahoma" w:hAnsi="Tahoma" w:cs="Tahoma"/>
          <w:color w:val="0098BA"/>
          <w:sz w:val="24"/>
          <w:szCs w:val="24"/>
        </w:rPr>
      </w:pPr>
      <w:bookmarkStart w:id="313" w:name="_Toc93683657"/>
      <w:bookmarkStart w:id="314" w:name="_Toc94256498"/>
      <w:bookmarkStart w:id="315" w:name="_Toc94278223"/>
      <w:bookmarkStart w:id="316" w:name="_Toc97244829"/>
      <w:bookmarkStart w:id="317" w:name="_Toc105003817"/>
      <w:bookmarkStart w:id="318" w:name="_Toc105006500"/>
      <w:bookmarkStart w:id="319" w:name="_Toc131692265"/>
      <w:bookmarkStart w:id="320" w:name="_Toc163025280"/>
      <w:bookmarkStart w:id="321" w:name="_Toc162512616"/>
      <w:bookmarkEnd w:id="291"/>
      <w:bookmarkEnd w:id="292"/>
      <w:bookmarkEnd w:id="293"/>
      <w:bookmarkEnd w:id="294"/>
      <w:bookmarkEnd w:id="295"/>
      <w:r w:rsidRPr="003D0607">
        <w:rPr>
          <w:rFonts w:ascii="Tahoma" w:hAnsi="Tahoma" w:cs="Tahoma"/>
          <w:color w:val="0098BA"/>
          <w:sz w:val="24"/>
          <w:szCs w:val="24"/>
        </w:rPr>
        <w:lastRenderedPageBreak/>
        <w:t>Custos</w:t>
      </w:r>
      <w:bookmarkEnd w:id="313"/>
      <w:bookmarkEnd w:id="314"/>
      <w:bookmarkEnd w:id="315"/>
      <w:bookmarkEnd w:id="316"/>
      <w:bookmarkEnd w:id="317"/>
      <w:bookmarkEnd w:id="318"/>
      <w:bookmarkEnd w:id="319"/>
      <w:bookmarkEnd w:id="320"/>
      <w:bookmarkEnd w:id="321"/>
    </w:p>
    <w:p w14:paraId="67B67DB0" w14:textId="77777777" w:rsidR="00B26129" w:rsidRPr="00150CCA" w:rsidRDefault="00B26129" w:rsidP="00B26129">
      <w:pPr>
        <w:spacing w:before="120" w:after="120" w:line="360" w:lineRule="auto"/>
        <w:jc w:val="both"/>
        <w:rPr>
          <w:rFonts w:ascii="Tahoma" w:hAnsi="Tahoma" w:cs="Tahoma"/>
          <w:sz w:val="19"/>
          <w:szCs w:val="19"/>
        </w:rPr>
      </w:pPr>
      <w:r w:rsidRPr="00150CCA">
        <w:rPr>
          <w:rFonts w:ascii="Tahoma" w:hAnsi="Tahoma" w:cs="Tahoma"/>
          <w:sz w:val="19"/>
          <w:szCs w:val="19"/>
        </w:rPr>
        <w:t>Nossa apuração de custos apoia-se na metodologia ABC - Custeio Baseado em Atividades (</w:t>
      </w:r>
      <w:r w:rsidRPr="006C2A99">
        <w:rPr>
          <w:rFonts w:ascii="Tahoma" w:hAnsi="Tahoma" w:cs="Tahoma"/>
          <w:i/>
          <w:iCs/>
          <w:sz w:val="19"/>
          <w:szCs w:val="19"/>
        </w:rPr>
        <w:t>Activity Based Cost</w:t>
      </w:r>
      <w:r w:rsidRPr="00150CCA">
        <w:rPr>
          <w:rFonts w:ascii="Tahoma" w:hAnsi="Tahoma" w:cs="Tahoma"/>
          <w:sz w:val="19"/>
          <w:szCs w:val="19"/>
        </w:rPr>
        <w:t>). Atualmente é possível a apuração e análise de custos pelas Unidades Operacionais: Finep, Secretaria-Executiva do FNDCT e Gestão de Recursos de Terceiros, que utilizam diferentes instrumentos de apoio à CT&amp;I.</w:t>
      </w:r>
    </w:p>
    <w:tbl>
      <w:tblPr>
        <w:tblW w:w="983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9"/>
        <w:gridCol w:w="8280"/>
      </w:tblGrid>
      <w:tr w:rsidR="00B26129" w:rsidRPr="00150CCA" w14:paraId="2775559A" w14:textId="77777777" w:rsidTr="00D95330">
        <w:trPr>
          <w:trHeight w:val="413"/>
        </w:trPr>
        <w:tc>
          <w:tcPr>
            <w:tcW w:w="1559" w:type="dxa"/>
            <w:shd w:val="clear" w:color="auto" w:fill="0098BA"/>
            <w:tcMar>
              <w:top w:w="0" w:type="dxa"/>
              <w:left w:w="108" w:type="dxa"/>
              <w:bottom w:w="0" w:type="dxa"/>
              <w:right w:w="108" w:type="dxa"/>
            </w:tcMar>
            <w:vAlign w:val="center"/>
          </w:tcPr>
          <w:p w14:paraId="520B3119" w14:textId="77777777" w:rsidR="00B26129" w:rsidRPr="00150CCA" w:rsidRDefault="00B26129" w:rsidP="00097EE2">
            <w:pPr>
              <w:spacing w:before="120" w:after="120"/>
              <w:jc w:val="center"/>
              <w:rPr>
                <w:rFonts w:ascii="Tahoma" w:hAnsi="Tahoma" w:cs="Tahoma"/>
                <w:color w:val="FFFFFF"/>
                <w:sz w:val="19"/>
                <w:szCs w:val="19"/>
              </w:rPr>
            </w:pPr>
            <w:r w:rsidRPr="00150CCA">
              <w:rPr>
                <w:rFonts w:ascii="Tahoma" w:hAnsi="Tahoma" w:cs="Tahoma"/>
                <w:color w:val="FFFFFF"/>
                <w:sz w:val="19"/>
                <w:szCs w:val="19"/>
              </w:rPr>
              <w:t>Unidade Operacional</w:t>
            </w:r>
          </w:p>
        </w:tc>
        <w:tc>
          <w:tcPr>
            <w:tcW w:w="8280" w:type="dxa"/>
            <w:shd w:val="clear" w:color="auto" w:fill="0098BA"/>
            <w:tcMar>
              <w:top w:w="0" w:type="dxa"/>
              <w:left w:w="108" w:type="dxa"/>
              <w:bottom w:w="0" w:type="dxa"/>
              <w:right w:w="108" w:type="dxa"/>
            </w:tcMar>
            <w:vAlign w:val="center"/>
          </w:tcPr>
          <w:p w14:paraId="12677EBA" w14:textId="77777777" w:rsidR="00B26129" w:rsidRPr="00150CCA" w:rsidRDefault="00B26129" w:rsidP="00097EE2">
            <w:pPr>
              <w:spacing w:before="120" w:after="120"/>
              <w:jc w:val="center"/>
              <w:rPr>
                <w:rFonts w:ascii="Tahoma" w:hAnsi="Tahoma" w:cs="Tahoma"/>
                <w:color w:val="FFFFFF"/>
                <w:sz w:val="19"/>
                <w:szCs w:val="19"/>
              </w:rPr>
            </w:pPr>
            <w:r w:rsidRPr="00150CCA">
              <w:rPr>
                <w:rFonts w:ascii="Tahoma" w:hAnsi="Tahoma" w:cs="Tahoma"/>
                <w:color w:val="FFFFFF"/>
                <w:sz w:val="19"/>
                <w:szCs w:val="19"/>
              </w:rPr>
              <w:t>Instrumentos Financeiros</w:t>
            </w:r>
          </w:p>
        </w:tc>
      </w:tr>
      <w:tr w:rsidR="00B26129" w:rsidRPr="00150CCA" w14:paraId="222C2F6B" w14:textId="77777777" w:rsidTr="00D95330">
        <w:trPr>
          <w:trHeight w:val="1091"/>
        </w:trPr>
        <w:tc>
          <w:tcPr>
            <w:tcW w:w="1559" w:type="dxa"/>
            <w:shd w:val="clear" w:color="auto" w:fill="auto"/>
            <w:tcMar>
              <w:top w:w="0" w:type="dxa"/>
              <w:left w:w="108" w:type="dxa"/>
              <w:bottom w:w="0" w:type="dxa"/>
              <w:right w:w="108" w:type="dxa"/>
            </w:tcMar>
            <w:vAlign w:val="center"/>
          </w:tcPr>
          <w:p w14:paraId="4F024C53" w14:textId="02E67EB9" w:rsidR="00B26129" w:rsidRPr="007A1D7B" w:rsidRDefault="00B26129" w:rsidP="003B751E">
            <w:pPr>
              <w:spacing w:before="120" w:after="120"/>
              <w:jc w:val="center"/>
              <w:rPr>
                <w:rFonts w:ascii="Tahoma" w:hAnsi="Tahoma" w:cs="Tahoma"/>
                <w:bCs/>
                <w:sz w:val="19"/>
                <w:szCs w:val="19"/>
              </w:rPr>
            </w:pPr>
            <w:r w:rsidRPr="00150CCA">
              <w:rPr>
                <w:rFonts w:ascii="Tahoma" w:hAnsi="Tahoma" w:cs="Tahoma"/>
                <w:sz w:val="19"/>
                <w:szCs w:val="19"/>
              </w:rPr>
              <w:t>Finep</w:t>
            </w:r>
          </w:p>
        </w:tc>
        <w:tc>
          <w:tcPr>
            <w:tcW w:w="8280" w:type="dxa"/>
            <w:shd w:val="clear" w:color="auto" w:fill="auto"/>
            <w:tcMar>
              <w:top w:w="0" w:type="dxa"/>
              <w:left w:w="108" w:type="dxa"/>
              <w:bottom w:w="0" w:type="dxa"/>
              <w:right w:w="108" w:type="dxa"/>
            </w:tcMar>
            <w:vAlign w:val="center"/>
          </w:tcPr>
          <w:p w14:paraId="2636EF82" w14:textId="2D7FEDF0" w:rsidR="00B26129" w:rsidRPr="00150CCA" w:rsidRDefault="00B26129" w:rsidP="00097EE2">
            <w:pPr>
              <w:spacing w:before="120" w:after="120"/>
              <w:jc w:val="both"/>
              <w:rPr>
                <w:rFonts w:ascii="Tahoma" w:hAnsi="Tahoma" w:cs="Tahoma"/>
                <w:sz w:val="19"/>
                <w:szCs w:val="19"/>
              </w:rPr>
            </w:pPr>
            <w:r w:rsidRPr="00150CCA">
              <w:rPr>
                <w:rFonts w:ascii="Tahoma" w:hAnsi="Tahoma" w:cs="Tahoma"/>
                <w:sz w:val="19"/>
                <w:szCs w:val="19"/>
              </w:rPr>
              <w:t xml:space="preserve">Unidade responsável pela operacionalização do Instrumento Reembolsável (Crédito) e de Investimento, este último quando executado com Recursos Próprios </w:t>
            </w:r>
          </w:p>
          <w:p w14:paraId="248F2286" w14:textId="77777777" w:rsidR="00B26129" w:rsidRPr="00150CCA" w:rsidRDefault="00B26129" w:rsidP="00097EE2">
            <w:pPr>
              <w:spacing w:before="120" w:after="120"/>
              <w:jc w:val="both"/>
              <w:rPr>
                <w:rFonts w:ascii="Tahoma" w:hAnsi="Tahoma" w:cs="Tahoma"/>
                <w:sz w:val="19"/>
                <w:szCs w:val="19"/>
              </w:rPr>
            </w:pPr>
            <w:r w:rsidRPr="00150CCA">
              <w:rPr>
                <w:rFonts w:ascii="Tahoma" w:hAnsi="Tahoma" w:cs="Tahoma"/>
                <w:sz w:val="19"/>
                <w:szCs w:val="19"/>
              </w:rPr>
              <w:t>Pela operacionalização dos instrumentos referenciados, a Finep recebe receita de juros decorrente da atividade de intermediação financeira (ou concessão de crédito), e participação no capital de sucesso das operações que tenham sido objeto de investimento.</w:t>
            </w:r>
          </w:p>
        </w:tc>
      </w:tr>
      <w:tr w:rsidR="00B26129" w:rsidRPr="00150CCA" w14:paraId="5731367A" w14:textId="77777777" w:rsidTr="00D95330">
        <w:trPr>
          <w:trHeight w:val="1091"/>
        </w:trPr>
        <w:tc>
          <w:tcPr>
            <w:tcW w:w="1559" w:type="dxa"/>
            <w:shd w:val="clear" w:color="auto" w:fill="auto"/>
            <w:tcMar>
              <w:top w:w="0" w:type="dxa"/>
              <w:left w:w="108" w:type="dxa"/>
              <w:bottom w:w="0" w:type="dxa"/>
              <w:right w:w="108" w:type="dxa"/>
            </w:tcMar>
            <w:vAlign w:val="center"/>
          </w:tcPr>
          <w:p w14:paraId="423A1CED" w14:textId="69B5EA32" w:rsidR="00B26129" w:rsidRPr="007A1D7B" w:rsidRDefault="00B26129" w:rsidP="003B751E">
            <w:pPr>
              <w:spacing w:before="120" w:after="120"/>
              <w:jc w:val="center"/>
              <w:rPr>
                <w:rFonts w:ascii="Tahoma" w:hAnsi="Tahoma" w:cs="Tahoma"/>
                <w:bCs/>
                <w:sz w:val="19"/>
                <w:szCs w:val="19"/>
              </w:rPr>
            </w:pPr>
            <w:r w:rsidRPr="00150CCA">
              <w:rPr>
                <w:rFonts w:ascii="Tahoma" w:hAnsi="Tahoma" w:cs="Tahoma"/>
                <w:sz w:val="19"/>
                <w:szCs w:val="19"/>
              </w:rPr>
              <w:t>Secretaria Executiva do FNDCT</w:t>
            </w:r>
          </w:p>
        </w:tc>
        <w:tc>
          <w:tcPr>
            <w:tcW w:w="8280" w:type="dxa"/>
            <w:shd w:val="clear" w:color="auto" w:fill="auto"/>
            <w:tcMar>
              <w:top w:w="0" w:type="dxa"/>
              <w:left w:w="108" w:type="dxa"/>
              <w:bottom w:w="0" w:type="dxa"/>
              <w:right w:w="108" w:type="dxa"/>
            </w:tcMar>
            <w:vAlign w:val="center"/>
          </w:tcPr>
          <w:p w14:paraId="4A749A45" w14:textId="77777777" w:rsidR="00B26129" w:rsidRPr="00150CCA" w:rsidRDefault="00B26129" w:rsidP="00097EE2">
            <w:pPr>
              <w:spacing w:before="120" w:after="120"/>
              <w:jc w:val="both"/>
              <w:rPr>
                <w:rFonts w:ascii="Tahoma" w:hAnsi="Tahoma" w:cs="Tahoma"/>
                <w:sz w:val="19"/>
                <w:szCs w:val="19"/>
              </w:rPr>
            </w:pPr>
            <w:r w:rsidRPr="00150CCA">
              <w:rPr>
                <w:rFonts w:ascii="Tahoma" w:hAnsi="Tahoma" w:cs="Tahoma"/>
                <w:sz w:val="19"/>
                <w:szCs w:val="19"/>
              </w:rPr>
              <w:t>Através da unidade orçamentária 24901 do SIAFI, opera o Instrumento Não Reembolsável (Convênio, Subvenção e Termos de Execução Descentralizada) e o Investimento, todos eles apoiados com Recursos Não Reembolsáveis do FNDCT (aqui está incluída a ação de Participação no Capital do FNDCT).</w:t>
            </w:r>
          </w:p>
          <w:p w14:paraId="764F31AA" w14:textId="77777777" w:rsidR="00B26129" w:rsidRPr="00150CCA" w:rsidRDefault="00B26129" w:rsidP="00097EE2">
            <w:pPr>
              <w:spacing w:before="120" w:after="120"/>
              <w:jc w:val="both"/>
              <w:rPr>
                <w:rFonts w:ascii="Tahoma" w:hAnsi="Tahoma" w:cs="Tahoma"/>
                <w:sz w:val="19"/>
                <w:szCs w:val="19"/>
              </w:rPr>
            </w:pPr>
            <w:r w:rsidRPr="00150CCA">
              <w:rPr>
                <w:rFonts w:ascii="Tahoma" w:hAnsi="Tahoma" w:cs="Tahoma"/>
                <w:sz w:val="19"/>
                <w:szCs w:val="19"/>
              </w:rPr>
              <w:t>No âmbito da operacionalização das atividades da Secretaria Executiva do FNDCT, a Finep recebe taxa de administração e ressarcimento de suas despesas operacionais conforme Lei do FNDCT 11.540/2007.</w:t>
            </w:r>
          </w:p>
        </w:tc>
      </w:tr>
      <w:tr w:rsidR="00B26129" w:rsidRPr="00150CCA" w14:paraId="55DB3800" w14:textId="77777777" w:rsidTr="00D95330">
        <w:trPr>
          <w:trHeight w:val="2971"/>
        </w:trPr>
        <w:tc>
          <w:tcPr>
            <w:tcW w:w="1559" w:type="dxa"/>
            <w:shd w:val="clear" w:color="auto" w:fill="auto"/>
            <w:tcMar>
              <w:top w:w="0" w:type="dxa"/>
              <w:left w:w="108" w:type="dxa"/>
              <w:bottom w:w="0" w:type="dxa"/>
              <w:right w:w="108" w:type="dxa"/>
            </w:tcMar>
            <w:vAlign w:val="center"/>
          </w:tcPr>
          <w:p w14:paraId="27F2C1F3" w14:textId="6308F543" w:rsidR="00B26129" w:rsidRPr="007A1D7B" w:rsidRDefault="00B26129" w:rsidP="003B751E">
            <w:pPr>
              <w:spacing w:before="120" w:after="120"/>
              <w:jc w:val="center"/>
              <w:rPr>
                <w:rFonts w:ascii="Tahoma" w:hAnsi="Tahoma" w:cs="Tahoma"/>
                <w:bCs/>
                <w:sz w:val="19"/>
                <w:szCs w:val="19"/>
              </w:rPr>
            </w:pPr>
            <w:r w:rsidRPr="00150CCA">
              <w:rPr>
                <w:rFonts w:ascii="Tahoma" w:hAnsi="Tahoma" w:cs="Tahoma"/>
                <w:sz w:val="19"/>
                <w:szCs w:val="19"/>
              </w:rPr>
              <w:t>Gestora de Recursos de Terceiros</w:t>
            </w:r>
          </w:p>
        </w:tc>
        <w:tc>
          <w:tcPr>
            <w:tcW w:w="8280" w:type="dxa"/>
            <w:shd w:val="clear" w:color="auto" w:fill="auto"/>
            <w:tcMar>
              <w:top w:w="0" w:type="dxa"/>
              <w:left w:w="108" w:type="dxa"/>
              <w:bottom w:w="0" w:type="dxa"/>
              <w:right w:w="108" w:type="dxa"/>
            </w:tcMar>
            <w:vAlign w:val="center"/>
          </w:tcPr>
          <w:p w14:paraId="27074BB0" w14:textId="77777777" w:rsidR="00B26129" w:rsidRPr="00150CCA" w:rsidRDefault="00B26129" w:rsidP="00097EE2">
            <w:pPr>
              <w:autoSpaceDE w:val="0"/>
              <w:spacing w:before="120" w:after="120"/>
              <w:jc w:val="both"/>
              <w:rPr>
                <w:rFonts w:ascii="Tahoma" w:hAnsi="Tahoma" w:cs="Tahoma"/>
                <w:sz w:val="19"/>
                <w:szCs w:val="19"/>
              </w:rPr>
            </w:pPr>
            <w:r w:rsidRPr="00150CCA">
              <w:rPr>
                <w:rFonts w:ascii="Tahoma" w:hAnsi="Tahoma" w:cs="Tahoma"/>
                <w:sz w:val="19"/>
                <w:szCs w:val="19"/>
              </w:rPr>
              <w:t>Nesta Unidade Operacional estão contempladas:</w:t>
            </w:r>
          </w:p>
          <w:p w14:paraId="5DEF728E" w14:textId="77777777" w:rsidR="00B26129" w:rsidRPr="00150CCA" w:rsidRDefault="00B26129" w:rsidP="00097EE2">
            <w:pPr>
              <w:autoSpaceDE w:val="0"/>
              <w:spacing w:before="120" w:after="120"/>
              <w:jc w:val="both"/>
              <w:rPr>
                <w:rFonts w:ascii="Tahoma" w:hAnsi="Tahoma" w:cs="Tahoma"/>
                <w:sz w:val="19"/>
                <w:szCs w:val="19"/>
              </w:rPr>
            </w:pPr>
            <w:r w:rsidRPr="00150CCA">
              <w:rPr>
                <w:rFonts w:ascii="Tahoma" w:hAnsi="Tahoma" w:cs="Tahoma"/>
                <w:sz w:val="19"/>
                <w:szCs w:val="19"/>
              </w:rPr>
              <w:t>(1) as descentralizações de recursos para o FNDCT, voltadas para a operacionalização de recursos do Fundo Nacional de Saúde (FNS), Ministério da Agricultura, Pecuária e Abastecimento (MAPA) e outras unidades orçamentárias que não a 24901 do FNDCT;</w:t>
            </w:r>
          </w:p>
          <w:p w14:paraId="460AA6B3" w14:textId="77777777" w:rsidR="00B26129" w:rsidRPr="00150CCA" w:rsidRDefault="00B26129" w:rsidP="00097EE2">
            <w:pPr>
              <w:autoSpaceDE w:val="0"/>
              <w:spacing w:before="120" w:after="120"/>
              <w:jc w:val="both"/>
              <w:rPr>
                <w:rFonts w:ascii="Tahoma" w:hAnsi="Tahoma" w:cs="Tahoma"/>
                <w:sz w:val="19"/>
                <w:szCs w:val="19"/>
              </w:rPr>
            </w:pPr>
            <w:r w:rsidRPr="00150CCA">
              <w:rPr>
                <w:rFonts w:ascii="Tahoma" w:hAnsi="Tahoma" w:cs="Tahoma"/>
                <w:sz w:val="19"/>
                <w:szCs w:val="19"/>
              </w:rPr>
              <w:t>(2) o instrumento não reembolsável apoiado pela Finep como agente financeiro do Funttel;</w:t>
            </w:r>
          </w:p>
          <w:p w14:paraId="21A9F732" w14:textId="77777777" w:rsidR="00B26129" w:rsidRPr="00150CCA" w:rsidRDefault="00B26129" w:rsidP="00097EE2">
            <w:pPr>
              <w:autoSpaceDE w:val="0"/>
              <w:spacing w:before="120" w:after="120"/>
              <w:jc w:val="both"/>
              <w:rPr>
                <w:rFonts w:ascii="Tahoma" w:hAnsi="Tahoma" w:cs="Tahoma"/>
                <w:sz w:val="19"/>
                <w:szCs w:val="19"/>
              </w:rPr>
            </w:pPr>
            <w:r w:rsidRPr="00150CCA">
              <w:rPr>
                <w:rFonts w:ascii="Tahoma" w:hAnsi="Tahoma" w:cs="Tahoma"/>
                <w:sz w:val="19"/>
                <w:szCs w:val="19"/>
              </w:rPr>
              <w:t>(3) o PRH-ANP, operado pela Finep como gestora dos recursos;</w:t>
            </w:r>
          </w:p>
          <w:p w14:paraId="107D0EA9" w14:textId="77777777" w:rsidR="00B26129" w:rsidRPr="00150CCA" w:rsidRDefault="00B26129" w:rsidP="00097EE2">
            <w:pPr>
              <w:autoSpaceDE w:val="0"/>
              <w:spacing w:before="120" w:after="120"/>
              <w:jc w:val="both"/>
              <w:rPr>
                <w:rFonts w:ascii="Tahoma" w:hAnsi="Tahoma" w:cs="Tahoma"/>
                <w:sz w:val="19"/>
                <w:szCs w:val="19"/>
              </w:rPr>
            </w:pPr>
            <w:r w:rsidRPr="00150CCA">
              <w:rPr>
                <w:rFonts w:ascii="Tahoma" w:hAnsi="Tahoma" w:cs="Tahoma"/>
                <w:sz w:val="19"/>
                <w:szCs w:val="19"/>
              </w:rPr>
              <w:t>(4) o Programa Finep 2030 operado pela Finep como uma das coordenadoras do Programa Rota 2030 - Mobilidade e Logística do Governo Federal.</w:t>
            </w:r>
          </w:p>
          <w:p w14:paraId="28A8268A" w14:textId="77777777" w:rsidR="00B26129" w:rsidRPr="00150CCA" w:rsidRDefault="00B26129" w:rsidP="00097EE2">
            <w:pPr>
              <w:autoSpaceDE w:val="0"/>
              <w:spacing w:before="120" w:after="120"/>
              <w:jc w:val="both"/>
              <w:rPr>
                <w:rFonts w:ascii="Tahoma" w:hAnsi="Tahoma" w:cs="Tahoma"/>
                <w:sz w:val="19"/>
                <w:szCs w:val="19"/>
              </w:rPr>
            </w:pPr>
            <w:r w:rsidRPr="00150CCA">
              <w:rPr>
                <w:rFonts w:ascii="Tahoma" w:hAnsi="Tahoma" w:cs="Tahoma"/>
                <w:sz w:val="19"/>
                <w:szCs w:val="19"/>
              </w:rPr>
              <w:t>Para a operacionalização dos referidos instrumentos, a Finep recebe (regra geral) taxa de administração específica.</w:t>
            </w:r>
          </w:p>
        </w:tc>
      </w:tr>
    </w:tbl>
    <w:p w14:paraId="560036DC" w14:textId="77777777" w:rsidR="00B26129" w:rsidRPr="00150CCA" w:rsidRDefault="00B26129" w:rsidP="00B26129">
      <w:pPr>
        <w:spacing w:before="120" w:after="120" w:line="360" w:lineRule="auto"/>
        <w:rPr>
          <w:rFonts w:ascii="Tahoma" w:hAnsi="Tahoma" w:cs="Tahoma"/>
          <w:sz w:val="19"/>
          <w:szCs w:val="19"/>
        </w:rPr>
      </w:pPr>
    </w:p>
    <w:p w14:paraId="61456E1C" w14:textId="77777777" w:rsidR="00B26129" w:rsidRPr="00150CCA" w:rsidRDefault="00B26129" w:rsidP="007A1D7B">
      <w:pPr>
        <w:spacing w:before="120" w:after="120" w:line="360" w:lineRule="auto"/>
      </w:pPr>
      <w:r w:rsidRPr="00150CCA">
        <w:rPr>
          <w:rFonts w:ascii="Tahoma" w:hAnsi="Tahoma" w:cs="Tahoma"/>
          <w:sz w:val="19"/>
          <w:szCs w:val="19"/>
        </w:rPr>
        <w:t>A opção pela adoção de uma gestão de custos gerencial é resultado da dificuldade de implementação de um sistema de informação associado à estrutura organizacional, o que permitiria mensurar os custos de produtos e/ou serviços de forma unitária ou mesmo segregada por modalidade (reembolsável, não reembolsável e investimento).</w:t>
      </w:r>
    </w:p>
    <w:p w14:paraId="3F9E205B" w14:textId="6157369C" w:rsidR="00B26129" w:rsidRPr="00150CCA" w:rsidRDefault="00B26129" w:rsidP="007A1D7B">
      <w:pPr>
        <w:spacing w:before="120" w:after="120" w:line="360" w:lineRule="auto"/>
      </w:pPr>
      <w:r w:rsidRPr="00150CCA">
        <w:rPr>
          <w:rFonts w:ascii="Tahoma" w:hAnsi="Tahoma" w:cs="Tahoma"/>
          <w:sz w:val="19"/>
          <w:szCs w:val="19"/>
        </w:rPr>
        <w:t>No entanto, a realização efetiva da missão da Finep implica a realização de atividades não divisíveis, ou mensuráveis, como fomento, articulação institucional, planejamento, análise prévia à concessão de financiamento, concessão do financiamento propriamente dito, estruturação de instâncias decisórias, acompanhamento, avaliação técnico-financeira, entre outras. Tampouco haveria condição de proceder à mensuração da variação do custo unitário em relação a cada financiamento concedido por período.</w:t>
      </w:r>
    </w:p>
    <w:p w14:paraId="304C2A63" w14:textId="3089E3C2" w:rsidR="00B26129" w:rsidRPr="00150CCA" w:rsidRDefault="00B26129" w:rsidP="00B26129">
      <w:pPr>
        <w:spacing w:before="120" w:after="120" w:line="360" w:lineRule="auto"/>
        <w:jc w:val="both"/>
      </w:pPr>
      <w:r w:rsidRPr="00150CCA">
        <w:rPr>
          <w:rFonts w:ascii="Tahoma" w:hAnsi="Tahoma" w:cs="Tahoma"/>
          <w:sz w:val="19"/>
          <w:szCs w:val="19"/>
        </w:rPr>
        <w:t xml:space="preserve">Para lidar com tais características, a principal premissa da metodologia de apuração de custos adotada é que as diversas atividades desenvolvidas pela empresa geram custos que podem ser alocados direta ou </w:t>
      </w:r>
      <w:r w:rsidRPr="00150CCA">
        <w:rPr>
          <w:rFonts w:ascii="Tahoma" w:hAnsi="Tahoma" w:cs="Tahoma"/>
          <w:sz w:val="19"/>
          <w:szCs w:val="19"/>
        </w:rPr>
        <w:lastRenderedPageBreak/>
        <w:t>indiretamente às unidades organizacionais (departamentos) que</w:t>
      </w:r>
      <w:r w:rsidRPr="00150CCA">
        <w:rPr>
          <w:rFonts w:ascii="Tahoma" w:hAnsi="Tahoma" w:cs="Tahoma"/>
          <w:b/>
          <w:bCs/>
          <w:sz w:val="19"/>
          <w:szCs w:val="19"/>
        </w:rPr>
        <w:t xml:space="preserve"> </w:t>
      </w:r>
      <w:r w:rsidRPr="00150CCA">
        <w:rPr>
          <w:rFonts w:ascii="Tahoma" w:hAnsi="Tahoma" w:cs="Tahoma"/>
          <w:sz w:val="19"/>
          <w:szCs w:val="19"/>
        </w:rPr>
        <w:t>trabalham com os instrumentos de apoio a CT&amp;I.</w:t>
      </w:r>
    </w:p>
    <w:p w14:paraId="7502DDF2" w14:textId="77777777" w:rsidR="00B26129" w:rsidRPr="00150CCA" w:rsidRDefault="00B26129" w:rsidP="00B26129">
      <w:pPr>
        <w:spacing w:before="120" w:after="120" w:line="360" w:lineRule="auto"/>
        <w:jc w:val="both"/>
        <w:rPr>
          <w:rFonts w:ascii="Tahoma" w:hAnsi="Tahoma" w:cs="Tahoma"/>
          <w:sz w:val="19"/>
          <w:szCs w:val="19"/>
        </w:rPr>
      </w:pPr>
      <w:r w:rsidRPr="00150CCA">
        <w:rPr>
          <w:rFonts w:ascii="Tahoma" w:hAnsi="Tahoma" w:cs="Tahoma"/>
          <w:sz w:val="19"/>
          <w:szCs w:val="19"/>
        </w:rPr>
        <w:t>De forma resumida, a apuração dos custos por Unidade Operacional é realizada por meio do cálculo do percentual de alocação das equipes dedicadas direta ou indiretamente aos diferentes instrumentos, levando em consideração o organograma institucional e a massa salarial correspondente à dedicação das equipes.</w:t>
      </w:r>
    </w:p>
    <w:p w14:paraId="0A097FC8" w14:textId="77777777" w:rsidR="00B26129" w:rsidRPr="00150CCA" w:rsidRDefault="00B26129" w:rsidP="00B26129">
      <w:pPr>
        <w:spacing w:before="120" w:after="120" w:line="360" w:lineRule="auto"/>
        <w:jc w:val="both"/>
        <w:rPr>
          <w:rFonts w:ascii="Tahoma" w:hAnsi="Tahoma" w:cs="Tahoma"/>
          <w:sz w:val="19"/>
          <w:szCs w:val="19"/>
        </w:rPr>
      </w:pPr>
      <w:r w:rsidRPr="00150CCA">
        <w:rPr>
          <w:rFonts w:ascii="Tahoma" w:hAnsi="Tahoma" w:cs="Tahoma"/>
          <w:sz w:val="19"/>
          <w:szCs w:val="19"/>
        </w:rPr>
        <w:t>Em 202</w:t>
      </w:r>
      <w:r>
        <w:rPr>
          <w:rFonts w:ascii="Tahoma" w:hAnsi="Tahoma" w:cs="Tahoma"/>
          <w:sz w:val="19"/>
          <w:szCs w:val="19"/>
        </w:rPr>
        <w:t>3</w:t>
      </w:r>
      <w:r w:rsidRPr="00150CCA">
        <w:rPr>
          <w:rFonts w:ascii="Tahoma" w:hAnsi="Tahoma" w:cs="Tahoma"/>
          <w:sz w:val="19"/>
          <w:szCs w:val="19"/>
        </w:rPr>
        <w:t>, os estudos para aprimoramento da apuração de custos da Finep e do FNDCT foram continuados, de modo a implementar melhorias constantes na metodologia.</w:t>
      </w:r>
    </w:p>
    <w:p w14:paraId="2977E0AB" w14:textId="77777777" w:rsidR="00B26129" w:rsidRPr="007A1D7B" w:rsidRDefault="00B26129" w:rsidP="00B26129">
      <w:pPr>
        <w:spacing w:line="360" w:lineRule="auto"/>
        <w:rPr>
          <w:rFonts w:ascii="Tahoma" w:hAnsi="Tahoma" w:cs="Tahoma"/>
          <w:bCs/>
          <w:color w:val="0098BA"/>
          <w:sz w:val="19"/>
          <w:szCs w:val="19"/>
        </w:rPr>
      </w:pPr>
      <w:r w:rsidRPr="007A1D7B">
        <w:rPr>
          <w:rFonts w:ascii="Tahoma" w:hAnsi="Tahoma" w:cs="Tahoma"/>
          <w:bCs/>
          <w:color w:val="0098BA"/>
          <w:sz w:val="19"/>
          <w:szCs w:val="19"/>
        </w:rPr>
        <w:t>Demonstrativo dos Custos 2023 - Consolidado e Segregado por Unidade Operacional</w:t>
      </w:r>
    </w:p>
    <w:p w14:paraId="76F2BEC2" w14:textId="77777777" w:rsidR="00B26129" w:rsidRPr="00EF2DB1" w:rsidRDefault="00B26129" w:rsidP="00B26129">
      <w:pPr>
        <w:spacing w:line="360" w:lineRule="auto"/>
        <w:rPr>
          <w:rFonts w:ascii="Tahoma" w:hAnsi="Tahoma" w:cs="Tahoma"/>
          <w:bCs/>
          <w:sz w:val="19"/>
          <w:szCs w:val="19"/>
        </w:rPr>
      </w:pPr>
      <w:r w:rsidRPr="00694E2B">
        <w:rPr>
          <w:noProof/>
        </w:rPr>
        <w:drawing>
          <wp:inline distT="0" distB="0" distL="0" distR="0" wp14:anchorId="0FDCF438" wp14:editId="175BE223">
            <wp:extent cx="4650430" cy="4571137"/>
            <wp:effectExtent l="0" t="0" r="0" b="1270"/>
            <wp:docPr id="1698918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663465" cy="4583950"/>
                    </a:xfrm>
                    <a:prstGeom prst="rect">
                      <a:avLst/>
                    </a:prstGeom>
                    <a:noFill/>
                    <a:ln>
                      <a:noFill/>
                    </a:ln>
                  </pic:spPr>
                </pic:pic>
              </a:graphicData>
            </a:graphic>
          </wp:inline>
        </w:drawing>
      </w:r>
    </w:p>
    <w:p w14:paraId="598D12FC" w14:textId="15F19557" w:rsidR="00B26129" w:rsidRDefault="00B622D5" w:rsidP="00B26129">
      <w:pPr>
        <w:spacing w:before="240" w:after="120" w:line="360" w:lineRule="auto"/>
        <w:jc w:val="both"/>
        <w:rPr>
          <w:rFonts w:ascii="Tahoma" w:hAnsi="Tahoma" w:cs="Tahoma"/>
          <w:sz w:val="19"/>
          <w:szCs w:val="19"/>
        </w:rPr>
      </w:pPr>
      <w:r w:rsidRPr="00210336">
        <w:rPr>
          <w:rFonts w:ascii="Tahoma" w:hAnsi="Tahoma" w:cs="Tahoma"/>
          <w:noProof/>
          <w:sz w:val="22"/>
          <w:szCs w:val="22"/>
        </w:rPr>
        <mc:AlternateContent>
          <mc:Choice Requires="wps">
            <w:drawing>
              <wp:anchor distT="0" distB="0" distL="114300" distR="114300" simplePos="0" relativeHeight="251864064" behindDoc="0" locked="0" layoutInCell="1" allowOverlap="1" wp14:anchorId="0CC368BC" wp14:editId="14B27FDB">
                <wp:simplePos x="0" y="0"/>
                <wp:positionH relativeFrom="column">
                  <wp:posOffset>786262</wp:posOffset>
                </wp:positionH>
                <wp:positionV relativeFrom="paragraph">
                  <wp:posOffset>1228090</wp:posOffset>
                </wp:positionV>
                <wp:extent cx="4957445" cy="480951"/>
                <wp:effectExtent l="0" t="0" r="0" b="0"/>
                <wp:wrapNone/>
                <wp:docPr id="1458529365" name="Text Box 237"/>
                <wp:cNvGraphicFramePr/>
                <a:graphic xmlns:a="http://schemas.openxmlformats.org/drawingml/2006/main">
                  <a:graphicData uri="http://schemas.microsoft.com/office/word/2010/wordprocessingShape">
                    <wps:wsp>
                      <wps:cNvSpPr txBox="1"/>
                      <wps:spPr>
                        <a:xfrm>
                          <a:off x="0" y="0"/>
                          <a:ext cx="4957445" cy="480951"/>
                        </a:xfrm>
                        <a:prstGeom prst="rect">
                          <a:avLst/>
                        </a:prstGeom>
                        <a:solidFill>
                          <a:srgbClr val="0098BA">
                            <a:alpha val="25098"/>
                          </a:srgbClr>
                        </a:solidFill>
                        <a:ln w="6345">
                          <a:noFill/>
                          <a:prstDash val="dash"/>
                        </a:ln>
                      </wps:spPr>
                      <wps:txbx>
                        <w:txbxContent>
                          <w:p w14:paraId="0A1D4DB5" w14:textId="43E202C9" w:rsidR="007A1D7B" w:rsidRPr="0082438F" w:rsidRDefault="007A1D7B" w:rsidP="007A1D7B">
                            <w:pPr>
                              <w:rPr>
                                <w:rFonts w:ascii="Tahoma" w:hAnsi="Tahoma" w:cs="Tahoma"/>
                                <w:sz w:val="16"/>
                                <w:szCs w:val="16"/>
                              </w:rPr>
                            </w:pPr>
                            <w:r w:rsidRPr="007A1D7B">
                              <w:rPr>
                                <w:rFonts w:ascii="Tahoma" w:hAnsi="Tahoma" w:cs="Tahoma"/>
                                <w:sz w:val="16"/>
                                <w:szCs w:val="16"/>
                              </w:rPr>
                              <w:t>Em setembro</w:t>
                            </w:r>
                            <w:r>
                              <w:rPr>
                                <w:rFonts w:ascii="Tahoma" w:hAnsi="Tahoma" w:cs="Tahoma"/>
                                <w:sz w:val="16"/>
                                <w:szCs w:val="16"/>
                              </w:rPr>
                              <w:t xml:space="preserve"> de 20</w:t>
                            </w:r>
                            <w:r w:rsidRPr="007A1D7B">
                              <w:rPr>
                                <w:rFonts w:ascii="Tahoma" w:hAnsi="Tahoma" w:cs="Tahoma"/>
                                <w:sz w:val="16"/>
                                <w:szCs w:val="16"/>
                              </w:rPr>
                              <w:t>22</w:t>
                            </w:r>
                            <w:r>
                              <w:rPr>
                                <w:rFonts w:ascii="Tahoma" w:hAnsi="Tahoma" w:cs="Tahoma"/>
                                <w:sz w:val="16"/>
                                <w:szCs w:val="16"/>
                              </w:rPr>
                              <w:t>,</w:t>
                            </w:r>
                            <w:r w:rsidRPr="007A1D7B">
                              <w:rPr>
                                <w:rFonts w:ascii="Tahoma" w:hAnsi="Tahoma" w:cs="Tahoma"/>
                                <w:sz w:val="16"/>
                                <w:szCs w:val="16"/>
                              </w:rPr>
                              <w:t xml:space="preserve"> as tabelas salariais do</w:t>
                            </w:r>
                            <w:r>
                              <w:rPr>
                                <w:rFonts w:ascii="Tahoma" w:hAnsi="Tahoma" w:cs="Tahoma"/>
                                <w:sz w:val="16"/>
                                <w:szCs w:val="16"/>
                              </w:rPr>
                              <w:t xml:space="preserve">s planos de carreira da empresa </w:t>
                            </w:r>
                            <w:r w:rsidRPr="007A1D7B">
                              <w:rPr>
                                <w:rFonts w:ascii="Tahoma" w:hAnsi="Tahoma" w:cs="Tahoma"/>
                                <w:sz w:val="16"/>
                                <w:szCs w:val="16"/>
                              </w:rPr>
                              <w:t>vigentes em 31 de agosto de 2022 foram reajustadas em 8,0%. Estes valores reajustados vigoraram até agosto/2023, quando houve um novo reajuste de 4,58% de acordo com o mesmo ACT 2022 que era bianual.</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0CC368BC" id="_x0000_s1057" type="#_x0000_t202" style="position:absolute;left:0;text-align:left;margin-left:61.9pt;margin-top:96.7pt;width:390.35pt;height:37.8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" fillcolor="#0098ba" stroked="f" strokeweight=".17625mm">
                <v:fill opacity="16448f"/>
                <v:stroke dashstyle="dash"/>
                <v:textbox>
                  <w:txbxContent>
                    <w:p w14:paraId="0A1D4DB5" w14:textId="43E202C9" w:rsidR="007A1D7B" w:rsidRPr="0082438F" w:rsidRDefault="007A1D7B" w:rsidP="007A1D7B">
                      <w:pPr>
                        <w:rPr>
                          <w:rFonts w:ascii="Tahoma" w:hAnsi="Tahoma" w:cs="Tahoma"/>
                          <w:sz w:val="16"/>
                          <w:szCs w:val="16"/>
                        </w:rPr>
                      </w:pPr>
                      <w:r w:rsidRPr="007A1D7B">
                        <w:rPr>
                          <w:rFonts w:ascii="Tahoma" w:hAnsi="Tahoma" w:cs="Tahoma"/>
                          <w:sz w:val="16"/>
                          <w:szCs w:val="16"/>
                        </w:rPr>
                        <w:t>Em setembro</w:t>
                      </w:r>
                      <w:r>
                        <w:rPr>
                          <w:rFonts w:ascii="Tahoma" w:hAnsi="Tahoma" w:cs="Tahoma"/>
                          <w:sz w:val="16"/>
                          <w:szCs w:val="16"/>
                        </w:rPr>
                        <w:t xml:space="preserve"> de 20</w:t>
                      </w:r>
                      <w:r w:rsidRPr="007A1D7B">
                        <w:rPr>
                          <w:rFonts w:ascii="Tahoma" w:hAnsi="Tahoma" w:cs="Tahoma"/>
                          <w:sz w:val="16"/>
                          <w:szCs w:val="16"/>
                        </w:rPr>
                        <w:t>22</w:t>
                      </w:r>
                      <w:r>
                        <w:rPr>
                          <w:rFonts w:ascii="Tahoma" w:hAnsi="Tahoma" w:cs="Tahoma"/>
                          <w:sz w:val="16"/>
                          <w:szCs w:val="16"/>
                        </w:rPr>
                        <w:t>,</w:t>
                      </w:r>
                      <w:r w:rsidRPr="007A1D7B">
                        <w:rPr>
                          <w:rFonts w:ascii="Tahoma" w:hAnsi="Tahoma" w:cs="Tahoma"/>
                          <w:sz w:val="16"/>
                          <w:szCs w:val="16"/>
                        </w:rPr>
                        <w:t xml:space="preserve"> as tabelas salariais do</w:t>
                      </w:r>
                      <w:r>
                        <w:rPr>
                          <w:rFonts w:ascii="Tahoma" w:hAnsi="Tahoma" w:cs="Tahoma"/>
                          <w:sz w:val="16"/>
                          <w:szCs w:val="16"/>
                        </w:rPr>
                        <w:t xml:space="preserve">s planos de carreira da empresa </w:t>
                      </w:r>
                      <w:r w:rsidRPr="007A1D7B">
                        <w:rPr>
                          <w:rFonts w:ascii="Tahoma" w:hAnsi="Tahoma" w:cs="Tahoma"/>
                          <w:sz w:val="16"/>
                          <w:szCs w:val="16"/>
                        </w:rPr>
                        <w:t>vigentes em 31 de agosto de 2022 foram reajustadas em 8,0%. Estes valores reajustados vigoraram até agosto/2023, quando houve um novo reajuste de 4,58% de acordo com o mesmo ACT 2022 que era bianual.</w:t>
                      </w:r>
                    </w:p>
                  </w:txbxContent>
                </v:textbox>
              </v:shape>
            </w:pict>
          </mc:Fallback>
        </mc:AlternateContent>
      </w:r>
      <w:r w:rsidR="00B26129" w:rsidRPr="00694E2B">
        <w:rPr>
          <w:rFonts w:ascii="Tahoma" w:hAnsi="Tahoma" w:cs="Tahoma"/>
          <w:sz w:val="19"/>
          <w:szCs w:val="19"/>
        </w:rPr>
        <w:t xml:space="preserve">Ao analisar os valores apurados, percebe-se um aumento de 8% do total dos custos das Unidades Operacionais de 2022 para 2023. </w:t>
      </w:r>
      <w:r w:rsidR="00B26129" w:rsidRPr="009F3E8E">
        <w:rPr>
          <w:rFonts w:ascii="Tahoma" w:hAnsi="Tahoma" w:cs="Tahoma"/>
          <w:sz w:val="19"/>
          <w:szCs w:val="19"/>
        </w:rPr>
        <w:t>Houve um aumento nas despesas de pessoal, também na ordem de 8%, resultado líquido do aumento dado pelo Acordo Coletivo de Trabalho (ACT) e, por outro lado, da concessão de licenças sem vencimentos e de demissões a pedido de funcionários, sem reposição</w:t>
      </w:r>
      <w:r>
        <w:rPr>
          <w:rFonts w:ascii="Tahoma" w:hAnsi="Tahoma" w:cs="Tahoma"/>
          <w:sz w:val="19"/>
          <w:szCs w:val="19"/>
        </w:rPr>
        <w:t xml:space="preserve"> (</w:t>
      </w:r>
      <w:r w:rsidRPr="00B622D5">
        <w:rPr>
          <w:rFonts w:ascii="Tahoma" w:hAnsi="Tahoma" w:cs="Tahoma"/>
          <w:sz w:val="19"/>
          <w:szCs w:val="19"/>
        </w:rPr>
        <w:t>em janeiro de 2023 havia 542 matrículas ativas e, em dezembro, 540</w:t>
      </w:r>
      <w:r>
        <w:rPr>
          <w:rFonts w:ascii="Tahoma" w:hAnsi="Tahoma" w:cs="Tahoma"/>
          <w:sz w:val="19"/>
          <w:szCs w:val="19"/>
        </w:rPr>
        <w:t>)</w:t>
      </w:r>
      <w:r w:rsidR="00B26129" w:rsidRPr="009F3E8E">
        <w:rPr>
          <w:rFonts w:ascii="Tahoma" w:hAnsi="Tahoma" w:cs="Tahoma"/>
          <w:sz w:val="19"/>
          <w:szCs w:val="19"/>
        </w:rPr>
        <w:t>.</w:t>
      </w:r>
    </w:p>
    <w:p w14:paraId="4752546C" w14:textId="15526B78" w:rsidR="007A1D7B" w:rsidRDefault="007A1D7B" w:rsidP="00B26129">
      <w:pPr>
        <w:spacing w:before="240" w:after="120" w:line="360" w:lineRule="auto"/>
        <w:jc w:val="both"/>
        <w:rPr>
          <w:rFonts w:ascii="Tahoma" w:hAnsi="Tahoma" w:cs="Tahoma"/>
          <w:sz w:val="19"/>
          <w:szCs w:val="19"/>
        </w:rPr>
      </w:pPr>
    </w:p>
    <w:p w14:paraId="141E26CA" w14:textId="1AEACD76" w:rsidR="00B26129" w:rsidRPr="003E6C0C" w:rsidRDefault="00B26129" w:rsidP="00B26129">
      <w:pPr>
        <w:spacing w:before="240" w:after="120" w:line="360" w:lineRule="auto"/>
        <w:jc w:val="both"/>
      </w:pPr>
      <w:r w:rsidRPr="00E65158">
        <w:rPr>
          <w:rFonts w:ascii="Tahoma" w:hAnsi="Tahoma" w:cs="Tahoma"/>
          <w:sz w:val="19"/>
          <w:szCs w:val="19"/>
        </w:rPr>
        <w:t>Por outro lado, houve um aumento de 35% nos custos administrativos</w:t>
      </w:r>
      <w:r w:rsidR="003E6C0C">
        <w:rPr>
          <w:rFonts w:ascii="Tahoma" w:hAnsi="Tahoma" w:cs="Tahoma"/>
          <w:sz w:val="19"/>
          <w:szCs w:val="19"/>
        </w:rPr>
        <w:t xml:space="preserve">, incluindo </w:t>
      </w:r>
      <w:r w:rsidR="003E6C0C" w:rsidRPr="003E6C0C">
        <w:rPr>
          <w:rFonts w:ascii="Tahoma" w:hAnsi="Tahoma" w:cs="Tahoma"/>
          <w:sz w:val="19"/>
          <w:szCs w:val="19"/>
        </w:rPr>
        <w:t>despesas com amortização e depreciação</w:t>
      </w:r>
      <w:r w:rsidRPr="00E65158">
        <w:rPr>
          <w:rFonts w:ascii="Tahoma" w:hAnsi="Tahoma" w:cs="Tahoma"/>
          <w:sz w:val="19"/>
          <w:szCs w:val="19"/>
        </w:rPr>
        <w:t>.</w:t>
      </w:r>
      <w:r w:rsidR="003E6C0C" w:rsidRPr="00E65158">
        <w:rPr>
          <w:rFonts w:ascii="Tahoma" w:hAnsi="Tahoma" w:cs="Tahoma"/>
          <w:sz w:val="19"/>
          <w:szCs w:val="19"/>
        </w:rPr>
        <w:t xml:space="preserve"> </w:t>
      </w:r>
      <w:r w:rsidRPr="00E65158">
        <w:rPr>
          <w:rFonts w:ascii="Tahoma" w:hAnsi="Tahoma" w:cs="Tahoma"/>
          <w:sz w:val="19"/>
          <w:szCs w:val="19"/>
        </w:rPr>
        <w:t xml:space="preserve">Os dois motivos principais que explicam este aumento foram: (i) o aumento no valor </w:t>
      </w:r>
      <w:r w:rsidRPr="00E65158">
        <w:rPr>
          <w:rFonts w:ascii="Tahoma" w:hAnsi="Tahoma" w:cs="Tahoma"/>
          <w:sz w:val="19"/>
          <w:szCs w:val="19"/>
        </w:rPr>
        <w:lastRenderedPageBreak/>
        <w:t xml:space="preserve">despendido em exposições e congressos, bem como em patrocínios de eventos, em razão da estratégia de maior divulgação da Finep e suas ações junto ao </w:t>
      </w:r>
      <w:r w:rsidRPr="004A2A57">
        <w:rPr>
          <w:rFonts w:ascii="Tahoma" w:hAnsi="Tahoma" w:cs="Tahoma"/>
          <w:sz w:val="19"/>
          <w:szCs w:val="19"/>
        </w:rPr>
        <w:t xml:space="preserve">público de interesse; e (ii) o aumento das despesas de processamento de dados, devido à aquisição de novas licenças de softwares e serviços terceirizados de TI, consoante com o objetivo estratégico de aprimorar as práticas de gestão e infraestrutura tecnológica para atender às necessidades </w:t>
      </w:r>
      <w:r w:rsidRPr="003E6C0C">
        <w:rPr>
          <w:rFonts w:ascii="Tahoma" w:hAnsi="Tahoma" w:cs="Tahoma"/>
          <w:sz w:val="19"/>
          <w:szCs w:val="19"/>
        </w:rPr>
        <w:t>da estratégia da Finep.</w:t>
      </w:r>
    </w:p>
    <w:p w14:paraId="63C2D3AB" w14:textId="3CD8D75F" w:rsidR="00B26129" w:rsidRPr="00A54B62" w:rsidRDefault="00B26129" w:rsidP="00B26129">
      <w:pPr>
        <w:spacing w:before="119" w:after="119" w:line="360" w:lineRule="auto"/>
        <w:jc w:val="both"/>
      </w:pPr>
      <w:r w:rsidRPr="00E65158">
        <w:rPr>
          <w:rFonts w:ascii="Tahoma" w:hAnsi="Tahoma" w:cs="Tahoma"/>
          <w:sz w:val="19"/>
          <w:szCs w:val="19"/>
        </w:rPr>
        <w:t xml:space="preserve">O custo global com a Unidade Operacional Finep apresentou aumento de 5% em comparação com o ano de 2022. Os custos administrativos desta unidade aumentaram 37%, acompanhando o aumento total desses custos, explicada no parágrafo anterior. </w:t>
      </w:r>
      <w:r w:rsidRPr="00A54B62">
        <w:rPr>
          <w:rFonts w:ascii="Tahoma" w:hAnsi="Tahoma" w:cs="Tahoma"/>
          <w:sz w:val="19"/>
          <w:szCs w:val="19"/>
        </w:rPr>
        <w:t>Da mesma forma o aumento de 8% no custo de pessoal da unidade também es</w:t>
      </w:r>
      <w:r>
        <w:rPr>
          <w:rFonts w:ascii="Tahoma" w:hAnsi="Tahoma" w:cs="Tahoma"/>
          <w:sz w:val="19"/>
          <w:szCs w:val="19"/>
        </w:rPr>
        <w:t>tá</w:t>
      </w:r>
      <w:r w:rsidRPr="00A54B62">
        <w:rPr>
          <w:rFonts w:ascii="Tahoma" w:hAnsi="Tahoma" w:cs="Tahoma"/>
          <w:sz w:val="19"/>
          <w:szCs w:val="19"/>
        </w:rPr>
        <w:t xml:space="preserve"> de acordo com o reajuste da folha salarial já mencionado. Cabe o destaque para a redução de 16% de despesas tributárias da unidade Finep, que é </w:t>
      </w:r>
      <w:r>
        <w:rPr>
          <w:rFonts w:ascii="Tahoma" w:hAnsi="Tahoma" w:cs="Tahoma"/>
          <w:sz w:val="19"/>
          <w:szCs w:val="19"/>
        </w:rPr>
        <w:t>justificada tanto</w:t>
      </w:r>
      <w:r w:rsidRPr="00A54B62">
        <w:rPr>
          <w:rFonts w:ascii="Tahoma" w:hAnsi="Tahoma" w:cs="Tahoma"/>
          <w:sz w:val="19"/>
          <w:szCs w:val="19"/>
        </w:rPr>
        <w:t xml:space="preserve"> pelo pagamento atípico e significativo de despesas de ISS em 2022, que foi alocada exclusivamente nesta unidade na época</w:t>
      </w:r>
      <w:r>
        <w:rPr>
          <w:rFonts w:ascii="Tahoma" w:hAnsi="Tahoma" w:cs="Tahoma"/>
          <w:sz w:val="19"/>
          <w:szCs w:val="19"/>
        </w:rPr>
        <w:t>, quanto pela diminuição do valor total de custos tributários em 2023.</w:t>
      </w:r>
    </w:p>
    <w:p w14:paraId="443F417B" w14:textId="39B54BAB" w:rsidR="00B26129" w:rsidRPr="005C28A2" w:rsidRDefault="00B26129" w:rsidP="00B26129">
      <w:pPr>
        <w:spacing w:before="119" w:after="119" w:line="360" w:lineRule="auto"/>
        <w:jc w:val="both"/>
        <w:rPr>
          <w:rFonts w:ascii="Tahoma" w:hAnsi="Tahoma" w:cs="Tahoma"/>
          <w:sz w:val="19"/>
          <w:szCs w:val="19"/>
        </w:rPr>
      </w:pPr>
      <w:r w:rsidRPr="000C24AE">
        <w:rPr>
          <w:rFonts w:ascii="Tahoma" w:hAnsi="Tahoma" w:cs="Tahoma"/>
          <w:sz w:val="19"/>
          <w:szCs w:val="19"/>
        </w:rPr>
        <w:t xml:space="preserve">Em geral, os custos como Secretaria Executiva do FNDCT tiveram, também, um aumento de 11%, comparados a 2022. Os custos de pessoal e administrativo aumentaram </w:t>
      </w:r>
      <w:r>
        <w:rPr>
          <w:rFonts w:ascii="Tahoma" w:hAnsi="Tahoma" w:cs="Tahoma"/>
          <w:sz w:val="19"/>
          <w:szCs w:val="19"/>
        </w:rPr>
        <w:t>7</w:t>
      </w:r>
      <w:r w:rsidRPr="000C24AE">
        <w:rPr>
          <w:rFonts w:ascii="Tahoma" w:hAnsi="Tahoma" w:cs="Tahoma"/>
          <w:sz w:val="19"/>
          <w:szCs w:val="19"/>
        </w:rPr>
        <w:t xml:space="preserve">% e </w:t>
      </w:r>
      <w:r>
        <w:rPr>
          <w:rFonts w:ascii="Tahoma" w:hAnsi="Tahoma" w:cs="Tahoma"/>
          <w:sz w:val="19"/>
          <w:szCs w:val="19"/>
        </w:rPr>
        <w:t>27</w:t>
      </w:r>
      <w:r w:rsidRPr="000C24AE">
        <w:rPr>
          <w:rFonts w:ascii="Tahoma" w:hAnsi="Tahoma" w:cs="Tahoma"/>
          <w:sz w:val="19"/>
          <w:szCs w:val="19"/>
        </w:rPr>
        <w:t xml:space="preserve">%, respectivamente. </w:t>
      </w:r>
      <w:r w:rsidRPr="005C28A2">
        <w:rPr>
          <w:rFonts w:ascii="Tahoma" w:hAnsi="Tahoma" w:cs="Tahoma"/>
          <w:sz w:val="19"/>
          <w:szCs w:val="19"/>
        </w:rPr>
        <w:t xml:space="preserve">Já os custos tributários tiveram um aumento de 133%, </w:t>
      </w:r>
      <w:r>
        <w:rPr>
          <w:rFonts w:ascii="Tahoma" w:hAnsi="Tahoma" w:cs="Tahoma"/>
          <w:sz w:val="19"/>
          <w:szCs w:val="19"/>
        </w:rPr>
        <w:t>apesar d</w:t>
      </w:r>
      <w:r w:rsidRPr="005C28A2">
        <w:rPr>
          <w:rFonts w:ascii="Tahoma" w:hAnsi="Tahoma" w:cs="Tahoma"/>
          <w:sz w:val="19"/>
          <w:szCs w:val="19"/>
        </w:rPr>
        <w:t>o valor total</w:t>
      </w:r>
      <w:r>
        <w:rPr>
          <w:rFonts w:ascii="Tahoma" w:hAnsi="Tahoma" w:cs="Tahoma"/>
          <w:sz w:val="19"/>
          <w:szCs w:val="19"/>
        </w:rPr>
        <w:t xml:space="preserve"> de tributos</w:t>
      </w:r>
      <w:r w:rsidRPr="005C28A2">
        <w:rPr>
          <w:rFonts w:ascii="Tahoma" w:hAnsi="Tahoma" w:cs="Tahoma"/>
          <w:sz w:val="19"/>
          <w:szCs w:val="19"/>
        </w:rPr>
        <w:t xml:space="preserve"> ter reduzido em 11%. Isto é reflexo do maior valor pago de COFINS e PIS/PASEP, que são distribuídos pelas unidades conforme percentual de alocação de atividades, além da redução relevante do valor de ISS</w:t>
      </w:r>
      <w:r>
        <w:rPr>
          <w:rFonts w:ascii="Tahoma" w:hAnsi="Tahoma" w:cs="Tahoma"/>
          <w:sz w:val="19"/>
          <w:szCs w:val="19"/>
        </w:rPr>
        <w:t xml:space="preserve"> em 2023</w:t>
      </w:r>
      <w:r w:rsidRPr="005C28A2">
        <w:rPr>
          <w:rFonts w:ascii="Tahoma" w:hAnsi="Tahoma" w:cs="Tahoma"/>
          <w:sz w:val="19"/>
          <w:szCs w:val="19"/>
        </w:rPr>
        <w:t xml:space="preserve">, que se refere somente </w:t>
      </w:r>
      <w:r w:rsidR="00F6518A">
        <w:rPr>
          <w:rFonts w:ascii="Tahoma" w:hAnsi="Tahoma" w:cs="Tahoma"/>
          <w:sz w:val="19"/>
          <w:szCs w:val="19"/>
        </w:rPr>
        <w:t>à</w:t>
      </w:r>
      <w:r w:rsidRPr="005C28A2">
        <w:rPr>
          <w:rFonts w:ascii="Tahoma" w:hAnsi="Tahoma" w:cs="Tahoma"/>
          <w:sz w:val="19"/>
          <w:szCs w:val="19"/>
        </w:rPr>
        <w:t xml:space="preserve"> unidade Finep. </w:t>
      </w:r>
    </w:p>
    <w:p w14:paraId="49BFD6E9" w14:textId="758FB883" w:rsidR="00B26129" w:rsidRPr="004A2A57" w:rsidRDefault="00B26129" w:rsidP="00B26129">
      <w:pPr>
        <w:spacing w:before="119" w:after="119" w:line="360" w:lineRule="auto"/>
        <w:jc w:val="both"/>
        <w:rPr>
          <w:rFonts w:ascii="Tahoma" w:hAnsi="Tahoma" w:cs="Tahoma"/>
          <w:sz w:val="19"/>
          <w:szCs w:val="19"/>
        </w:rPr>
      </w:pPr>
      <w:r w:rsidRPr="004A2A57">
        <w:rPr>
          <w:rFonts w:ascii="Tahoma" w:hAnsi="Tahoma" w:cs="Tahoma"/>
          <w:sz w:val="19"/>
          <w:szCs w:val="19"/>
        </w:rPr>
        <w:t>Além disso, é possível verificar que os custos totais como Gestora de Recursos de Terceiros aumentaram em 17% em relação a 2022, se configurando como o maior crescimento dentre as unidades. A expansão desta unidade vai ao encontro do objetivo estratégico da Finep de fortalecer arranjos de cooperação, alianças e parcerias estratégicas voltados ao fomento de atividades de CT&amp;I que contribuem para o desenvolvimento do país. Por isso, observou-se em 2023 uma maior alocação de homem/hora na unidade de Gestão de Recursos de Terceiros, de forma a operacionalizar o incremento de atuação e recursos em fundos como Rota 2030, FNS, PRH-ANP e Funttel. Por fim, os custos tributários dessa unidade praticamente dobraram pelos mesmos motivos já descritos na unidade da Secretaria Executiva do FNDCT.</w:t>
      </w:r>
    </w:p>
    <w:p w14:paraId="5FA49092" w14:textId="77777777" w:rsidR="00B26129" w:rsidRPr="00D83A0A" w:rsidRDefault="00B26129" w:rsidP="00B26129">
      <w:pPr>
        <w:shd w:val="clear" w:color="auto" w:fill="FFFFFF"/>
        <w:spacing w:before="119" w:after="119" w:line="360" w:lineRule="auto"/>
        <w:jc w:val="both"/>
        <w:rPr>
          <w:rFonts w:ascii="Tahoma" w:hAnsi="Tahoma" w:cs="Tahoma"/>
          <w:sz w:val="19"/>
          <w:szCs w:val="19"/>
        </w:rPr>
      </w:pPr>
      <w:r w:rsidRPr="00D83A0A">
        <w:rPr>
          <w:rFonts w:ascii="Tahoma" w:hAnsi="Tahoma" w:cs="Tahoma"/>
          <w:sz w:val="19"/>
          <w:szCs w:val="19"/>
        </w:rPr>
        <w:t>Adicionalmente, merece registro que a Finep é uma empresa pública federal não integrante do Orçamento Fiscal e da Seguridade Social. Portanto, apenas os seus investimentos constam do Orçamento Geral da União, inseridos no Orçamento de Investimento (OI) das Empresas Estatais. Portanto, a Finep não está diretamente associada ao Sistema de Informação de Custos do Setor Público - SICSP (que possui interface com o SIAFI – Sistema Integrado de Administração Financeira).</w:t>
      </w:r>
    </w:p>
    <w:p w14:paraId="474B0868" w14:textId="77777777" w:rsidR="00B26129" w:rsidRDefault="00B26129" w:rsidP="00B26129">
      <w:pPr>
        <w:shd w:val="clear" w:color="auto" w:fill="FFFFFF"/>
        <w:spacing w:before="119" w:after="119" w:line="360" w:lineRule="auto"/>
        <w:jc w:val="both"/>
        <w:rPr>
          <w:rFonts w:ascii="Tahoma" w:hAnsi="Tahoma" w:cs="Tahoma"/>
          <w:sz w:val="19"/>
          <w:szCs w:val="19"/>
        </w:rPr>
      </w:pPr>
      <w:r w:rsidRPr="00D83A0A">
        <w:rPr>
          <w:rFonts w:ascii="Tahoma" w:hAnsi="Tahoma" w:cs="Tahoma"/>
          <w:sz w:val="19"/>
          <w:szCs w:val="19"/>
        </w:rPr>
        <w:t>Considerando que a Finep não está obrigada a utilizar o SICSP para registro dos custos despendidos com a operacionalização de atividades desempenhadas com recursos próprios, optou-se pelo desenvolvimento de um sistema próprio de informações que refletisse sua especificidade de atuação, bem como seu modelo jurídico institucional, que contempla o desempenho de macro funções complementares regidas por marcos legais específicos, a saber: a Secretaria-Executiva do FNDCT, a Finep e a Gestora de Recursos de Terceiros.</w:t>
      </w:r>
    </w:p>
    <w:p w14:paraId="248E4FAE" w14:textId="38703447" w:rsidR="00B26129" w:rsidRPr="00D83A0A" w:rsidRDefault="00B26129" w:rsidP="00B26129">
      <w:pPr>
        <w:shd w:val="clear" w:color="auto" w:fill="FFFFFF"/>
        <w:spacing w:before="119" w:after="119" w:line="360" w:lineRule="auto"/>
        <w:jc w:val="both"/>
      </w:pPr>
      <w:r w:rsidRPr="004A2A57">
        <w:rPr>
          <w:rFonts w:ascii="Tahoma" w:hAnsi="Tahoma" w:cs="Tahoma"/>
          <w:sz w:val="19"/>
          <w:szCs w:val="19"/>
        </w:rPr>
        <w:t xml:space="preserve">Através do trabalho de apuração e análise de custos incorridos na operacionalização dos instrumentos da Finep, no âmbito de cada Unidade Operacional, almeja-se contribuir no atingimento do objetivo estratégico </w:t>
      </w:r>
      <w:r w:rsidRPr="004A2A57">
        <w:rPr>
          <w:rFonts w:ascii="Tahoma" w:hAnsi="Tahoma" w:cs="Tahoma"/>
          <w:sz w:val="19"/>
          <w:szCs w:val="19"/>
        </w:rPr>
        <w:lastRenderedPageBreak/>
        <w:t xml:space="preserve">de assegurar o equilíbrio entre fontes e uso de recursos em prol da sustentabilidade financeira da empresa. A gestão de custos desenvolvida também procura demonstrar os pontos de melhoria na racionalização de custos de forma a viabilizar um aprimoramento de sua produtividade e eficiência, conforme outro objetivo estratégico. Desta forma, pretende-se contribuir para que </w:t>
      </w:r>
      <w:r w:rsidR="00DE6C77">
        <w:rPr>
          <w:rFonts w:ascii="Tahoma" w:hAnsi="Tahoma" w:cs="Tahoma"/>
          <w:sz w:val="19"/>
          <w:szCs w:val="19"/>
        </w:rPr>
        <w:t>a Finep</w:t>
      </w:r>
      <w:r w:rsidRPr="004A2A57">
        <w:rPr>
          <w:rFonts w:ascii="Tahoma" w:hAnsi="Tahoma" w:cs="Tahoma"/>
          <w:sz w:val="19"/>
          <w:szCs w:val="19"/>
        </w:rPr>
        <w:t xml:space="preserve"> cumpra sua missão institucional no fomento de atividades de CT&amp;I que apoiem o desenvolvimento do país</w:t>
      </w:r>
      <w:r>
        <w:rPr>
          <w:rFonts w:ascii="Tahoma" w:hAnsi="Tahoma" w:cs="Tahoma"/>
          <w:sz w:val="19"/>
          <w:szCs w:val="19"/>
        </w:rPr>
        <w:t>.</w:t>
      </w:r>
    </w:p>
    <w:p w14:paraId="02938E25" w14:textId="77777777" w:rsidR="00B26129" w:rsidRDefault="00B26129" w:rsidP="00B26129">
      <w:pPr>
        <w:spacing w:before="120" w:after="120" w:line="360" w:lineRule="auto"/>
        <w:rPr>
          <w:rFonts w:ascii="Tahoma" w:hAnsi="Tahoma" w:cs="Tahoma"/>
          <w:sz w:val="19"/>
          <w:szCs w:val="19"/>
        </w:rPr>
      </w:pPr>
    </w:p>
    <w:p w14:paraId="7BF4F905" w14:textId="77777777" w:rsidR="00994825" w:rsidRDefault="00994825">
      <w:pPr>
        <w:autoSpaceDN w:val="0"/>
        <w:spacing w:after="160"/>
        <w:textAlignment w:val="baseline"/>
        <w:rPr>
          <w:rFonts w:ascii="Tahoma" w:hAnsi="Tahoma" w:cs="Tahoma"/>
          <w:sz w:val="19"/>
          <w:szCs w:val="19"/>
        </w:rPr>
      </w:pPr>
    </w:p>
    <w:p w14:paraId="2FCB418B" w14:textId="59C85A79" w:rsidR="000D6D0A" w:rsidRPr="00034BC8" w:rsidRDefault="00811585" w:rsidP="00034BC8">
      <w:pPr>
        <w:pStyle w:val="Ttulo2"/>
        <w:spacing w:before="0" w:after="120" w:line="360" w:lineRule="auto"/>
        <w:ind w:left="862" w:hanging="578"/>
        <w:rPr>
          <w:rFonts w:ascii="Tahoma" w:hAnsi="Tahoma" w:cs="Tahoma"/>
          <w:color w:val="0098BA"/>
          <w:sz w:val="24"/>
          <w:szCs w:val="24"/>
        </w:rPr>
      </w:pPr>
      <w:bookmarkStart w:id="322" w:name="_Toc65414096"/>
      <w:bookmarkStart w:id="323" w:name="_Toc65494348"/>
      <w:bookmarkStart w:id="324" w:name="_Toc93683658"/>
      <w:bookmarkStart w:id="325" w:name="_Toc94256499"/>
      <w:bookmarkStart w:id="326" w:name="_Toc94278224"/>
      <w:bookmarkStart w:id="327" w:name="_Toc97244830"/>
      <w:bookmarkStart w:id="328" w:name="_Toc105003818"/>
      <w:bookmarkStart w:id="329" w:name="_Toc105006501"/>
      <w:bookmarkStart w:id="330" w:name="_Toc131692266"/>
      <w:bookmarkStart w:id="331" w:name="_Toc163025281"/>
      <w:bookmarkStart w:id="332" w:name="_Toc162512617"/>
      <w:r w:rsidRPr="00210336">
        <w:rPr>
          <w:rFonts w:ascii="Tahoma" w:hAnsi="Tahoma" w:cs="Tahoma"/>
          <w:noProof/>
          <w:sz w:val="22"/>
          <w:szCs w:val="22"/>
        </w:rPr>
        <mc:AlternateContent>
          <mc:Choice Requires="wps">
            <w:drawing>
              <wp:anchor distT="0" distB="0" distL="114300" distR="114300" simplePos="0" relativeHeight="251868160" behindDoc="0" locked="0" layoutInCell="1" allowOverlap="1" wp14:anchorId="149E9679" wp14:editId="11126011">
                <wp:simplePos x="0" y="0"/>
                <wp:positionH relativeFrom="column">
                  <wp:posOffset>786311</wp:posOffset>
                </wp:positionH>
                <wp:positionV relativeFrom="paragraph">
                  <wp:posOffset>349885</wp:posOffset>
                </wp:positionV>
                <wp:extent cx="4957445" cy="380010"/>
                <wp:effectExtent l="0" t="0" r="0" b="1270"/>
                <wp:wrapNone/>
                <wp:docPr id="1823399620" name="Text Box 237"/>
                <wp:cNvGraphicFramePr/>
                <a:graphic xmlns:a="http://schemas.openxmlformats.org/drawingml/2006/main">
                  <a:graphicData uri="http://schemas.microsoft.com/office/word/2010/wordprocessingShape">
                    <wps:wsp>
                      <wps:cNvSpPr txBox="1"/>
                      <wps:spPr>
                        <a:xfrm>
                          <a:off x="0" y="0"/>
                          <a:ext cx="4957445" cy="380010"/>
                        </a:xfrm>
                        <a:prstGeom prst="rect">
                          <a:avLst/>
                        </a:prstGeom>
                        <a:solidFill>
                          <a:srgbClr val="0098BA">
                            <a:alpha val="25098"/>
                          </a:srgbClr>
                        </a:solidFill>
                        <a:ln w="6345">
                          <a:noFill/>
                          <a:prstDash val="dash"/>
                        </a:ln>
                      </wps:spPr>
                      <wps:txbx>
                        <w:txbxContent>
                          <w:p w14:paraId="0C73C258" w14:textId="2339EDBE" w:rsidR="00811585" w:rsidRDefault="00811585" w:rsidP="00811585">
                            <w:pPr>
                              <w:jc w:val="right"/>
                              <w:rPr>
                                <w:rFonts w:ascii="Tahoma" w:hAnsi="Tahoma" w:cs="Tahoma"/>
                                <w:sz w:val="16"/>
                                <w:szCs w:val="16"/>
                              </w:rPr>
                            </w:pPr>
                            <w:r w:rsidRPr="00811585">
                              <w:rPr>
                                <w:rFonts w:ascii="Tahoma" w:hAnsi="Tahoma" w:cs="Tahoma"/>
                                <w:sz w:val="16"/>
                                <w:szCs w:val="16"/>
                              </w:rPr>
                              <w:t xml:space="preserve">Todas as contratações são realizadas com base no Regulamento de Licitações, Contratações e Contratos da Finep, que está disponível no site da empresa em </w:t>
                            </w:r>
                            <w:hyperlink r:id="rId260" w:history="1">
                              <w:r w:rsidRPr="00E7794C">
                                <w:rPr>
                                  <w:rStyle w:val="Hyperlink"/>
                                  <w:rFonts w:ascii="Tahoma" w:hAnsi="Tahoma" w:cs="Tahoma"/>
                                  <w:sz w:val="16"/>
                                  <w:szCs w:val="16"/>
                                </w:rPr>
                                <w:t>http://www.finep.gov.br/menulicitcontr</w:t>
                              </w:r>
                            </w:hyperlink>
                            <w:r w:rsidR="009056FA">
                              <w:rPr>
                                <w:rFonts w:ascii="Tahoma" w:hAnsi="Tahoma" w:cs="Tahoma"/>
                                <w:sz w:val="16"/>
                                <w:szCs w:val="16"/>
                              </w:rPr>
                              <w:t>.</w:t>
                            </w:r>
                          </w:p>
                          <w:p w14:paraId="3E28D275" w14:textId="7643B609" w:rsidR="00811585" w:rsidRPr="0082438F" w:rsidRDefault="00811585" w:rsidP="009056FA">
                            <w:pPr>
                              <w:jc w:val="center"/>
                              <w:rPr>
                                <w:rFonts w:ascii="Tahoma" w:hAnsi="Tahoma" w:cs="Tahoma"/>
                                <w:sz w:val="16"/>
                                <w:szCs w:val="16"/>
                              </w:rP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149E9679" id="_x0000_s1058" type="#_x0000_t202" style="position:absolute;left:0;text-align:left;margin-left:61.9pt;margin-top:27.55pt;width:390.35pt;height:29.9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" fillcolor="#0098ba" stroked="f" strokeweight=".17625mm">
                <v:fill opacity="16448f"/>
                <v:stroke dashstyle="dash"/>
                <v:textbox>
                  <w:txbxContent>
                    <w:p w14:paraId="0C73C258" w14:textId="2339EDBE" w:rsidR="00811585" w:rsidRDefault="00811585" w:rsidP="00811585">
                      <w:pPr>
                        <w:jc w:val="right"/>
                        <w:rPr>
                          <w:rFonts w:ascii="Tahoma" w:hAnsi="Tahoma" w:cs="Tahoma"/>
                          <w:sz w:val="16"/>
                          <w:szCs w:val="16"/>
                        </w:rPr>
                      </w:pPr>
                      <w:r w:rsidRPr="00811585">
                        <w:rPr>
                          <w:rFonts w:ascii="Tahoma" w:hAnsi="Tahoma" w:cs="Tahoma"/>
                          <w:sz w:val="16"/>
                          <w:szCs w:val="16"/>
                        </w:rPr>
                        <w:t xml:space="preserve">Todas as contratações são realizadas com base no Regulamento de Licitações, Contratações e Contratos da Finep, que está disponível no site da empresa em </w:t>
                      </w:r>
                      <w:hyperlink r:id="rId261" w:history="1">
                        <w:r w:rsidRPr="00E7794C">
                          <w:rPr>
                            <w:rStyle w:val="Hyperlink"/>
                            <w:rFonts w:ascii="Tahoma" w:hAnsi="Tahoma" w:cs="Tahoma"/>
                            <w:sz w:val="16"/>
                            <w:szCs w:val="16"/>
                          </w:rPr>
                          <w:t>http://www.finep.gov.br/menulicitcontr</w:t>
                        </w:r>
                      </w:hyperlink>
                      <w:r w:rsidR="009056FA">
                        <w:rPr>
                          <w:rFonts w:ascii="Tahoma" w:hAnsi="Tahoma" w:cs="Tahoma"/>
                          <w:sz w:val="16"/>
                          <w:szCs w:val="16"/>
                        </w:rPr>
                        <w:t>.</w:t>
                      </w:r>
                    </w:p>
                    <w:p w14:paraId="3E28D275" w14:textId="7643B609" w:rsidR="00811585" w:rsidRPr="0082438F" w:rsidRDefault="00811585" w:rsidP="009056FA">
                      <w:pPr>
                        <w:jc w:val="center"/>
                        <w:rPr>
                          <w:rFonts w:ascii="Tahoma" w:hAnsi="Tahoma" w:cs="Tahoma"/>
                          <w:sz w:val="16"/>
                          <w:szCs w:val="16"/>
                        </w:rPr>
                      </w:pPr>
                    </w:p>
                  </w:txbxContent>
                </v:textbox>
              </v:shape>
            </w:pict>
          </mc:Fallback>
        </mc:AlternateContent>
      </w:r>
      <w:r w:rsidR="00BB0E07" w:rsidRPr="00034BC8">
        <w:rPr>
          <w:rFonts w:ascii="Tahoma" w:hAnsi="Tahoma" w:cs="Tahoma"/>
          <w:color w:val="0098BA"/>
          <w:sz w:val="24"/>
          <w:szCs w:val="24"/>
        </w:rPr>
        <w:t>Licitações e contratos</w:t>
      </w:r>
      <w:bookmarkEnd w:id="322"/>
      <w:bookmarkEnd w:id="323"/>
      <w:bookmarkEnd w:id="324"/>
      <w:bookmarkEnd w:id="325"/>
      <w:bookmarkEnd w:id="326"/>
      <w:bookmarkEnd w:id="327"/>
      <w:bookmarkEnd w:id="328"/>
      <w:bookmarkEnd w:id="329"/>
      <w:bookmarkEnd w:id="330"/>
      <w:bookmarkEnd w:id="331"/>
      <w:bookmarkEnd w:id="332"/>
    </w:p>
    <w:p w14:paraId="26018A19" w14:textId="6D97208B" w:rsidR="00811585" w:rsidRDefault="00811585" w:rsidP="00811585">
      <w:pPr>
        <w:jc w:val="both"/>
        <w:rPr>
          <w:rFonts w:ascii="Tahoma" w:hAnsi="Tahoma" w:cs="Tahoma"/>
          <w:sz w:val="20"/>
          <w:szCs w:val="20"/>
        </w:rPr>
      </w:pPr>
    </w:p>
    <w:p w14:paraId="52DF6F72" w14:textId="77777777" w:rsidR="00811585" w:rsidRDefault="00811585" w:rsidP="00811585">
      <w:pPr>
        <w:jc w:val="both"/>
        <w:rPr>
          <w:rFonts w:ascii="Tahoma" w:hAnsi="Tahoma" w:cs="Tahoma"/>
          <w:sz w:val="20"/>
          <w:szCs w:val="20"/>
        </w:rPr>
      </w:pPr>
    </w:p>
    <w:p w14:paraId="3F24BA06" w14:textId="77777777" w:rsidR="00811585" w:rsidRDefault="00811585" w:rsidP="00811585">
      <w:pPr>
        <w:jc w:val="both"/>
        <w:rPr>
          <w:rFonts w:ascii="Tahoma" w:hAnsi="Tahoma" w:cs="Tahoma"/>
          <w:sz w:val="20"/>
          <w:szCs w:val="20"/>
        </w:rPr>
      </w:pPr>
    </w:p>
    <w:p w14:paraId="0A99E7BE" w14:textId="259E6B79" w:rsidR="00811585" w:rsidRPr="009056FA" w:rsidRDefault="00811585" w:rsidP="009056FA">
      <w:pPr>
        <w:spacing w:before="120" w:after="120" w:line="360" w:lineRule="auto"/>
        <w:rPr>
          <w:rFonts w:ascii="Tahoma" w:hAnsi="Tahoma" w:cs="Tahoma"/>
          <w:sz w:val="19"/>
          <w:szCs w:val="19"/>
        </w:rPr>
      </w:pPr>
      <w:r w:rsidRPr="009056FA">
        <w:rPr>
          <w:rFonts w:ascii="Tahoma" w:hAnsi="Tahoma" w:cs="Tahoma"/>
          <w:sz w:val="19"/>
          <w:szCs w:val="19"/>
        </w:rPr>
        <w:t>As iniciativas empreendi</w:t>
      </w:r>
      <w:r w:rsidR="009056FA">
        <w:rPr>
          <w:rFonts w:ascii="Tahoma" w:hAnsi="Tahoma" w:cs="Tahoma"/>
          <w:sz w:val="19"/>
          <w:szCs w:val="19"/>
        </w:rPr>
        <w:t>d</w:t>
      </w:r>
      <w:r w:rsidRPr="009056FA">
        <w:rPr>
          <w:rFonts w:ascii="Tahoma" w:hAnsi="Tahoma" w:cs="Tahoma"/>
          <w:sz w:val="19"/>
          <w:szCs w:val="19"/>
        </w:rPr>
        <w:t>as com a finalidade de contribuir para a consolidação de uma cultura de respeito a diversidade, sustentabilidade e equidade social, buscaram alcançar nossas licitações e contratos administrativos</w:t>
      </w:r>
      <w:r w:rsidR="000F397F">
        <w:rPr>
          <w:rFonts w:ascii="Tahoma" w:hAnsi="Tahoma" w:cs="Tahoma"/>
          <w:sz w:val="19"/>
          <w:szCs w:val="19"/>
        </w:rPr>
        <w:t>. A</w:t>
      </w:r>
      <w:r w:rsidRPr="009056FA">
        <w:rPr>
          <w:rFonts w:ascii="Tahoma" w:hAnsi="Tahoma" w:cs="Tahoma"/>
          <w:sz w:val="19"/>
          <w:szCs w:val="19"/>
        </w:rPr>
        <w:t>dicionalmente atend</w:t>
      </w:r>
      <w:r w:rsidR="000F397F">
        <w:rPr>
          <w:rFonts w:ascii="Tahoma" w:hAnsi="Tahoma" w:cs="Tahoma"/>
          <w:sz w:val="19"/>
          <w:szCs w:val="19"/>
        </w:rPr>
        <w:t>em</w:t>
      </w:r>
      <w:r w:rsidRPr="009056FA">
        <w:rPr>
          <w:rFonts w:ascii="Tahoma" w:hAnsi="Tahoma" w:cs="Tahoma"/>
          <w:sz w:val="19"/>
          <w:szCs w:val="19"/>
        </w:rPr>
        <w:t xml:space="preserve"> ao disposto nos princípios que regem a atuação da Administração Pública, que incluem, dentre outros, o Código de Ética, Conduta e Integridade da empresa, </w:t>
      </w:r>
      <w:r w:rsidR="00062820">
        <w:rPr>
          <w:rFonts w:ascii="Tahoma" w:hAnsi="Tahoma" w:cs="Tahoma"/>
          <w:sz w:val="19"/>
          <w:szCs w:val="19"/>
        </w:rPr>
        <w:t>à</w:t>
      </w:r>
      <w:r w:rsidRPr="009056FA">
        <w:rPr>
          <w:rFonts w:ascii="Tahoma" w:hAnsi="Tahoma" w:cs="Tahoma"/>
          <w:sz w:val="19"/>
          <w:szCs w:val="19"/>
        </w:rPr>
        <w:t xml:space="preserve"> Norma de Contratação de Serviços Continuados com Dedicação Exclusiva de Mão de Obra e pela Norma de Compras Sustentáveis e à Lei 13.303/2016 (Lei das Estatais). </w:t>
      </w:r>
    </w:p>
    <w:p w14:paraId="4D5C0AB0" w14:textId="0B40D20A" w:rsidR="00811585" w:rsidRPr="009056FA" w:rsidRDefault="00811585" w:rsidP="009056FA">
      <w:pPr>
        <w:spacing w:before="120" w:after="120" w:line="360" w:lineRule="auto"/>
        <w:rPr>
          <w:rFonts w:ascii="Tahoma" w:hAnsi="Tahoma" w:cs="Tahoma"/>
          <w:sz w:val="19"/>
          <w:szCs w:val="19"/>
        </w:rPr>
      </w:pPr>
      <w:r w:rsidRPr="009056FA">
        <w:rPr>
          <w:rFonts w:ascii="Tahoma" w:hAnsi="Tahoma" w:cs="Tahoma"/>
          <w:sz w:val="19"/>
          <w:szCs w:val="19"/>
        </w:rPr>
        <w:t>Ações em prol da sustentabilidade ambiental se f</w:t>
      </w:r>
      <w:r w:rsidR="00062820">
        <w:rPr>
          <w:rFonts w:ascii="Tahoma" w:hAnsi="Tahoma" w:cs="Tahoma"/>
          <w:sz w:val="19"/>
          <w:szCs w:val="19"/>
        </w:rPr>
        <w:t>izeram</w:t>
      </w:r>
      <w:r w:rsidRPr="009056FA">
        <w:rPr>
          <w:rFonts w:ascii="Tahoma" w:hAnsi="Tahoma" w:cs="Tahoma"/>
          <w:sz w:val="19"/>
          <w:szCs w:val="19"/>
        </w:rPr>
        <w:t xml:space="preserve"> sentir desde a amplificação de processos internos relacionados à gestão eletrônica de documentos (digitalização e implantação do sistema SIGA-Finep), até a inserção de cláusula em contratações administrativas disciplinando práticas de sustentabilidade ambiental previstas na Instrução Normativa nº 01 SLTI/MPOG, de 19/01/2010. Adicionalmente outras iniciativas podem ser citadas: todos os andares possuem iluminação de LED, deu-se preferência a aquisições de mobiliário produzidos em material reciclado, aquisição de equipamentos hidráulicos inteligentes para redução de consumo de água, adoção de coleta seletiva de lixo em todos os andares, limpeza a seco.</w:t>
      </w:r>
    </w:p>
    <w:p w14:paraId="5F12D149" w14:textId="6FAF43BA" w:rsidR="00811585" w:rsidRPr="009056FA" w:rsidRDefault="00811585" w:rsidP="009056FA">
      <w:pPr>
        <w:spacing w:before="120" w:after="120" w:line="360" w:lineRule="auto"/>
        <w:rPr>
          <w:rFonts w:ascii="Tahoma" w:hAnsi="Tahoma" w:cs="Tahoma"/>
          <w:sz w:val="19"/>
          <w:szCs w:val="19"/>
        </w:rPr>
      </w:pPr>
      <w:r w:rsidRPr="009056FA">
        <w:rPr>
          <w:rFonts w:ascii="Tahoma" w:hAnsi="Tahoma" w:cs="Tahoma"/>
          <w:sz w:val="19"/>
          <w:szCs w:val="19"/>
        </w:rPr>
        <w:t xml:space="preserve">Entretanto, ações mais objetivas em prol da sustentabilidade ambiental foram explicitamente incorporadas na revisão da estratégia corporativa para o próximo ano, reafirmando o compromisso da atual gestão ao definir, em 2023, no âmbito do seu Plano de Negócios para 2024, um indicador estratégico que mensurasse o cumprimento de iniciativas que envolvem os conceitos ESG. Dentre as ações priorizadas podem ser citadas: a substituição de copos de plásticos por copos material sustentável e reutilizáveis; que a contratação de empresa prestadora de serviços de limpeza, conservação e copeiragem atendam </w:t>
      </w:r>
      <w:r w:rsidR="00291D61">
        <w:rPr>
          <w:rFonts w:ascii="Tahoma" w:hAnsi="Tahoma" w:cs="Tahoma"/>
          <w:sz w:val="19"/>
          <w:szCs w:val="19"/>
        </w:rPr>
        <w:t>às</w:t>
      </w:r>
      <w:r w:rsidRPr="009056FA">
        <w:rPr>
          <w:rFonts w:ascii="Tahoma" w:hAnsi="Tahoma" w:cs="Tahoma"/>
          <w:sz w:val="19"/>
          <w:szCs w:val="19"/>
        </w:rPr>
        <w:t xml:space="preserve"> cl</w:t>
      </w:r>
      <w:r w:rsidR="00062820">
        <w:rPr>
          <w:rFonts w:ascii="Tahoma" w:hAnsi="Tahoma" w:cs="Tahoma"/>
          <w:sz w:val="19"/>
          <w:szCs w:val="19"/>
        </w:rPr>
        <w:t>á</w:t>
      </w:r>
      <w:r w:rsidRPr="009056FA">
        <w:rPr>
          <w:rFonts w:ascii="Tahoma" w:hAnsi="Tahoma" w:cs="Tahoma"/>
          <w:sz w:val="19"/>
          <w:szCs w:val="19"/>
        </w:rPr>
        <w:t xml:space="preserve">usulas relacionadas </w:t>
      </w:r>
      <w:r w:rsidR="00062820">
        <w:rPr>
          <w:rFonts w:ascii="Tahoma" w:hAnsi="Tahoma" w:cs="Tahoma"/>
          <w:sz w:val="19"/>
          <w:szCs w:val="19"/>
        </w:rPr>
        <w:t>a</w:t>
      </w:r>
      <w:r w:rsidRPr="009056FA">
        <w:rPr>
          <w:rFonts w:ascii="Tahoma" w:hAnsi="Tahoma" w:cs="Tahoma"/>
          <w:sz w:val="19"/>
          <w:szCs w:val="19"/>
        </w:rPr>
        <w:t xml:space="preserve"> práticas de mitigação de impacto ambiental; a promoção de campanhas maciças de capacitação e informação sobre responsabilidade socioambiental.</w:t>
      </w:r>
    </w:p>
    <w:p w14:paraId="6FF3C511" w14:textId="0E219667" w:rsidR="00811585" w:rsidRPr="009056FA" w:rsidRDefault="00811585" w:rsidP="009056FA">
      <w:pPr>
        <w:spacing w:before="120" w:after="120" w:line="360" w:lineRule="auto"/>
        <w:rPr>
          <w:rFonts w:ascii="Tahoma" w:hAnsi="Tahoma" w:cs="Tahoma"/>
          <w:sz w:val="19"/>
          <w:szCs w:val="19"/>
        </w:rPr>
      </w:pPr>
      <w:r w:rsidRPr="009056FA">
        <w:rPr>
          <w:rFonts w:ascii="Tahoma" w:hAnsi="Tahoma" w:cs="Tahoma"/>
          <w:sz w:val="19"/>
          <w:szCs w:val="19"/>
        </w:rPr>
        <w:t>Paralelamente às ações de âmbito interno, foi dada prioridade à atenção, junto às empresas prestadoras de serviços à Finep, para a adoção de práticas que busquem mitigar a desigualdade salarial e de critérios remuneratórios entre mulheres e homens (em cumprimento ao Decreto nº 11.795, de 23/11/2023), bem como ações junto ao condomínio da Praia do Flamengo/RJ para melhoria da acessibilidade, redução de consumo de energia elétrica e descarte adequado do lixo. Por fim, pode se citar, a preocupação com avaliação do nível de ruído nos andares da Finep e proposição de medidas para redução de poluição sonora.</w:t>
      </w:r>
    </w:p>
    <w:p w14:paraId="75DC1E6D" w14:textId="1F9DB672" w:rsidR="00811585" w:rsidRPr="0032098E" w:rsidRDefault="00811585" w:rsidP="00A821C7">
      <w:pPr>
        <w:spacing w:before="120" w:after="120" w:line="360" w:lineRule="auto"/>
        <w:rPr>
          <w:rFonts w:ascii="Tahoma" w:hAnsi="Tahoma" w:cs="Tahoma"/>
          <w:color w:val="0098BA"/>
          <w:sz w:val="19"/>
          <w:szCs w:val="19"/>
        </w:rPr>
      </w:pPr>
      <w:r w:rsidRPr="0032098E">
        <w:rPr>
          <w:rFonts w:ascii="Tahoma" w:hAnsi="Tahoma" w:cs="Tahoma"/>
          <w:color w:val="0098BA"/>
          <w:sz w:val="19"/>
          <w:szCs w:val="19"/>
        </w:rPr>
        <w:lastRenderedPageBreak/>
        <w:t>Patrocínios</w:t>
      </w:r>
    </w:p>
    <w:p w14:paraId="1888222D" w14:textId="0CECF438" w:rsidR="00811585" w:rsidRDefault="003B751E" w:rsidP="00A821C7">
      <w:pPr>
        <w:spacing w:before="120" w:after="120" w:line="360" w:lineRule="auto"/>
        <w:rPr>
          <w:rFonts w:ascii="Tahoma" w:hAnsi="Tahoma" w:cs="Tahoma"/>
          <w:sz w:val="19"/>
          <w:szCs w:val="19"/>
        </w:rPr>
      </w:pPr>
      <w:r w:rsidRPr="009B4334">
        <w:rPr>
          <w:rFonts w:ascii="Tahoma" w:hAnsi="Tahoma" w:cs="Tahoma"/>
          <w:noProof/>
          <w:sz w:val="19"/>
          <w:szCs w:val="19"/>
        </w:rPr>
        <w:drawing>
          <wp:anchor distT="0" distB="0" distL="114300" distR="114300" simplePos="0" relativeHeight="251872256" behindDoc="0" locked="0" layoutInCell="1" allowOverlap="1" wp14:anchorId="55A37949" wp14:editId="60722B6A">
            <wp:simplePos x="0" y="0"/>
            <wp:positionH relativeFrom="column">
              <wp:posOffset>4184015</wp:posOffset>
            </wp:positionH>
            <wp:positionV relativeFrom="paragraph">
              <wp:posOffset>1324610</wp:posOffset>
            </wp:positionV>
            <wp:extent cx="1671955" cy="419100"/>
            <wp:effectExtent l="0" t="0" r="4445" b="0"/>
            <wp:wrapThrough wrapText="bothSides">
              <wp:wrapPolygon edited="0">
                <wp:start x="0" y="0"/>
                <wp:lineTo x="0" y="20618"/>
                <wp:lineTo x="21411" y="20618"/>
                <wp:lineTo x="21411" y="0"/>
                <wp:lineTo x="0" y="0"/>
              </wp:wrapPolygon>
            </wp:wrapThrough>
            <wp:docPr id="1932114198" name="Imagem 1"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14198" name="Imagem 1" descr="Ícone&#10;&#10;Descrição gerada automaticament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671955" cy="419100"/>
                    </a:xfrm>
                    <a:prstGeom prst="rect">
                      <a:avLst/>
                    </a:prstGeom>
                  </pic:spPr>
                </pic:pic>
              </a:graphicData>
            </a:graphic>
            <wp14:sizeRelH relativeFrom="margin">
              <wp14:pctWidth>0</wp14:pctWidth>
            </wp14:sizeRelH>
            <wp14:sizeRelV relativeFrom="margin">
              <wp14:pctHeight>0</wp14:pctHeight>
            </wp14:sizeRelV>
          </wp:anchor>
        </w:drawing>
      </w:r>
      <w:r w:rsidR="00811585" w:rsidRPr="00A821C7">
        <w:rPr>
          <w:rFonts w:ascii="Tahoma" w:hAnsi="Tahoma" w:cs="Tahoma"/>
          <w:sz w:val="19"/>
          <w:szCs w:val="19"/>
        </w:rPr>
        <w:t xml:space="preserve">É inequívoca a importância da implementação de atividades de promovam a comunicação e a divulgação da atuação da Finep no sistema de CT&amp;I, notadamente para contribuir para o cumprimento da sua missão institucional. A participação da Finep </w:t>
      </w:r>
      <w:r w:rsidR="00647023">
        <w:rPr>
          <w:rFonts w:ascii="Tahoma" w:hAnsi="Tahoma" w:cs="Tahoma"/>
          <w:sz w:val="19"/>
          <w:szCs w:val="19"/>
        </w:rPr>
        <w:t>no patrocínio de</w:t>
      </w:r>
      <w:r w:rsidR="00811585" w:rsidRPr="00A821C7">
        <w:rPr>
          <w:rFonts w:ascii="Tahoma" w:hAnsi="Tahoma" w:cs="Tahoma"/>
          <w:sz w:val="19"/>
          <w:szCs w:val="19"/>
        </w:rPr>
        <w:t xml:space="preserve"> diversos eventos em 2023 faz parte da estratégia corporativa da atual gestão, em prol do fortalecimento da imagem da Finep e, consequentemente da CT&amp;I perante a sociedade.</w:t>
      </w:r>
    </w:p>
    <w:tbl>
      <w:tblPr>
        <w:tblW w:w="6237" w:type="dxa"/>
        <w:tblBorders>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4962"/>
        <w:gridCol w:w="1275"/>
      </w:tblGrid>
      <w:tr w:rsidR="00647023" w:rsidRPr="00F36286" w14:paraId="02FE1B86" w14:textId="77777777" w:rsidTr="00D95330">
        <w:trPr>
          <w:trHeight w:val="340"/>
        </w:trPr>
        <w:tc>
          <w:tcPr>
            <w:tcW w:w="4962" w:type="dxa"/>
            <w:shd w:val="clear" w:color="000000" w:fill="0098BA"/>
            <w:noWrap/>
            <w:vAlign w:val="center"/>
            <w:hideMark/>
          </w:tcPr>
          <w:p w14:paraId="51026AD1" w14:textId="31C63008" w:rsidR="00647023" w:rsidRPr="00F36286" w:rsidRDefault="00647023">
            <w:pPr>
              <w:rPr>
                <w:rFonts w:ascii="Tahoma" w:hAnsi="Tahoma" w:cs="Tahoma"/>
                <w:color w:val="FFFFFF"/>
                <w:sz w:val="18"/>
                <w:szCs w:val="18"/>
              </w:rPr>
            </w:pPr>
            <w:r w:rsidRPr="00F36286">
              <w:rPr>
                <w:rFonts w:ascii="Tahoma" w:hAnsi="Tahoma" w:cs="Tahoma"/>
                <w:color w:val="FFFFFF"/>
                <w:sz w:val="18"/>
                <w:szCs w:val="18"/>
              </w:rPr>
              <w:t>Evento</w:t>
            </w:r>
            <w:r w:rsidR="009F56A7">
              <w:rPr>
                <w:rFonts w:ascii="Tahoma" w:hAnsi="Tahoma" w:cs="Tahoma"/>
                <w:color w:val="FFFFFF"/>
                <w:sz w:val="18"/>
                <w:szCs w:val="18"/>
              </w:rPr>
              <w:t>s</w:t>
            </w:r>
            <w:r w:rsidRPr="00F36286">
              <w:rPr>
                <w:rFonts w:ascii="Tahoma" w:hAnsi="Tahoma" w:cs="Tahoma"/>
                <w:color w:val="FFFFFF"/>
                <w:sz w:val="18"/>
                <w:szCs w:val="18"/>
              </w:rPr>
              <w:t xml:space="preserve"> patrocinado</w:t>
            </w:r>
            <w:r w:rsidR="009F56A7">
              <w:rPr>
                <w:rFonts w:ascii="Tahoma" w:hAnsi="Tahoma" w:cs="Tahoma"/>
                <w:color w:val="FFFFFF"/>
                <w:sz w:val="18"/>
                <w:szCs w:val="18"/>
              </w:rPr>
              <w:t>s</w:t>
            </w:r>
            <w:r w:rsidRPr="00F36286">
              <w:rPr>
                <w:rFonts w:ascii="Tahoma" w:hAnsi="Tahoma" w:cs="Tahoma"/>
                <w:color w:val="FFFFFF"/>
                <w:sz w:val="18"/>
                <w:szCs w:val="18"/>
              </w:rPr>
              <w:t xml:space="preserve"> em 2023</w:t>
            </w:r>
          </w:p>
        </w:tc>
        <w:tc>
          <w:tcPr>
            <w:tcW w:w="1275" w:type="dxa"/>
            <w:shd w:val="clear" w:color="000000" w:fill="0098BA"/>
            <w:vAlign w:val="center"/>
            <w:hideMark/>
          </w:tcPr>
          <w:p w14:paraId="64C8B614" w14:textId="74BBB764" w:rsidR="00647023" w:rsidRPr="00F36286" w:rsidRDefault="00647023">
            <w:pPr>
              <w:jc w:val="center"/>
              <w:rPr>
                <w:rFonts w:ascii="Tahoma" w:hAnsi="Tahoma" w:cs="Tahoma"/>
                <w:color w:val="FFFFFF"/>
                <w:sz w:val="18"/>
                <w:szCs w:val="18"/>
              </w:rPr>
            </w:pPr>
            <w:r w:rsidRPr="00F36286">
              <w:rPr>
                <w:rFonts w:ascii="Tahoma" w:hAnsi="Tahoma" w:cs="Tahoma"/>
                <w:color w:val="FFFFFF"/>
                <w:sz w:val="18"/>
                <w:szCs w:val="18"/>
              </w:rPr>
              <w:t>Valor (R$ mil)</w:t>
            </w:r>
          </w:p>
        </w:tc>
      </w:tr>
      <w:tr w:rsidR="00647023" w:rsidRPr="00F36286" w14:paraId="005180AE" w14:textId="77777777" w:rsidTr="00D95330">
        <w:trPr>
          <w:trHeight w:val="227"/>
        </w:trPr>
        <w:tc>
          <w:tcPr>
            <w:tcW w:w="4962" w:type="dxa"/>
            <w:shd w:val="clear" w:color="auto" w:fill="auto"/>
            <w:vAlign w:val="center"/>
            <w:hideMark/>
          </w:tcPr>
          <w:p w14:paraId="697299A0"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10º Congresso Internacional de Inovação da Indústria</w:t>
            </w:r>
          </w:p>
        </w:tc>
        <w:tc>
          <w:tcPr>
            <w:tcW w:w="1275" w:type="dxa"/>
            <w:vMerge w:val="restart"/>
            <w:shd w:val="clear" w:color="auto" w:fill="auto"/>
            <w:noWrap/>
            <w:vAlign w:val="center"/>
            <w:hideMark/>
          </w:tcPr>
          <w:p w14:paraId="6C7C86EF" w14:textId="2429F190" w:rsidR="00647023" w:rsidRPr="00F36286" w:rsidRDefault="00647023" w:rsidP="00647023">
            <w:pPr>
              <w:jc w:val="right"/>
              <w:rPr>
                <w:rFonts w:ascii="Tahoma" w:hAnsi="Tahoma" w:cs="Tahoma"/>
                <w:sz w:val="18"/>
                <w:szCs w:val="18"/>
              </w:rPr>
            </w:pPr>
            <w:r w:rsidRPr="00F36286">
              <w:rPr>
                <w:rFonts w:ascii="Tahoma" w:hAnsi="Tahoma" w:cs="Tahoma"/>
                <w:sz w:val="18"/>
                <w:szCs w:val="18"/>
              </w:rPr>
              <w:t>1.000</w:t>
            </w:r>
          </w:p>
        </w:tc>
      </w:tr>
      <w:tr w:rsidR="00647023" w:rsidRPr="00F36286" w14:paraId="409C8B7A" w14:textId="77777777" w:rsidTr="00D95330">
        <w:trPr>
          <w:trHeight w:val="227"/>
        </w:trPr>
        <w:tc>
          <w:tcPr>
            <w:tcW w:w="4962" w:type="dxa"/>
            <w:shd w:val="clear" w:color="auto" w:fill="auto"/>
            <w:vAlign w:val="center"/>
            <w:hideMark/>
          </w:tcPr>
          <w:p w14:paraId="51C23E72"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8ª Edição do Prêmio Nacional de Inovação</w:t>
            </w:r>
          </w:p>
        </w:tc>
        <w:tc>
          <w:tcPr>
            <w:tcW w:w="1275" w:type="dxa"/>
            <w:vMerge/>
            <w:vAlign w:val="center"/>
            <w:hideMark/>
          </w:tcPr>
          <w:p w14:paraId="23E26DD7" w14:textId="77777777" w:rsidR="00647023" w:rsidRPr="00F36286" w:rsidRDefault="00647023" w:rsidP="00647023">
            <w:pPr>
              <w:jc w:val="right"/>
              <w:rPr>
                <w:rFonts w:ascii="Tahoma" w:hAnsi="Tahoma" w:cs="Tahoma"/>
                <w:sz w:val="18"/>
                <w:szCs w:val="18"/>
              </w:rPr>
            </w:pPr>
          </w:p>
        </w:tc>
      </w:tr>
      <w:tr w:rsidR="00647023" w:rsidRPr="00F36286" w14:paraId="530C0D2A" w14:textId="77777777" w:rsidTr="00D95330">
        <w:trPr>
          <w:trHeight w:val="227"/>
        </w:trPr>
        <w:tc>
          <w:tcPr>
            <w:tcW w:w="4962" w:type="dxa"/>
            <w:shd w:val="clear" w:color="auto" w:fill="auto"/>
            <w:vAlign w:val="center"/>
            <w:hideMark/>
          </w:tcPr>
          <w:p w14:paraId="509F8DE7" w14:textId="648BFFEC" w:rsidR="00647023" w:rsidRPr="00F36286" w:rsidRDefault="00647023">
            <w:pPr>
              <w:rPr>
                <w:rFonts w:ascii="Tahoma" w:hAnsi="Tahoma" w:cs="Tahoma"/>
                <w:color w:val="000000"/>
                <w:sz w:val="18"/>
                <w:szCs w:val="18"/>
                <w:lang w:val="en-US"/>
              </w:rPr>
            </w:pPr>
            <w:r w:rsidRPr="00F36286">
              <w:rPr>
                <w:rFonts w:ascii="Tahoma" w:hAnsi="Tahoma" w:cs="Tahoma"/>
                <w:color w:val="000000"/>
                <w:sz w:val="18"/>
                <w:szCs w:val="18"/>
                <w:lang w:val="en-US"/>
              </w:rPr>
              <w:t xml:space="preserve">Rio Innovation Week - 3ª </w:t>
            </w:r>
            <w:r w:rsidR="00281E55">
              <w:rPr>
                <w:rFonts w:ascii="Tahoma" w:hAnsi="Tahoma" w:cs="Tahoma"/>
                <w:color w:val="000000"/>
                <w:sz w:val="18"/>
                <w:szCs w:val="18"/>
                <w:lang w:val="en-US"/>
              </w:rPr>
              <w:t>edição</w:t>
            </w:r>
          </w:p>
        </w:tc>
        <w:tc>
          <w:tcPr>
            <w:tcW w:w="1275" w:type="dxa"/>
            <w:shd w:val="clear" w:color="auto" w:fill="auto"/>
            <w:noWrap/>
            <w:vAlign w:val="center"/>
            <w:hideMark/>
          </w:tcPr>
          <w:p w14:paraId="1413B4CE" w14:textId="4F0BF1CF" w:rsidR="00647023" w:rsidRPr="00F36286" w:rsidRDefault="00647023" w:rsidP="00647023">
            <w:pPr>
              <w:jc w:val="right"/>
              <w:rPr>
                <w:rFonts w:ascii="Tahoma" w:hAnsi="Tahoma" w:cs="Tahoma"/>
                <w:sz w:val="18"/>
                <w:szCs w:val="18"/>
              </w:rPr>
            </w:pPr>
            <w:r w:rsidRPr="00F36286">
              <w:rPr>
                <w:rFonts w:ascii="Tahoma" w:hAnsi="Tahoma" w:cs="Tahoma"/>
                <w:sz w:val="18"/>
                <w:szCs w:val="18"/>
              </w:rPr>
              <w:t>700</w:t>
            </w:r>
          </w:p>
        </w:tc>
      </w:tr>
      <w:tr w:rsidR="00647023" w:rsidRPr="00F36286" w14:paraId="7FB31901" w14:textId="77777777" w:rsidTr="00D95330">
        <w:trPr>
          <w:trHeight w:val="227"/>
        </w:trPr>
        <w:tc>
          <w:tcPr>
            <w:tcW w:w="4962" w:type="dxa"/>
            <w:shd w:val="clear" w:color="auto" w:fill="auto"/>
            <w:vAlign w:val="center"/>
            <w:hideMark/>
          </w:tcPr>
          <w:p w14:paraId="1061E54B"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Expo Favela Innovation Brasil</w:t>
            </w:r>
          </w:p>
        </w:tc>
        <w:tc>
          <w:tcPr>
            <w:tcW w:w="1275" w:type="dxa"/>
            <w:shd w:val="clear" w:color="auto" w:fill="auto"/>
            <w:noWrap/>
            <w:vAlign w:val="center"/>
            <w:hideMark/>
          </w:tcPr>
          <w:p w14:paraId="16A62A57" w14:textId="7DB1C28E" w:rsidR="00647023" w:rsidRPr="00F36286" w:rsidRDefault="00647023" w:rsidP="00647023">
            <w:pPr>
              <w:jc w:val="right"/>
              <w:rPr>
                <w:rFonts w:ascii="Tahoma" w:hAnsi="Tahoma" w:cs="Tahoma"/>
                <w:sz w:val="18"/>
                <w:szCs w:val="18"/>
              </w:rPr>
            </w:pPr>
            <w:r w:rsidRPr="00F36286">
              <w:rPr>
                <w:rFonts w:ascii="Tahoma" w:hAnsi="Tahoma" w:cs="Tahoma"/>
                <w:sz w:val="18"/>
                <w:szCs w:val="18"/>
              </w:rPr>
              <w:t>400</w:t>
            </w:r>
          </w:p>
        </w:tc>
      </w:tr>
      <w:tr w:rsidR="00647023" w:rsidRPr="00F36286" w14:paraId="5B68052B" w14:textId="77777777" w:rsidTr="00D95330">
        <w:trPr>
          <w:trHeight w:val="227"/>
        </w:trPr>
        <w:tc>
          <w:tcPr>
            <w:tcW w:w="4962" w:type="dxa"/>
            <w:shd w:val="clear" w:color="auto" w:fill="auto"/>
            <w:vAlign w:val="center"/>
            <w:hideMark/>
          </w:tcPr>
          <w:p w14:paraId="14D32D8F"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XV Open Innovation Week</w:t>
            </w:r>
          </w:p>
        </w:tc>
        <w:tc>
          <w:tcPr>
            <w:tcW w:w="1275" w:type="dxa"/>
            <w:shd w:val="clear" w:color="auto" w:fill="auto"/>
            <w:vAlign w:val="center"/>
            <w:hideMark/>
          </w:tcPr>
          <w:p w14:paraId="04877389" w14:textId="2E65FB63" w:rsidR="00647023" w:rsidRPr="00F36286" w:rsidRDefault="00647023" w:rsidP="00647023">
            <w:pPr>
              <w:jc w:val="right"/>
              <w:rPr>
                <w:rFonts w:ascii="Tahoma" w:hAnsi="Tahoma" w:cs="Tahoma"/>
                <w:sz w:val="18"/>
                <w:szCs w:val="18"/>
              </w:rPr>
            </w:pPr>
            <w:r w:rsidRPr="00F36286">
              <w:rPr>
                <w:rFonts w:ascii="Tahoma" w:hAnsi="Tahoma" w:cs="Tahoma"/>
                <w:sz w:val="18"/>
                <w:szCs w:val="18"/>
              </w:rPr>
              <w:t>400</w:t>
            </w:r>
          </w:p>
        </w:tc>
      </w:tr>
      <w:tr w:rsidR="00647023" w:rsidRPr="00F36286" w14:paraId="2F83B6BD" w14:textId="77777777" w:rsidTr="00D95330">
        <w:trPr>
          <w:trHeight w:val="227"/>
        </w:trPr>
        <w:tc>
          <w:tcPr>
            <w:tcW w:w="4962" w:type="dxa"/>
            <w:shd w:val="clear" w:color="auto" w:fill="auto"/>
            <w:vAlign w:val="center"/>
            <w:hideMark/>
          </w:tcPr>
          <w:p w14:paraId="409B1784"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Festival RME</w:t>
            </w:r>
          </w:p>
        </w:tc>
        <w:tc>
          <w:tcPr>
            <w:tcW w:w="1275" w:type="dxa"/>
            <w:shd w:val="clear" w:color="auto" w:fill="auto"/>
            <w:noWrap/>
            <w:vAlign w:val="center"/>
            <w:hideMark/>
          </w:tcPr>
          <w:p w14:paraId="18E1F514" w14:textId="136E4B65" w:rsidR="00647023" w:rsidRPr="00F36286" w:rsidRDefault="00647023" w:rsidP="00647023">
            <w:pPr>
              <w:jc w:val="right"/>
              <w:rPr>
                <w:rFonts w:ascii="Tahoma" w:hAnsi="Tahoma" w:cs="Tahoma"/>
                <w:sz w:val="18"/>
                <w:szCs w:val="18"/>
              </w:rPr>
            </w:pPr>
            <w:r w:rsidRPr="00F36286">
              <w:rPr>
                <w:rFonts w:ascii="Tahoma" w:hAnsi="Tahoma" w:cs="Tahoma"/>
                <w:sz w:val="18"/>
                <w:szCs w:val="18"/>
              </w:rPr>
              <w:t>300</w:t>
            </w:r>
          </w:p>
        </w:tc>
      </w:tr>
      <w:tr w:rsidR="00647023" w:rsidRPr="00F36286" w14:paraId="39B2B67F" w14:textId="77777777" w:rsidTr="00D95330">
        <w:trPr>
          <w:trHeight w:val="227"/>
        </w:trPr>
        <w:tc>
          <w:tcPr>
            <w:tcW w:w="4962" w:type="dxa"/>
            <w:shd w:val="clear" w:color="auto" w:fill="auto"/>
            <w:vAlign w:val="center"/>
            <w:hideMark/>
          </w:tcPr>
          <w:p w14:paraId="6B064C85"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Cultivo de Microalgas para o combate as mudanças climáticas no contexto da Escola Pública</w:t>
            </w:r>
          </w:p>
        </w:tc>
        <w:tc>
          <w:tcPr>
            <w:tcW w:w="1275" w:type="dxa"/>
            <w:shd w:val="clear" w:color="auto" w:fill="auto"/>
            <w:noWrap/>
            <w:vAlign w:val="center"/>
            <w:hideMark/>
          </w:tcPr>
          <w:p w14:paraId="6BB27EAD" w14:textId="61CF7AEB" w:rsidR="00647023" w:rsidRPr="00F36286" w:rsidRDefault="00647023" w:rsidP="00647023">
            <w:pPr>
              <w:jc w:val="right"/>
              <w:rPr>
                <w:rFonts w:ascii="Tahoma" w:hAnsi="Tahoma" w:cs="Tahoma"/>
                <w:sz w:val="18"/>
                <w:szCs w:val="18"/>
              </w:rPr>
            </w:pPr>
            <w:r w:rsidRPr="00F36286">
              <w:rPr>
                <w:rFonts w:ascii="Tahoma" w:hAnsi="Tahoma" w:cs="Tahoma"/>
                <w:sz w:val="18"/>
                <w:szCs w:val="18"/>
              </w:rPr>
              <w:t>160</w:t>
            </w:r>
          </w:p>
        </w:tc>
      </w:tr>
      <w:tr w:rsidR="00647023" w:rsidRPr="00F36286" w14:paraId="4840B612" w14:textId="77777777" w:rsidTr="00D95330">
        <w:trPr>
          <w:trHeight w:val="227"/>
        </w:trPr>
        <w:tc>
          <w:tcPr>
            <w:tcW w:w="4962" w:type="dxa"/>
            <w:shd w:val="clear" w:color="auto" w:fill="auto"/>
            <w:vAlign w:val="center"/>
            <w:hideMark/>
          </w:tcPr>
          <w:p w14:paraId="18100586" w14:textId="280ED104" w:rsidR="00647023" w:rsidRPr="00F36286" w:rsidRDefault="00647023">
            <w:pPr>
              <w:rPr>
                <w:rFonts w:ascii="Tahoma" w:hAnsi="Tahoma" w:cs="Tahoma"/>
                <w:color w:val="000000"/>
                <w:sz w:val="18"/>
                <w:szCs w:val="18"/>
              </w:rPr>
            </w:pPr>
            <w:r w:rsidRPr="00F36286">
              <w:rPr>
                <w:rFonts w:ascii="Tahoma" w:hAnsi="Tahoma" w:cs="Tahoma"/>
                <w:color w:val="000000"/>
                <w:sz w:val="18"/>
                <w:szCs w:val="18"/>
              </w:rPr>
              <w:t>33ª Conferência Anprotec</w:t>
            </w:r>
          </w:p>
        </w:tc>
        <w:tc>
          <w:tcPr>
            <w:tcW w:w="1275" w:type="dxa"/>
            <w:shd w:val="clear" w:color="auto" w:fill="auto"/>
            <w:noWrap/>
            <w:vAlign w:val="center"/>
            <w:hideMark/>
          </w:tcPr>
          <w:p w14:paraId="39B0A1EC" w14:textId="461D7CC7" w:rsidR="00647023" w:rsidRPr="00F36286" w:rsidRDefault="00647023" w:rsidP="00647023">
            <w:pPr>
              <w:jc w:val="right"/>
              <w:rPr>
                <w:rFonts w:ascii="Tahoma" w:hAnsi="Tahoma" w:cs="Tahoma"/>
                <w:sz w:val="18"/>
                <w:szCs w:val="18"/>
              </w:rPr>
            </w:pPr>
            <w:r w:rsidRPr="00F36286">
              <w:rPr>
                <w:rFonts w:ascii="Tahoma" w:hAnsi="Tahoma" w:cs="Tahoma"/>
                <w:sz w:val="18"/>
                <w:szCs w:val="18"/>
              </w:rPr>
              <w:t>150</w:t>
            </w:r>
          </w:p>
        </w:tc>
      </w:tr>
      <w:tr w:rsidR="00647023" w:rsidRPr="00F36286" w14:paraId="47A2DE9A" w14:textId="77777777" w:rsidTr="00D95330">
        <w:trPr>
          <w:trHeight w:val="227"/>
        </w:trPr>
        <w:tc>
          <w:tcPr>
            <w:tcW w:w="4962" w:type="dxa"/>
            <w:shd w:val="clear" w:color="auto" w:fill="auto"/>
            <w:vAlign w:val="center"/>
            <w:hideMark/>
          </w:tcPr>
          <w:p w14:paraId="7595BA7C"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6º Congresso CONFIES</w:t>
            </w:r>
          </w:p>
        </w:tc>
        <w:tc>
          <w:tcPr>
            <w:tcW w:w="1275" w:type="dxa"/>
            <w:shd w:val="clear" w:color="auto" w:fill="auto"/>
            <w:noWrap/>
            <w:vAlign w:val="center"/>
            <w:hideMark/>
          </w:tcPr>
          <w:p w14:paraId="0C20211C" w14:textId="6D474869" w:rsidR="00647023" w:rsidRPr="00F36286" w:rsidRDefault="00647023" w:rsidP="00647023">
            <w:pPr>
              <w:jc w:val="right"/>
              <w:rPr>
                <w:rFonts w:ascii="Tahoma" w:hAnsi="Tahoma" w:cs="Tahoma"/>
                <w:sz w:val="18"/>
                <w:szCs w:val="18"/>
              </w:rPr>
            </w:pPr>
            <w:r w:rsidRPr="00F36286">
              <w:rPr>
                <w:rFonts w:ascii="Tahoma" w:hAnsi="Tahoma" w:cs="Tahoma"/>
                <w:sz w:val="18"/>
                <w:szCs w:val="18"/>
              </w:rPr>
              <w:t>100</w:t>
            </w:r>
          </w:p>
        </w:tc>
      </w:tr>
      <w:tr w:rsidR="00647023" w:rsidRPr="00F36286" w14:paraId="62266DE4" w14:textId="77777777" w:rsidTr="00D95330">
        <w:trPr>
          <w:trHeight w:val="227"/>
        </w:trPr>
        <w:tc>
          <w:tcPr>
            <w:tcW w:w="4962" w:type="dxa"/>
            <w:shd w:val="clear" w:color="auto" w:fill="auto"/>
            <w:vAlign w:val="center"/>
            <w:hideMark/>
          </w:tcPr>
          <w:p w14:paraId="4E4292F6"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Maratona Tech</w:t>
            </w:r>
          </w:p>
        </w:tc>
        <w:tc>
          <w:tcPr>
            <w:tcW w:w="1275" w:type="dxa"/>
            <w:shd w:val="clear" w:color="auto" w:fill="auto"/>
            <w:noWrap/>
            <w:vAlign w:val="center"/>
            <w:hideMark/>
          </w:tcPr>
          <w:p w14:paraId="6B0CB91D" w14:textId="44D46BCB" w:rsidR="00647023" w:rsidRPr="00F36286" w:rsidRDefault="00647023" w:rsidP="00647023">
            <w:pPr>
              <w:jc w:val="right"/>
              <w:rPr>
                <w:rFonts w:ascii="Tahoma" w:hAnsi="Tahoma" w:cs="Tahoma"/>
                <w:sz w:val="18"/>
                <w:szCs w:val="18"/>
              </w:rPr>
            </w:pPr>
            <w:r w:rsidRPr="00F36286">
              <w:rPr>
                <w:rFonts w:ascii="Tahoma" w:hAnsi="Tahoma" w:cs="Tahoma"/>
                <w:sz w:val="18"/>
                <w:szCs w:val="18"/>
              </w:rPr>
              <w:t>100</w:t>
            </w:r>
          </w:p>
        </w:tc>
      </w:tr>
      <w:tr w:rsidR="00647023" w:rsidRPr="00F36286" w14:paraId="714C560B" w14:textId="77777777" w:rsidTr="00D95330">
        <w:trPr>
          <w:trHeight w:val="227"/>
        </w:trPr>
        <w:tc>
          <w:tcPr>
            <w:tcW w:w="4962" w:type="dxa"/>
            <w:shd w:val="clear" w:color="auto" w:fill="auto"/>
            <w:vAlign w:val="center"/>
            <w:hideMark/>
          </w:tcPr>
          <w:p w14:paraId="7752B471"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O Startup Summit</w:t>
            </w:r>
          </w:p>
        </w:tc>
        <w:tc>
          <w:tcPr>
            <w:tcW w:w="1275" w:type="dxa"/>
            <w:shd w:val="clear" w:color="auto" w:fill="auto"/>
            <w:noWrap/>
            <w:vAlign w:val="center"/>
            <w:hideMark/>
          </w:tcPr>
          <w:p w14:paraId="3AE1537B" w14:textId="1B8911D0" w:rsidR="00647023" w:rsidRPr="00F36286" w:rsidRDefault="00647023" w:rsidP="00647023">
            <w:pPr>
              <w:jc w:val="right"/>
              <w:rPr>
                <w:rFonts w:ascii="Tahoma" w:hAnsi="Tahoma" w:cs="Tahoma"/>
                <w:sz w:val="18"/>
                <w:szCs w:val="18"/>
              </w:rPr>
            </w:pPr>
            <w:r w:rsidRPr="00F36286">
              <w:rPr>
                <w:rFonts w:ascii="Tahoma" w:hAnsi="Tahoma" w:cs="Tahoma"/>
                <w:sz w:val="18"/>
                <w:szCs w:val="18"/>
              </w:rPr>
              <w:t>65</w:t>
            </w:r>
          </w:p>
        </w:tc>
      </w:tr>
      <w:tr w:rsidR="00647023" w:rsidRPr="00F36286" w14:paraId="15E95405" w14:textId="77777777" w:rsidTr="00D95330">
        <w:trPr>
          <w:trHeight w:val="227"/>
        </w:trPr>
        <w:tc>
          <w:tcPr>
            <w:tcW w:w="4962" w:type="dxa"/>
            <w:shd w:val="clear" w:color="auto" w:fill="auto"/>
            <w:vAlign w:val="center"/>
            <w:hideMark/>
          </w:tcPr>
          <w:p w14:paraId="188DE553"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Congresso Internacional da ABIT 2023</w:t>
            </w:r>
          </w:p>
        </w:tc>
        <w:tc>
          <w:tcPr>
            <w:tcW w:w="1275" w:type="dxa"/>
            <w:shd w:val="clear" w:color="auto" w:fill="auto"/>
            <w:noWrap/>
            <w:vAlign w:val="center"/>
            <w:hideMark/>
          </w:tcPr>
          <w:p w14:paraId="16A36869" w14:textId="2F436DD3" w:rsidR="00647023" w:rsidRPr="00F36286" w:rsidRDefault="00647023" w:rsidP="00647023">
            <w:pPr>
              <w:jc w:val="right"/>
              <w:rPr>
                <w:rFonts w:ascii="Tahoma" w:hAnsi="Tahoma" w:cs="Tahoma"/>
                <w:sz w:val="18"/>
                <w:szCs w:val="18"/>
              </w:rPr>
            </w:pPr>
            <w:r w:rsidRPr="00F36286">
              <w:rPr>
                <w:rFonts w:ascii="Tahoma" w:hAnsi="Tahoma" w:cs="Tahoma"/>
                <w:sz w:val="18"/>
                <w:szCs w:val="18"/>
              </w:rPr>
              <w:t>60</w:t>
            </w:r>
          </w:p>
        </w:tc>
      </w:tr>
      <w:tr w:rsidR="00647023" w:rsidRPr="00F36286" w14:paraId="2537468E" w14:textId="77777777" w:rsidTr="00D95330">
        <w:trPr>
          <w:trHeight w:val="227"/>
        </w:trPr>
        <w:tc>
          <w:tcPr>
            <w:tcW w:w="4962" w:type="dxa"/>
            <w:shd w:val="clear" w:color="auto" w:fill="auto"/>
            <w:vAlign w:val="center"/>
            <w:hideMark/>
          </w:tcPr>
          <w:p w14:paraId="33490F6C"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Rio Info 2023 - Riosoft</w:t>
            </w:r>
          </w:p>
        </w:tc>
        <w:tc>
          <w:tcPr>
            <w:tcW w:w="1275" w:type="dxa"/>
            <w:shd w:val="clear" w:color="auto" w:fill="auto"/>
            <w:noWrap/>
            <w:vAlign w:val="center"/>
            <w:hideMark/>
          </w:tcPr>
          <w:p w14:paraId="14E16047" w14:textId="5D46F8A5" w:rsidR="00647023" w:rsidRPr="00F36286" w:rsidRDefault="00647023" w:rsidP="00647023">
            <w:pPr>
              <w:jc w:val="right"/>
              <w:rPr>
                <w:rFonts w:ascii="Tahoma" w:hAnsi="Tahoma" w:cs="Tahoma"/>
                <w:sz w:val="18"/>
                <w:szCs w:val="18"/>
              </w:rPr>
            </w:pPr>
            <w:r w:rsidRPr="00F36286">
              <w:rPr>
                <w:rFonts w:ascii="Tahoma" w:hAnsi="Tahoma" w:cs="Tahoma"/>
                <w:sz w:val="18"/>
                <w:szCs w:val="18"/>
              </w:rPr>
              <w:t>60</w:t>
            </w:r>
          </w:p>
        </w:tc>
      </w:tr>
      <w:tr w:rsidR="00647023" w:rsidRPr="00F36286" w14:paraId="1E1E2151" w14:textId="77777777" w:rsidTr="00D95330">
        <w:trPr>
          <w:trHeight w:val="227"/>
        </w:trPr>
        <w:tc>
          <w:tcPr>
            <w:tcW w:w="4962" w:type="dxa"/>
            <w:shd w:val="clear" w:color="auto" w:fill="auto"/>
            <w:vAlign w:val="center"/>
            <w:hideMark/>
          </w:tcPr>
          <w:p w14:paraId="549A895B"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10 Congresso ABIPTI 2023</w:t>
            </w:r>
          </w:p>
        </w:tc>
        <w:tc>
          <w:tcPr>
            <w:tcW w:w="1275" w:type="dxa"/>
            <w:shd w:val="clear" w:color="auto" w:fill="auto"/>
            <w:noWrap/>
            <w:vAlign w:val="center"/>
            <w:hideMark/>
          </w:tcPr>
          <w:p w14:paraId="479444BF" w14:textId="4957B1D3" w:rsidR="00647023" w:rsidRPr="00F36286" w:rsidRDefault="00647023" w:rsidP="00647023">
            <w:pPr>
              <w:jc w:val="right"/>
              <w:rPr>
                <w:rFonts w:ascii="Tahoma" w:hAnsi="Tahoma" w:cs="Tahoma"/>
                <w:sz w:val="18"/>
                <w:szCs w:val="18"/>
              </w:rPr>
            </w:pPr>
            <w:r w:rsidRPr="00F36286">
              <w:rPr>
                <w:rFonts w:ascii="Tahoma" w:hAnsi="Tahoma" w:cs="Tahoma"/>
                <w:sz w:val="18"/>
                <w:szCs w:val="18"/>
              </w:rPr>
              <w:t>40</w:t>
            </w:r>
          </w:p>
        </w:tc>
      </w:tr>
      <w:tr w:rsidR="00647023" w:rsidRPr="00F36286" w14:paraId="72819D7E" w14:textId="77777777" w:rsidTr="00D95330">
        <w:trPr>
          <w:trHeight w:val="227"/>
        </w:trPr>
        <w:tc>
          <w:tcPr>
            <w:tcW w:w="4962" w:type="dxa"/>
            <w:shd w:val="clear" w:color="auto" w:fill="auto"/>
            <w:vAlign w:val="center"/>
            <w:hideMark/>
          </w:tcPr>
          <w:p w14:paraId="04F0D04F" w14:textId="77777777" w:rsidR="00647023" w:rsidRPr="00F36286" w:rsidRDefault="00647023">
            <w:pPr>
              <w:rPr>
                <w:rFonts w:ascii="Tahoma" w:hAnsi="Tahoma" w:cs="Tahoma"/>
                <w:color w:val="000000"/>
                <w:sz w:val="18"/>
                <w:szCs w:val="18"/>
              </w:rPr>
            </w:pPr>
            <w:r w:rsidRPr="00F36286">
              <w:rPr>
                <w:rFonts w:ascii="Tahoma" w:hAnsi="Tahoma" w:cs="Tahoma"/>
                <w:color w:val="000000"/>
                <w:sz w:val="18"/>
                <w:szCs w:val="18"/>
              </w:rPr>
              <w:t>Seminário Abiquim de Tecnologia e Inovação 2023</w:t>
            </w:r>
          </w:p>
        </w:tc>
        <w:tc>
          <w:tcPr>
            <w:tcW w:w="1275" w:type="dxa"/>
            <w:shd w:val="clear" w:color="auto" w:fill="auto"/>
            <w:vAlign w:val="center"/>
            <w:hideMark/>
          </w:tcPr>
          <w:p w14:paraId="25741CCD" w14:textId="324EBCDB" w:rsidR="00647023" w:rsidRPr="00F36286" w:rsidRDefault="00647023" w:rsidP="00647023">
            <w:pPr>
              <w:jc w:val="right"/>
              <w:rPr>
                <w:rFonts w:ascii="Tahoma" w:hAnsi="Tahoma" w:cs="Tahoma"/>
                <w:sz w:val="18"/>
                <w:szCs w:val="18"/>
              </w:rPr>
            </w:pPr>
            <w:r w:rsidRPr="00F36286">
              <w:rPr>
                <w:rFonts w:ascii="Tahoma" w:hAnsi="Tahoma" w:cs="Tahoma"/>
                <w:sz w:val="18"/>
                <w:szCs w:val="18"/>
              </w:rPr>
              <w:t>15</w:t>
            </w:r>
          </w:p>
        </w:tc>
      </w:tr>
      <w:tr w:rsidR="00647023" w:rsidRPr="00F36286" w14:paraId="66C33A6D" w14:textId="77777777" w:rsidTr="00D95330">
        <w:trPr>
          <w:trHeight w:val="227"/>
        </w:trPr>
        <w:tc>
          <w:tcPr>
            <w:tcW w:w="4962" w:type="dxa"/>
            <w:shd w:val="clear" w:color="auto" w:fill="auto"/>
            <w:vAlign w:val="center"/>
            <w:hideMark/>
          </w:tcPr>
          <w:p w14:paraId="7183CD60" w14:textId="637A2CFB" w:rsidR="00647023" w:rsidRPr="00F36286" w:rsidRDefault="00647023">
            <w:pPr>
              <w:rPr>
                <w:rFonts w:ascii="Tahoma" w:hAnsi="Tahoma" w:cs="Tahoma"/>
                <w:color w:val="000000"/>
                <w:sz w:val="18"/>
                <w:szCs w:val="18"/>
              </w:rPr>
            </w:pPr>
            <w:r w:rsidRPr="00F36286">
              <w:rPr>
                <w:rFonts w:ascii="Tahoma" w:hAnsi="Tahoma" w:cs="Tahoma"/>
                <w:color w:val="000000"/>
                <w:sz w:val="18"/>
                <w:szCs w:val="18"/>
              </w:rPr>
              <w:t>Congresso Internacional de Tecnologia e Inovação no Setor Nuclear 2023</w:t>
            </w:r>
          </w:p>
        </w:tc>
        <w:tc>
          <w:tcPr>
            <w:tcW w:w="1275" w:type="dxa"/>
            <w:shd w:val="clear" w:color="auto" w:fill="auto"/>
            <w:noWrap/>
            <w:vAlign w:val="center"/>
            <w:hideMark/>
          </w:tcPr>
          <w:p w14:paraId="686ADD93" w14:textId="53BC989A" w:rsidR="00647023" w:rsidRPr="00F36286" w:rsidRDefault="00647023" w:rsidP="00647023">
            <w:pPr>
              <w:jc w:val="right"/>
              <w:rPr>
                <w:rFonts w:ascii="Tahoma" w:hAnsi="Tahoma" w:cs="Tahoma"/>
                <w:sz w:val="18"/>
                <w:szCs w:val="18"/>
              </w:rPr>
            </w:pPr>
            <w:r w:rsidRPr="00F36286">
              <w:rPr>
                <w:rFonts w:ascii="Tahoma" w:hAnsi="Tahoma" w:cs="Tahoma"/>
                <w:sz w:val="18"/>
                <w:szCs w:val="18"/>
              </w:rPr>
              <w:t>10</w:t>
            </w:r>
          </w:p>
        </w:tc>
      </w:tr>
      <w:tr w:rsidR="00647023" w:rsidRPr="00F36286" w14:paraId="527B2A9C" w14:textId="77777777" w:rsidTr="00D95330">
        <w:trPr>
          <w:trHeight w:val="340"/>
        </w:trPr>
        <w:tc>
          <w:tcPr>
            <w:tcW w:w="4962" w:type="dxa"/>
            <w:shd w:val="clear" w:color="000000" w:fill="0098BA"/>
            <w:noWrap/>
            <w:vAlign w:val="center"/>
            <w:hideMark/>
          </w:tcPr>
          <w:p w14:paraId="6AA54242" w14:textId="21ADDA67" w:rsidR="00647023" w:rsidRPr="00F36286" w:rsidRDefault="00647023">
            <w:pPr>
              <w:rPr>
                <w:rFonts w:ascii="Tahoma" w:hAnsi="Tahoma" w:cs="Tahoma"/>
                <w:color w:val="FFFFFF"/>
                <w:sz w:val="18"/>
                <w:szCs w:val="18"/>
              </w:rPr>
            </w:pPr>
            <w:r w:rsidRPr="00F36286">
              <w:rPr>
                <w:rFonts w:ascii="Tahoma" w:hAnsi="Tahoma" w:cs="Tahoma"/>
                <w:color w:val="FFFFFF"/>
                <w:sz w:val="18"/>
                <w:szCs w:val="18"/>
              </w:rPr>
              <w:t>Total</w:t>
            </w:r>
          </w:p>
        </w:tc>
        <w:tc>
          <w:tcPr>
            <w:tcW w:w="1275" w:type="dxa"/>
            <w:shd w:val="clear" w:color="000000" w:fill="0098BA"/>
            <w:noWrap/>
            <w:vAlign w:val="center"/>
            <w:hideMark/>
          </w:tcPr>
          <w:p w14:paraId="60EBD5EF" w14:textId="79835C41" w:rsidR="00647023" w:rsidRPr="00F36286" w:rsidRDefault="00647023" w:rsidP="00647023">
            <w:pPr>
              <w:jc w:val="right"/>
              <w:rPr>
                <w:rFonts w:ascii="Tahoma" w:hAnsi="Tahoma" w:cs="Tahoma"/>
                <w:color w:val="FFFFFF"/>
                <w:sz w:val="18"/>
                <w:szCs w:val="18"/>
              </w:rPr>
            </w:pPr>
            <w:r w:rsidRPr="00F36286">
              <w:rPr>
                <w:rFonts w:ascii="Tahoma" w:hAnsi="Tahoma" w:cs="Tahoma"/>
                <w:color w:val="FFFFFF"/>
                <w:sz w:val="18"/>
                <w:szCs w:val="18"/>
              </w:rPr>
              <w:t>3.560</w:t>
            </w:r>
          </w:p>
        </w:tc>
      </w:tr>
    </w:tbl>
    <w:p w14:paraId="30ED10B9" w14:textId="2A0495A0" w:rsidR="00647023" w:rsidRDefault="009B4334" w:rsidP="009B4334">
      <w:pPr>
        <w:spacing w:before="120" w:after="120"/>
        <w:rPr>
          <w:rFonts w:ascii="Tahoma" w:hAnsi="Tahoma" w:cs="Tahoma"/>
          <w:sz w:val="19"/>
          <w:szCs w:val="19"/>
        </w:rPr>
      </w:pPr>
      <w:r w:rsidRPr="009B4334">
        <w:rPr>
          <w:rFonts w:ascii="Tahoma" w:hAnsi="Tahoma" w:cs="Tahoma"/>
          <w:noProof/>
          <w:sz w:val="19"/>
          <w:szCs w:val="19"/>
        </w:rPr>
        <w:drawing>
          <wp:anchor distT="0" distB="0" distL="114300" distR="114300" simplePos="0" relativeHeight="251873280" behindDoc="0" locked="0" layoutInCell="1" allowOverlap="1" wp14:anchorId="0277099E" wp14:editId="563B3B83">
            <wp:simplePos x="0" y="0"/>
            <wp:positionH relativeFrom="column">
              <wp:posOffset>4184015</wp:posOffset>
            </wp:positionH>
            <wp:positionV relativeFrom="paragraph">
              <wp:posOffset>-251460</wp:posOffset>
            </wp:positionV>
            <wp:extent cx="1482725" cy="602615"/>
            <wp:effectExtent l="0" t="0" r="3175" b="6985"/>
            <wp:wrapThrough wrapText="bothSides">
              <wp:wrapPolygon edited="0">
                <wp:start x="0" y="0"/>
                <wp:lineTo x="0" y="21168"/>
                <wp:lineTo x="21369" y="21168"/>
                <wp:lineTo x="21369" y="0"/>
                <wp:lineTo x="0" y="0"/>
              </wp:wrapPolygon>
            </wp:wrapThrough>
            <wp:docPr id="1327595332" name="Imagem 3"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95332" name="Imagem 3" descr="Uma imagem contendo Texto&#10;&#10;Descrição gerada automaticamente"/>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82725" cy="602615"/>
                    </a:xfrm>
                    <a:prstGeom prst="rect">
                      <a:avLst/>
                    </a:prstGeom>
                    <a:noFill/>
                  </pic:spPr>
                </pic:pic>
              </a:graphicData>
            </a:graphic>
            <wp14:sizeRelH relativeFrom="margin">
              <wp14:pctWidth>0</wp14:pctWidth>
            </wp14:sizeRelH>
            <wp14:sizeRelV relativeFrom="margin">
              <wp14:pctHeight>0</wp14:pctHeight>
            </wp14:sizeRelV>
          </wp:anchor>
        </w:drawing>
      </w:r>
      <w:r w:rsidR="007152C5" w:rsidRPr="009B4334">
        <w:rPr>
          <w:rFonts w:ascii="Tahoma" w:hAnsi="Tahoma" w:cs="Tahoma"/>
          <w:noProof/>
          <w:sz w:val="19"/>
          <w:szCs w:val="19"/>
        </w:rPr>
        <w:drawing>
          <wp:anchor distT="0" distB="0" distL="114300" distR="114300" simplePos="0" relativeHeight="251871232" behindDoc="0" locked="0" layoutInCell="1" allowOverlap="1" wp14:anchorId="32275E8A" wp14:editId="5CDC4B5D">
            <wp:simplePos x="0" y="0"/>
            <wp:positionH relativeFrom="column">
              <wp:posOffset>4175125</wp:posOffset>
            </wp:positionH>
            <wp:positionV relativeFrom="paragraph">
              <wp:posOffset>-1136015</wp:posOffset>
            </wp:positionV>
            <wp:extent cx="1585595" cy="838200"/>
            <wp:effectExtent l="0" t="0" r="0" b="0"/>
            <wp:wrapThrough wrapText="bothSides">
              <wp:wrapPolygon edited="0">
                <wp:start x="0" y="0"/>
                <wp:lineTo x="0" y="21109"/>
                <wp:lineTo x="21280" y="21109"/>
                <wp:lineTo x="21280" y="0"/>
                <wp:lineTo x="0" y="0"/>
              </wp:wrapPolygon>
            </wp:wrapThrough>
            <wp:docPr id="2011963451" name="Imagem 4"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63451" name="Imagem 4" descr="Uma imagem contendo Interface gráfica do usuário&#10;&#10;Descrição gerada automaticamente"/>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585595" cy="838200"/>
                    </a:xfrm>
                    <a:prstGeom prst="rect">
                      <a:avLst/>
                    </a:prstGeom>
                    <a:noFill/>
                  </pic:spPr>
                </pic:pic>
              </a:graphicData>
            </a:graphic>
          </wp:anchor>
        </w:drawing>
      </w:r>
      <w:r w:rsidR="007152C5" w:rsidRPr="009B4334">
        <w:rPr>
          <w:rFonts w:ascii="Tahoma" w:hAnsi="Tahoma" w:cs="Tahoma"/>
          <w:noProof/>
          <w:sz w:val="19"/>
          <w:szCs w:val="19"/>
        </w:rPr>
        <w:drawing>
          <wp:anchor distT="0" distB="0" distL="114300" distR="114300" simplePos="0" relativeHeight="251875328" behindDoc="0" locked="0" layoutInCell="1" allowOverlap="1" wp14:anchorId="1EA12779" wp14:editId="2D4F4C9F">
            <wp:simplePos x="0" y="0"/>
            <wp:positionH relativeFrom="column">
              <wp:posOffset>4175125</wp:posOffset>
            </wp:positionH>
            <wp:positionV relativeFrom="paragraph">
              <wp:posOffset>-1851025</wp:posOffset>
            </wp:positionV>
            <wp:extent cx="1905000" cy="662305"/>
            <wp:effectExtent l="0" t="0" r="0" b="4445"/>
            <wp:wrapThrough wrapText="bothSides">
              <wp:wrapPolygon edited="0">
                <wp:start x="0" y="0"/>
                <wp:lineTo x="0" y="21124"/>
                <wp:lineTo x="21384" y="21124"/>
                <wp:lineTo x="21384" y="0"/>
                <wp:lineTo x="0" y="0"/>
              </wp:wrapPolygon>
            </wp:wrapThrough>
            <wp:docPr id="1827827874" name="Imagem 6"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27874" name="Imagem 6" descr="Texto&#10;&#10;Descrição gerada automaticamente"/>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05000" cy="662305"/>
                    </a:xfrm>
                    <a:prstGeom prst="rect">
                      <a:avLst/>
                    </a:prstGeom>
                    <a:noFill/>
                  </pic:spPr>
                </pic:pic>
              </a:graphicData>
            </a:graphic>
          </wp:anchor>
        </w:drawing>
      </w:r>
      <w:r w:rsidR="007152C5" w:rsidRPr="009B4334">
        <w:rPr>
          <w:rFonts w:ascii="Tahoma" w:hAnsi="Tahoma" w:cs="Tahoma"/>
          <w:noProof/>
          <w:sz w:val="19"/>
          <w:szCs w:val="19"/>
        </w:rPr>
        <w:drawing>
          <wp:anchor distT="0" distB="0" distL="114300" distR="114300" simplePos="0" relativeHeight="251874304" behindDoc="0" locked="0" layoutInCell="1" allowOverlap="1" wp14:anchorId="65DD12C1" wp14:editId="39D8B9F8">
            <wp:simplePos x="0" y="0"/>
            <wp:positionH relativeFrom="column">
              <wp:posOffset>4179570</wp:posOffset>
            </wp:positionH>
            <wp:positionV relativeFrom="paragraph">
              <wp:posOffset>-2404745</wp:posOffset>
            </wp:positionV>
            <wp:extent cx="1638300" cy="473710"/>
            <wp:effectExtent l="0" t="0" r="0" b="2540"/>
            <wp:wrapNone/>
            <wp:docPr id="398184427" name="Imagem 5" descr="Interface gráfica do usu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184427" name="Imagem 5" descr="Interface gráfica do usuário&#10;&#10;Descrição gerada automaticamente com confiança média"/>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638300" cy="473710"/>
                    </a:xfrm>
                    <a:prstGeom prst="rect">
                      <a:avLst/>
                    </a:prstGeom>
                    <a:noFill/>
                  </pic:spPr>
                </pic:pic>
              </a:graphicData>
            </a:graphic>
            <wp14:sizeRelH relativeFrom="margin">
              <wp14:pctWidth>0</wp14:pctWidth>
            </wp14:sizeRelH>
            <wp14:sizeRelV relativeFrom="margin">
              <wp14:pctHeight>0</wp14:pctHeight>
            </wp14:sizeRelV>
          </wp:anchor>
        </w:drawing>
      </w:r>
    </w:p>
    <w:p w14:paraId="2BD8D326" w14:textId="139A08E1" w:rsidR="00811585" w:rsidRPr="009B4334" w:rsidRDefault="00811585" w:rsidP="009B4334">
      <w:pPr>
        <w:spacing w:before="120" w:after="120"/>
        <w:rPr>
          <w:rFonts w:ascii="Tahoma" w:hAnsi="Tahoma" w:cs="Tahoma"/>
          <w:color w:val="0098BA"/>
          <w:sz w:val="19"/>
          <w:szCs w:val="19"/>
        </w:rPr>
      </w:pPr>
      <w:r w:rsidRPr="009B4334">
        <w:rPr>
          <w:rFonts w:ascii="Tahoma" w:hAnsi="Tahoma" w:cs="Tahoma"/>
          <w:color w:val="0098BA"/>
          <w:sz w:val="19"/>
          <w:szCs w:val="19"/>
        </w:rPr>
        <w:t>Demais Contratações</w:t>
      </w:r>
    </w:p>
    <w:p w14:paraId="38293425" w14:textId="74374154" w:rsidR="00811585" w:rsidRDefault="00811585" w:rsidP="009E14AC">
      <w:pPr>
        <w:spacing w:before="120" w:after="120" w:line="360" w:lineRule="auto"/>
        <w:rPr>
          <w:rFonts w:ascii="Tahoma" w:hAnsi="Tahoma" w:cs="Tahoma"/>
          <w:sz w:val="19"/>
          <w:szCs w:val="19"/>
        </w:rPr>
      </w:pPr>
      <w:r w:rsidRPr="0032098E">
        <w:rPr>
          <w:rFonts w:ascii="Tahoma" w:hAnsi="Tahoma" w:cs="Tahoma"/>
          <w:sz w:val="19"/>
          <w:szCs w:val="19"/>
        </w:rPr>
        <w:t>Em 31/12/2023 havia R$ 205,1 milhões em 114 contratos vigentes, dos quais existia um saldo a executar de R$129,5 milhões até 2028.</w:t>
      </w:r>
    </w:p>
    <w:tbl>
      <w:tblPr>
        <w:tblW w:w="6260" w:type="dxa"/>
        <w:tblBorders>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1134"/>
        <w:gridCol w:w="1606"/>
        <w:gridCol w:w="1040"/>
        <w:gridCol w:w="1140"/>
        <w:gridCol w:w="1340"/>
      </w:tblGrid>
      <w:tr w:rsidR="00A63DC7" w:rsidRPr="00F36286" w14:paraId="71E72DFE" w14:textId="77777777" w:rsidTr="00D95330">
        <w:trPr>
          <w:trHeight w:val="20"/>
        </w:trPr>
        <w:tc>
          <w:tcPr>
            <w:tcW w:w="1134" w:type="dxa"/>
            <w:shd w:val="clear" w:color="000000" w:fill="0098BA"/>
            <w:vAlign w:val="center"/>
            <w:hideMark/>
          </w:tcPr>
          <w:p w14:paraId="5DA90131" w14:textId="77777777" w:rsidR="00A63DC7" w:rsidRPr="00F36286" w:rsidRDefault="00A63DC7" w:rsidP="00F36286">
            <w:pPr>
              <w:jc w:val="center"/>
              <w:rPr>
                <w:rFonts w:ascii="Tahoma" w:hAnsi="Tahoma" w:cs="Tahoma"/>
                <w:color w:val="FFFFFF"/>
                <w:sz w:val="18"/>
                <w:szCs w:val="18"/>
              </w:rPr>
            </w:pPr>
            <w:r w:rsidRPr="00F36286">
              <w:rPr>
                <w:rFonts w:ascii="Tahoma" w:hAnsi="Tahoma" w:cs="Tahoma"/>
                <w:color w:val="FFFFFF"/>
                <w:sz w:val="18"/>
                <w:szCs w:val="18"/>
              </w:rPr>
              <w:t>Ano da Contratação</w:t>
            </w:r>
          </w:p>
        </w:tc>
        <w:tc>
          <w:tcPr>
            <w:tcW w:w="1606" w:type="dxa"/>
            <w:shd w:val="clear" w:color="000000" w:fill="0098BA"/>
            <w:vAlign w:val="center"/>
            <w:hideMark/>
          </w:tcPr>
          <w:p w14:paraId="379FAF02" w14:textId="77777777" w:rsidR="00A63DC7" w:rsidRPr="00F36286" w:rsidRDefault="00A63DC7" w:rsidP="00F36286">
            <w:pPr>
              <w:jc w:val="center"/>
              <w:rPr>
                <w:rFonts w:ascii="Tahoma" w:hAnsi="Tahoma" w:cs="Tahoma"/>
                <w:color w:val="FFFFFF"/>
                <w:sz w:val="18"/>
                <w:szCs w:val="18"/>
              </w:rPr>
            </w:pPr>
            <w:r w:rsidRPr="00F36286">
              <w:rPr>
                <w:rFonts w:ascii="Tahoma" w:hAnsi="Tahoma" w:cs="Tahoma"/>
                <w:color w:val="FFFFFF"/>
                <w:sz w:val="18"/>
                <w:szCs w:val="18"/>
              </w:rPr>
              <w:t>Quantidade de contratos</w:t>
            </w:r>
          </w:p>
        </w:tc>
        <w:tc>
          <w:tcPr>
            <w:tcW w:w="1040" w:type="dxa"/>
            <w:shd w:val="clear" w:color="000000" w:fill="0098BA"/>
            <w:vAlign w:val="center"/>
            <w:hideMark/>
          </w:tcPr>
          <w:p w14:paraId="0409C363" w14:textId="77777777" w:rsidR="00A63DC7" w:rsidRPr="00F36286" w:rsidRDefault="00A63DC7" w:rsidP="00F36286">
            <w:pPr>
              <w:jc w:val="center"/>
              <w:rPr>
                <w:rFonts w:ascii="Tahoma" w:hAnsi="Tahoma" w:cs="Tahoma"/>
                <w:color w:val="FFFFFF"/>
                <w:sz w:val="18"/>
                <w:szCs w:val="18"/>
              </w:rPr>
            </w:pPr>
            <w:r w:rsidRPr="00F36286">
              <w:rPr>
                <w:rFonts w:ascii="Tahoma" w:hAnsi="Tahoma" w:cs="Tahoma"/>
                <w:color w:val="FFFFFF"/>
                <w:sz w:val="18"/>
                <w:szCs w:val="18"/>
              </w:rPr>
              <w:t>Valor Global</w:t>
            </w:r>
          </w:p>
        </w:tc>
        <w:tc>
          <w:tcPr>
            <w:tcW w:w="1140" w:type="dxa"/>
            <w:shd w:val="clear" w:color="000000" w:fill="0098BA"/>
            <w:vAlign w:val="center"/>
            <w:hideMark/>
          </w:tcPr>
          <w:p w14:paraId="05995069" w14:textId="77777777" w:rsidR="00A63DC7" w:rsidRPr="00F36286" w:rsidRDefault="00A63DC7" w:rsidP="00F36286">
            <w:pPr>
              <w:jc w:val="center"/>
              <w:rPr>
                <w:rFonts w:ascii="Tahoma" w:hAnsi="Tahoma" w:cs="Tahoma"/>
                <w:color w:val="FFFFFF"/>
                <w:sz w:val="18"/>
                <w:szCs w:val="18"/>
              </w:rPr>
            </w:pPr>
            <w:r w:rsidRPr="00F36286">
              <w:rPr>
                <w:rFonts w:ascii="Tahoma" w:hAnsi="Tahoma" w:cs="Tahoma"/>
                <w:color w:val="FFFFFF"/>
                <w:sz w:val="18"/>
                <w:szCs w:val="18"/>
              </w:rPr>
              <w:t>Saldo Contratual</w:t>
            </w:r>
          </w:p>
        </w:tc>
        <w:tc>
          <w:tcPr>
            <w:tcW w:w="1340" w:type="dxa"/>
            <w:shd w:val="clear" w:color="000000" w:fill="0098BA"/>
            <w:vAlign w:val="center"/>
            <w:hideMark/>
          </w:tcPr>
          <w:p w14:paraId="65AE7C65" w14:textId="4DF79BB8" w:rsidR="00A63DC7" w:rsidRPr="00F36286" w:rsidRDefault="00A63DC7" w:rsidP="00F36286">
            <w:pPr>
              <w:jc w:val="center"/>
              <w:rPr>
                <w:rFonts w:ascii="Tahoma" w:hAnsi="Tahoma" w:cs="Tahoma"/>
                <w:color w:val="FFFFFF"/>
                <w:sz w:val="18"/>
                <w:szCs w:val="18"/>
              </w:rPr>
            </w:pPr>
            <w:r w:rsidRPr="00F36286">
              <w:rPr>
                <w:rFonts w:ascii="Tahoma" w:hAnsi="Tahoma" w:cs="Tahoma"/>
                <w:color w:val="FFFFFF"/>
                <w:sz w:val="18"/>
                <w:szCs w:val="18"/>
              </w:rPr>
              <w:t>Valor Anualizado</w:t>
            </w:r>
            <w:r w:rsidR="00F36286">
              <w:rPr>
                <w:rFonts w:ascii="Tahoma" w:hAnsi="Tahoma" w:cs="Tahoma"/>
                <w:color w:val="FFFFFF"/>
                <w:sz w:val="18"/>
                <w:szCs w:val="18"/>
              </w:rPr>
              <w:br/>
            </w:r>
            <w:r w:rsidRPr="00F36286">
              <w:rPr>
                <w:rFonts w:ascii="Tahoma" w:hAnsi="Tahoma" w:cs="Tahoma"/>
                <w:color w:val="FFFFFF"/>
                <w:sz w:val="18"/>
                <w:szCs w:val="18"/>
              </w:rPr>
              <w:t>(R$ milhão)</w:t>
            </w:r>
          </w:p>
        </w:tc>
      </w:tr>
      <w:tr w:rsidR="00A63DC7" w:rsidRPr="00F36286" w14:paraId="42C2597E" w14:textId="77777777" w:rsidTr="00D95330">
        <w:trPr>
          <w:trHeight w:val="340"/>
        </w:trPr>
        <w:tc>
          <w:tcPr>
            <w:tcW w:w="1134" w:type="dxa"/>
            <w:shd w:val="clear" w:color="000000" w:fill="FFFFFF"/>
            <w:noWrap/>
            <w:vAlign w:val="center"/>
            <w:hideMark/>
          </w:tcPr>
          <w:p w14:paraId="4CDC5A6A" w14:textId="77777777" w:rsidR="00A63DC7" w:rsidRPr="00F36286" w:rsidRDefault="00A63DC7" w:rsidP="00F36286">
            <w:pPr>
              <w:rPr>
                <w:rFonts w:ascii="Tahoma" w:hAnsi="Tahoma" w:cs="Tahoma"/>
                <w:color w:val="000000"/>
                <w:sz w:val="18"/>
                <w:szCs w:val="18"/>
              </w:rPr>
            </w:pPr>
            <w:r w:rsidRPr="00F36286">
              <w:rPr>
                <w:rFonts w:ascii="Tahoma" w:hAnsi="Tahoma" w:cs="Tahoma"/>
                <w:color w:val="000000"/>
                <w:sz w:val="18"/>
                <w:szCs w:val="18"/>
              </w:rPr>
              <w:t>2017</w:t>
            </w:r>
          </w:p>
        </w:tc>
        <w:tc>
          <w:tcPr>
            <w:tcW w:w="1606" w:type="dxa"/>
            <w:shd w:val="clear" w:color="000000" w:fill="FFFFFF"/>
            <w:noWrap/>
            <w:vAlign w:val="center"/>
            <w:hideMark/>
          </w:tcPr>
          <w:p w14:paraId="3C857923" w14:textId="77777777" w:rsidR="00A63DC7" w:rsidRPr="00F36286" w:rsidRDefault="00A63DC7" w:rsidP="00F36286">
            <w:pPr>
              <w:jc w:val="center"/>
              <w:rPr>
                <w:rFonts w:ascii="Tahoma" w:hAnsi="Tahoma" w:cs="Tahoma"/>
                <w:color w:val="000000"/>
                <w:sz w:val="18"/>
                <w:szCs w:val="18"/>
              </w:rPr>
            </w:pPr>
            <w:r w:rsidRPr="00F36286">
              <w:rPr>
                <w:rFonts w:ascii="Tahoma" w:hAnsi="Tahoma" w:cs="Tahoma"/>
                <w:color w:val="000000"/>
                <w:sz w:val="18"/>
                <w:szCs w:val="18"/>
              </w:rPr>
              <w:t>2</w:t>
            </w:r>
          </w:p>
        </w:tc>
        <w:tc>
          <w:tcPr>
            <w:tcW w:w="1040" w:type="dxa"/>
            <w:shd w:val="clear" w:color="000000" w:fill="FFFFFF"/>
            <w:noWrap/>
            <w:vAlign w:val="center"/>
            <w:hideMark/>
          </w:tcPr>
          <w:p w14:paraId="67850B61" w14:textId="50933339"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19,2</w:t>
            </w:r>
          </w:p>
        </w:tc>
        <w:tc>
          <w:tcPr>
            <w:tcW w:w="1140" w:type="dxa"/>
            <w:shd w:val="clear" w:color="000000" w:fill="FFFFFF"/>
            <w:noWrap/>
            <w:vAlign w:val="center"/>
            <w:hideMark/>
          </w:tcPr>
          <w:p w14:paraId="76127601" w14:textId="6804CB0C"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12,3</w:t>
            </w:r>
          </w:p>
        </w:tc>
        <w:tc>
          <w:tcPr>
            <w:tcW w:w="1340" w:type="dxa"/>
            <w:shd w:val="clear" w:color="000000" w:fill="FFFFFF"/>
            <w:noWrap/>
            <w:vAlign w:val="center"/>
            <w:hideMark/>
          </w:tcPr>
          <w:p w14:paraId="3D46088A" w14:textId="687250A7"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1,9</w:t>
            </w:r>
          </w:p>
        </w:tc>
      </w:tr>
      <w:tr w:rsidR="00A63DC7" w:rsidRPr="00F36286" w14:paraId="07D61961" w14:textId="77777777" w:rsidTr="00D95330">
        <w:trPr>
          <w:trHeight w:val="340"/>
        </w:trPr>
        <w:tc>
          <w:tcPr>
            <w:tcW w:w="1134" w:type="dxa"/>
            <w:shd w:val="clear" w:color="000000" w:fill="FFFFFF"/>
            <w:noWrap/>
            <w:vAlign w:val="center"/>
            <w:hideMark/>
          </w:tcPr>
          <w:p w14:paraId="34F01BED" w14:textId="77777777" w:rsidR="00A63DC7" w:rsidRPr="00F36286" w:rsidRDefault="00A63DC7" w:rsidP="00F36286">
            <w:pPr>
              <w:rPr>
                <w:rFonts w:ascii="Tahoma" w:hAnsi="Tahoma" w:cs="Tahoma"/>
                <w:color w:val="000000"/>
                <w:sz w:val="18"/>
                <w:szCs w:val="18"/>
              </w:rPr>
            </w:pPr>
            <w:r w:rsidRPr="00F36286">
              <w:rPr>
                <w:rFonts w:ascii="Tahoma" w:hAnsi="Tahoma" w:cs="Tahoma"/>
                <w:color w:val="000000"/>
                <w:sz w:val="18"/>
                <w:szCs w:val="18"/>
              </w:rPr>
              <w:t>2019</w:t>
            </w:r>
          </w:p>
        </w:tc>
        <w:tc>
          <w:tcPr>
            <w:tcW w:w="1606" w:type="dxa"/>
            <w:shd w:val="clear" w:color="000000" w:fill="FFFFFF"/>
            <w:noWrap/>
            <w:vAlign w:val="center"/>
            <w:hideMark/>
          </w:tcPr>
          <w:p w14:paraId="7A6C352D" w14:textId="77777777" w:rsidR="00A63DC7" w:rsidRPr="00F36286" w:rsidRDefault="00A63DC7" w:rsidP="00F36286">
            <w:pPr>
              <w:jc w:val="center"/>
              <w:rPr>
                <w:rFonts w:ascii="Tahoma" w:hAnsi="Tahoma" w:cs="Tahoma"/>
                <w:color w:val="000000"/>
                <w:sz w:val="18"/>
                <w:szCs w:val="18"/>
              </w:rPr>
            </w:pPr>
            <w:r w:rsidRPr="00F36286">
              <w:rPr>
                <w:rFonts w:ascii="Tahoma" w:hAnsi="Tahoma" w:cs="Tahoma"/>
                <w:color w:val="000000"/>
                <w:sz w:val="18"/>
                <w:szCs w:val="18"/>
              </w:rPr>
              <w:t>9</w:t>
            </w:r>
          </w:p>
        </w:tc>
        <w:tc>
          <w:tcPr>
            <w:tcW w:w="1040" w:type="dxa"/>
            <w:shd w:val="clear" w:color="000000" w:fill="FFFFFF"/>
            <w:noWrap/>
            <w:vAlign w:val="center"/>
            <w:hideMark/>
          </w:tcPr>
          <w:p w14:paraId="2440F6A3" w14:textId="1D4A64E1"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5,4</w:t>
            </w:r>
          </w:p>
        </w:tc>
        <w:tc>
          <w:tcPr>
            <w:tcW w:w="1140" w:type="dxa"/>
            <w:shd w:val="clear" w:color="000000" w:fill="FFFFFF"/>
            <w:noWrap/>
            <w:vAlign w:val="center"/>
            <w:hideMark/>
          </w:tcPr>
          <w:p w14:paraId="6B428548" w14:textId="19C82DBA"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3,0</w:t>
            </w:r>
          </w:p>
        </w:tc>
        <w:tc>
          <w:tcPr>
            <w:tcW w:w="1340" w:type="dxa"/>
            <w:shd w:val="clear" w:color="000000" w:fill="FFFFFF"/>
            <w:noWrap/>
            <w:vAlign w:val="center"/>
            <w:hideMark/>
          </w:tcPr>
          <w:p w14:paraId="72001297" w14:textId="429A51DD"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5,4</w:t>
            </w:r>
          </w:p>
        </w:tc>
      </w:tr>
      <w:tr w:rsidR="00A63DC7" w:rsidRPr="00F36286" w14:paraId="16C98B2B" w14:textId="77777777" w:rsidTr="00D95330">
        <w:trPr>
          <w:trHeight w:val="340"/>
        </w:trPr>
        <w:tc>
          <w:tcPr>
            <w:tcW w:w="1134" w:type="dxa"/>
            <w:shd w:val="clear" w:color="000000" w:fill="FFFFFF"/>
            <w:noWrap/>
            <w:vAlign w:val="center"/>
            <w:hideMark/>
          </w:tcPr>
          <w:p w14:paraId="3B984EB8" w14:textId="77777777" w:rsidR="00A63DC7" w:rsidRPr="00F36286" w:rsidRDefault="00A63DC7" w:rsidP="00F36286">
            <w:pPr>
              <w:rPr>
                <w:rFonts w:ascii="Tahoma" w:hAnsi="Tahoma" w:cs="Tahoma"/>
                <w:color w:val="000000"/>
                <w:sz w:val="18"/>
                <w:szCs w:val="18"/>
              </w:rPr>
            </w:pPr>
            <w:r w:rsidRPr="00F36286">
              <w:rPr>
                <w:rFonts w:ascii="Tahoma" w:hAnsi="Tahoma" w:cs="Tahoma"/>
                <w:color w:val="000000"/>
                <w:sz w:val="18"/>
                <w:szCs w:val="18"/>
              </w:rPr>
              <w:t>2020</w:t>
            </w:r>
          </w:p>
        </w:tc>
        <w:tc>
          <w:tcPr>
            <w:tcW w:w="1606" w:type="dxa"/>
            <w:shd w:val="clear" w:color="000000" w:fill="FFFFFF"/>
            <w:noWrap/>
            <w:vAlign w:val="center"/>
            <w:hideMark/>
          </w:tcPr>
          <w:p w14:paraId="5D10B053" w14:textId="77777777" w:rsidR="00A63DC7" w:rsidRPr="00F36286" w:rsidRDefault="00A63DC7" w:rsidP="00F36286">
            <w:pPr>
              <w:jc w:val="center"/>
              <w:rPr>
                <w:rFonts w:ascii="Tahoma" w:hAnsi="Tahoma" w:cs="Tahoma"/>
                <w:color w:val="000000"/>
                <w:sz w:val="18"/>
                <w:szCs w:val="18"/>
              </w:rPr>
            </w:pPr>
            <w:r w:rsidRPr="00F36286">
              <w:rPr>
                <w:rFonts w:ascii="Tahoma" w:hAnsi="Tahoma" w:cs="Tahoma"/>
                <w:color w:val="000000"/>
                <w:sz w:val="18"/>
                <w:szCs w:val="18"/>
              </w:rPr>
              <w:t>11</w:t>
            </w:r>
          </w:p>
        </w:tc>
        <w:tc>
          <w:tcPr>
            <w:tcW w:w="1040" w:type="dxa"/>
            <w:shd w:val="clear" w:color="000000" w:fill="FFFFFF"/>
            <w:noWrap/>
            <w:vAlign w:val="center"/>
            <w:hideMark/>
          </w:tcPr>
          <w:p w14:paraId="644944EE" w14:textId="3B57A23F"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75,4</w:t>
            </w:r>
          </w:p>
        </w:tc>
        <w:tc>
          <w:tcPr>
            <w:tcW w:w="1140" w:type="dxa"/>
            <w:shd w:val="clear" w:color="000000" w:fill="FFFFFF"/>
            <w:noWrap/>
            <w:vAlign w:val="center"/>
            <w:hideMark/>
          </w:tcPr>
          <w:p w14:paraId="69E64410" w14:textId="099BE221"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39,3</w:t>
            </w:r>
          </w:p>
        </w:tc>
        <w:tc>
          <w:tcPr>
            <w:tcW w:w="1340" w:type="dxa"/>
            <w:shd w:val="clear" w:color="000000" w:fill="FFFFFF"/>
            <w:noWrap/>
            <w:vAlign w:val="center"/>
            <w:hideMark/>
          </w:tcPr>
          <w:p w14:paraId="41CDFF57" w14:textId="7E937425"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27,9</w:t>
            </w:r>
          </w:p>
        </w:tc>
      </w:tr>
      <w:tr w:rsidR="00A63DC7" w:rsidRPr="00F36286" w14:paraId="1E13131D" w14:textId="77777777" w:rsidTr="00D95330">
        <w:trPr>
          <w:trHeight w:val="340"/>
        </w:trPr>
        <w:tc>
          <w:tcPr>
            <w:tcW w:w="1134" w:type="dxa"/>
            <w:shd w:val="clear" w:color="000000" w:fill="FFFFFF"/>
            <w:noWrap/>
            <w:vAlign w:val="center"/>
            <w:hideMark/>
          </w:tcPr>
          <w:p w14:paraId="4CECACF0" w14:textId="77777777" w:rsidR="00A63DC7" w:rsidRPr="00F36286" w:rsidRDefault="00A63DC7" w:rsidP="00F36286">
            <w:pPr>
              <w:rPr>
                <w:rFonts w:ascii="Tahoma" w:hAnsi="Tahoma" w:cs="Tahoma"/>
                <w:color w:val="000000"/>
                <w:sz w:val="18"/>
                <w:szCs w:val="18"/>
              </w:rPr>
            </w:pPr>
            <w:r w:rsidRPr="00F36286">
              <w:rPr>
                <w:rFonts w:ascii="Tahoma" w:hAnsi="Tahoma" w:cs="Tahoma"/>
                <w:color w:val="000000"/>
                <w:sz w:val="18"/>
                <w:szCs w:val="18"/>
              </w:rPr>
              <w:t>2021</w:t>
            </w:r>
          </w:p>
        </w:tc>
        <w:tc>
          <w:tcPr>
            <w:tcW w:w="1606" w:type="dxa"/>
            <w:shd w:val="clear" w:color="000000" w:fill="FFFFFF"/>
            <w:noWrap/>
            <w:vAlign w:val="center"/>
            <w:hideMark/>
          </w:tcPr>
          <w:p w14:paraId="2EB3557F" w14:textId="77777777" w:rsidR="00A63DC7" w:rsidRPr="00F36286" w:rsidRDefault="00A63DC7" w:rsidP="00F36286">
            <w:pPr>
              <w:jc w:val="center"/>
              <w:rPr>
                <w:rFonts w:ascii="Tahoma" w:hAnsi="Tahoma" w:cs="Tahoma"/>
                <w:color w:val="000000"/>
                <w:sz w:val="18"/>
                <w:szCs w:val="18"/>
              </w:rPr>
            </w:pPr>
            <w:r w:rsidRPr="00F36286">
              <w:rPr>
                <w:rFonts w:ascii="Tahoma" w:hAnsi="Tahoma" w:cs="Tahoma"/>
                <w:color w:val="000000"/>
                <w:sz w:val="18"/>
                <w:szCs w:val="18"/>
              </w:rPr>
              <w:t>20</w:t>
            </w:r>
          </w:p>
        </w:tc>
        <w:tc>
          <w:tcPr>
            <w:tcW w:w="1040" w:type="dxa"/>
            <w:shd w:val="clear" w:color="000000" w:fill="FFFFFF"/>
            <w:noWrap/>
            <w:vAlign w:val="center"/>
            <w:hideMark/>
          </w:tcPr>
          <w:p w14:paraId="30E3A89A" w14:textId="7D1E93A9"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53,3</w:t>
            </w:r>
          </w:p>
        </w:tc>
        <w:tc>
          <w:tcPr>
            <w:tcW w:w="1140" w:type="dxa"/>
            <w:shd w:val="clear" w:color="000000" w:fill="FFFFFF"/>
            <w:noWrap/>
            <w:vAlign w:val="center"/>
            <w:hideMark/>
          </w:tcPr>
          <w:p w14:paraId="28C7F004" w14:textId="472A2232"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44,3</w:t>
            </w:r>
          </w:p>
        </w:tc>
        <w:tc>
          <w:tcPr>
            <w:tcW w:w="1340" w:type="dxa"/>
            <w:shd w:val="clear" w:color="000000" w:fill="FFFFFF"/>
            <w:noWrap/>
            <w:vAlign w:val="center"/>
            <w:hideMark/>
          </w:tcPr>
          <w:p w14:paraId="194F9BA7" w14:textId="617E547B"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19,4</w:t>
            </w:r>
          </w:p>
        </w:tc>
      </w:tr>
      <w:tr w:rsidR="00A63DC7" w:rsidRPr="00F36286" w14:paraId="411DD17A" w14:textId="77777777" w:rsidTr="00D95330">
        <w:trPr>
          <w:trHeight w:val="340"/>
        </w:trPr>
        <w:tc>
          <w:tcPr>
            <w:tcW w:w="1134" w:type="dxa"/>
            <w:shd w:val="clear" w:color="000000" w:fill="FFFFFF"/>
            <w:noWrap/>
            <w:vAlign w:val="center"/>
            <w:hideMark/>
          </w:tcPr>
          <w:p w14:paraId="5CD0F0E9" w14:textId="77777777" w:rsidR="00A63DC7" w:rsidRPr="00F36286" w:rsidRDefault="00A63DC7" w:rsidP="00F36286">
            <w:pPr>
              <w:rPr>
                <w:rFonts w:ascii="Tahoma" w:hAnsi="Tahoma" w:cs="Tahoma"/>
                <w:color w:val="000000"/>
                <w:sz w:val="18"/>
                <w:szCs w:val="18"/>
              </w:rPr>
            </w:pPr>
            <w:r w:rsidRPr="00F36286">
              <w:rPr>
                <w:rFonts w:ascii="Tahoma" w:hAnsi="Tahoma" w:cs="Tahoma"/>
                <w:color w:val="000000"/>
                <w:sz w:val="18"/>
                <w:szCs w:val="18"/>
              </w:rPr>
              <w:t>2022</w:t>
            </w:r>
          </w:p>
        </w:tc>
        <w:tc>
          <w:tcPr>
            <w:tcW w:w="1606" w:type="dxa"/>
            <w:shd w:val="clear" w:color="000000" w:fill="FFFFFF"/>
            <w:noWrap/>
            <w:vAlign w:val="center"/>
            <w:hideMark/>
          </w:tcPr>
          <w:p w14:paraId="56B70F62" w14:textId="77777777" w:rsidR="00A63DC7" w:rsidRPr="00F36286" w:rsidRDefault="00A63DC7" w:rsidP="00F36286">
            <w:pPr>
              <w:jc w:val="center"/>
              <w:rPr>
                <w:rFonts w:ascii="Tahoma" w:hAnsi="Tahoma" w:cs="Tahoma"/>
                <w:color w:val="000000"/>
                <w:sz w:val="18"/>
                <w:szCs w:val="18"/>
              </w:rPr>
            </w:pPr>
            <w:r w:rsidRPr="00F36286">
              <w:rPr>
                <w:rFonts w:ascii="Tahoma" w:hAnsi="Tahoma" w:cs="Tahoma"/>
                <w:color w:val="000000"/>
                <w:sz w:val="18"/>
                <w:szCs w:val="18"/>
              </w:rPr>
              <w:t>39</w:t>
            </w:r>
          </w:p>
        </w:tc>
        <w:tc>
          <w:tcPr>
            <w:tcW w:w="1040" w:type="dxa"/>
            <w:shd w:val="clear" w:color="000000" w:fill="FFFFFF"/>
            <w:noWrap/>
            <w:vAlign w:val="center"/>
            <w:hideMark/>
          </w:tcPr>
          <w:p w14:paraId="47D5FC4A" w14:textId="0A8E4673"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28,2</w:t>
            </w:r>
          </w:p>
        </w:tc>
        <w:tc>
          <w:tcPr>
            <w:tcW w:w="1140" w:type="dxa"/>
            <w:shd w:val="clear" w:color="000000" w:fill="FFFFFF"/>
            <w:noWrap/>
            <w:vAlign w:val="center"/>
            <w:hideMark/>
          </w:tcPr>
          <w:p w14:paraId="773C8CFA" w14:textId="58CC0FC5"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16,0</w:t>
            </w:r>
          </w:p>
        </w:tc>
        <w:tc>
          <w:tcPr>
            <w:tcW w:w="1340" w:type="dxa"/>
            <w:shd w:val="clear" w:color="000000" w:fill="FFFFFF"/>
            <w:noWrap/>
            <w:vAlign w:val="center"/>
            <w:hideMark/>
          </w:tcPr>
          <w:p w14:paraId="68F95AD0" w14:textId="30473FCE"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11,6</w:t>
            </w:r>
          </w:p>
        </w:tc>
      </w:tr>
      <w:tr w:rsidR="00A63DC7" w:rsidRPr="00F36286" w14:paraId="5975D70E" w14:textId="77777777" w:rsidTr="00D95330">
        <w:trPr>
          <w:trHeight w:val="340"/>
        </w:trPr>
        <w:tc>
          <w:tcPr>
            <w:tcW w:w="1134" w:type="dxa"/>
            <w:shd w:val="clear" w:color="000000" w:fill="FFFFFF"/>
            <w:noWrap/>
            <w:vAlign w:val="center"/>
            <w:hideMark/>
          </w:tcPr>
          <w:p w14:paraId="2FFA0F16" w14:textId="77777777" w:rsidR="00A63DC7" w:rsidRPr="00F36286" w:rsidRDefault="00A63DC7" w:rsidP="00F36286">
            <w:pPr>
              <w:rPr>
                <w:rFonts w:ascii="Tahoma" w:hAnsi="Tahoma" w:cs="Tahoma"/>
                <w:color w:val="000000"/>
                <w:sz w:val="18"/>
                <w:szCs w:val="18"/>
              </w:rPr>
            </w:pPr>
            <w:r w:rsidRPr="00F36286">
              <w:rPr>
                <w:rFonts w:ascii="Tahoma" w:hAnsi="Tahoma" w:cs="Tahoma"/>
                <w:color w:val="000000"/>
                <w:sz w:val="18"/>
                <w:szCs w:val="18"/>
              </w:rPr>
              <w:t>2023</w:t>
            </w:r>
          </w:p>
        </w:tc>
        <w:tc>
          <w:tcPr>
            <w:tcW w:w="1606" w:type="dxa"/>
            <w:shd w:val="clear" w:color="000000" w:fill="FFFFFF"/>
            <w:noWrap/>
            <w:vAlign w:val="center"/>
            <w:hideMark/>
          </w:tcPr>
          <w:p w14:paraId="272189B3" w14:textId="77777777" w:rsidR="00A63DC7" w:rsidRPr="00F36286" w:rsidRDefault="00A63DC7" w:rsidP="00F36286">
            <w:pPr>
              <w:jc w:val="center"/>
              <w:rPr>
                <w:rFonts w:ascii="Tahoma" w:hAnsi="Tahoma" w:cs="Tahoma"/>
                <w:color w:val="000000"/>
                <w:sz w:val="18"/>
                <w:szCs w:val="18"/>
              </w:rPr>
            </w:pPr>
            <w:r w:rsidRPr="00F36286">
              <w:rPr>
                <w:rFonts w:ascii="Tahoma" w:hAnsi="Tahoma" w:cs="Tahoma"/>
                <w:color w:val="000000"/>
                <w:sz w:val="18"/>
                <w:szCs w:val="18"/>
              </w:rPr>
              <w:t>33</w:t>
            </w:r>
          </w:p>
        </w:tc>
        <w:tc>
          <w:tcPr>
            <w:tcW w:w="1040" w:type="dxa"/>
            <w:shd w:val="clear" w:color="000000" w:fill="FFFFFF"/>
            <w:noWrap/>
            <w:vAlign w:val="center"/>
            <w:hideMark/>
          </w:tcPr>
          <w:p w14:paraId="4CAC4F2D" w14:textId="35400760"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23,6</w:t>
            </w:r>
          </w:p>
        </w:tc>
        <w:tc>
          <w:tcPr>
            <w:tcW w:w="1140" w:type="dxa"/>
            <w:shd w:val="clear" w:color="000000" w:fill="FFFFFF"/>
            <w:noWrap/>
            <w:vAlign w:val="center"/>
            <w:hideMark/>
          </w:tcPr>
          <w:p w14:paraId="09663F34" w14:textId="4540C36B"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14,5</w:t>
            </w:r>
          </w:p>
        </w:tc>
        <w:tc>
          <w:tcPr>
            <w:tcW w:w="1340" w:type="dxa"/>
            <w:shd w:val="clear" w:color="000000" w:fill="FFFFFF"/>
            <w:noWrap/>
            <w:vAlign w:val="center"/>
            <w:hideMark/>
          </w:tcPr>
          <w:p w14:paraId="329356CD" w14:textId="3DF53E29" w:rsidR="00A63DC7" w:rsidRPr="00F36286" w:rsidRDefault="00A63DC7" w:rsidP="00F36286">
            <w:pPr>
              <w:jc w:val="right"/>
              <w:rPr>
                <w:rFonts w:ascii="Tahoma" w:hAnsi="Tahoma" w:cs="Tahoma"/>
                <w:color w:val="000000"/>
                <w:sz w:val="18"/>
                <w:szCs w:val="18"/>
              </w:rPr>
            </w:pPr>
            <w:r w:rsidRPr="00F36286">
              <w:rPr>
                <w:rFonts w:ascii="Tahoma" w:hAnsi="Tahoma" w:cs="Tahoma"/>
                <w:color w:val="000000"/>
                <w:sz w:val="18"/>
                <w:szCs w:val="18"/>
              </w:rPr>
              <w:t>10,7</w:t>
            </w:r>
          </w:p>
        </w:tc>
      </w:tr>
      <w:tr w:rsidR="00254F4A" w:rsidRPr="00F36286" w14:paraId="6070EDF5" w14:textId="77777777" w:rsidTr="00D95330">
        <w:trPr>
          <w:trHeight w:val="340"/>
        </w:trPr>
        <w:tc>
          <w:tcPr>
            <w:tcW w:w="1134" w:type="dxa"/>
            <w:shd w:val="clear" w:color="000000" w:fill="0098BA"/>
            <w:noWrap/>
            <w:vAlign w:val="center"/>
            <w:hideMark/>
          </w:tcPr>
          <w:p w14:paraId="18C81319" w14:textId="3A58E37C" w:rsidR="00A63DC7" w:rsidRPr="00F36286" w:rsidRDefault="00A63DC7">
            <w:pPr>
              <w:rPr>
                <w:rFonts w:ascii="Tahoma" w:hAnsi="Tahoma" w:cs="Tahoma"/>
                <w:color w:val="FFFFFF"/>
                <w:sz w:val="18"/>
                <w:szCs w:val="18"/>
              </w:rPr>
            </w:pPr>
            <w:r w:rsidRPr="00F36286">
              <w:rPr>
                <w:rFonts w:ascii="Tahoma" w:hAnsi="Tahoma" w:cs="Tahoma"/>
                <w:color w:val="FFFFFF"/>
                <w:sz w:val="18"/>
                <w:szCs w:val="18"/>
              </w:rPr>
              <w:t>Total</w:t>
            </w:r>
          </w:p>
        </w:tc>
        <w:tc>
          <w:tcPr>
            <w:tcW w:w="1606" w:type="dxa"/>
            <w:shd w:val="clear" w:color="000000" w:fill="0098BA"/>
            <w:noWrap/>
            <w:vAlign w:val="center"/>
            <w:hideMark/>
          </w:tcPr>
          <w:p w14:paraId="4E9165D8" w14:textId="77777777" w:rsidR="00A63DC7" w:rsidRPr="00F36286" w:rsidRDefault="00A63DC7" w:rsidP="00F36286">
            <w:pPr>
              <w:jc w:val="center"/>
              <w:rPr>
                <w:rFonts w:ascii="Tahoma" w:hAnsi="Tahoma" w:cs="Tahoma"/>
                <w:color w:val="FFFFFF"/>
                <w:sz w:val="18"/>
                <w:szCs w:val="18"/>
              </w:rPr>
            </w:pPr>
            <w:r w:rsidRPr="00F36286">
              <w:rPr>
                <w:rFonts w:ascii="Tahoma" w:hAnsi="Tahoma" w:cs="Tahoma"/>
                <w:color w:val="FFFFFF"/>
                <w:sz w:val="18"/>
                <w:szCs w:val="18"/>
              </w:rPr>
              <w:t>114</w:t>
            </w:r>
          </w:p>
        </w:tc>
        <w:tc>
          <w:tcPr>
            <w:tcW w:w="1040" w:type="dxa"/>
            <w:shd w:val="clear" w:color="000000" w:fill="0098BA"/>
            <w:noWrap/>
            <w:vAlign w:val="center"/>
            <w:hideMark/>
          </w:tcPr>
          <w:p w14:paraId="3AFCFF6A" w14:textId="77777777" w:rsidR="00A63DC7" w:rsidRPr="00F36286" w:rsidRDefault="00A63DC7" w:rsidP="00F36286">
            <w:pPr>
              <w:jc w:val="right"/>
              <w:rPr>
                <w:rFonts w:ascii="Tahoma" w:hAnsi="Tahoma" w:cs="Tahoma"/>
                <w:color w:val="FFFFFF"/>
                <w:sz w:val="18"/>
                <w:szCs w:val="18"/>
              </w:rPr>
            </w:pPr>
            <w:r w:rsidRPr="00F36286">
              <w:rPr>
                <w:rFonts w:ascii="Tahoma" w:hAnsi="Tahoma" w:cs="Tahoma"/>
                <w:color w:val="FFFFFF"/>
                <w:sz w:val="18"/>
                <w:szCs w:val="18"/>
              </w:rPr>
              <w:t>205,1</w:t>
            </w:r>
          </w:p>
        </w:tc>
        <w:tc>
          <w:tcPr>
            <w:tcW w:w="1140" w:type="dxa"/>
            <w:shd w:val="clear" w:color="000000" w:fill="0098BA"/>
            <w:noWrap/>
            <w:vAlign w:val="center"/>
            <w:hideMark/>
          </w:tcPr>
          <w:p w14:paraId="16DF4739" w14:textId="77777777" w:rsidR="00A63DC7" w:rsidRPr="00F36286" w:rsidRDefault="00A63DC7" w:rsidP="00F36286">
            <w:pPr>
              <w:jc w:val="right"/>
              <w:rPr>
                <w:rFonts w:ascii="Tahoma" w:hAnsi="Tahoma" w:cs="Tahoma"/>
                <w:color w:val="FFFFFF"/>
                <w:sz w:val="18"/>
                <w:szCs w:val="18"/>
              </w:rPr>
            </w:pPr>
            <w:r w:rsidRPr="00F36286">
              <w:rPr>
                <w:rFonts w:ascii="Tahoma" w:hAnsi="Tahoma" w:cs="Tahoma"/>
                <w:color w:val="FFFFFF"/>
                <w:sz w:val="18"/>
                <w:szCs w:val="18"/>
              </w:rPr>
              <w:t>129,5</w:t>
            </w:r>
          </w:p>
        </w:tc>
        <w:tc>
          <w:tcPr>
            <w:tcW w:w="1340" w:type="dxa"/>
            <w:shd w:val="clear" w:color="000000" w:fill="0098BA"/>
            <w:noWrap/>
            <w:vAlign w:val="center"/>
            <w:hideMark/>
          </w:tcPr>
          <w:p w14:paraId="0EBC14A6" w14:textId="77777777" w:rsidR="00A63DC7" w:rsidRPr="00F36286" w:rsidRDefault="00A63DC7" w:rsidP="00F36286">
            <w:pPr>
              <w:jc w:val="right"/>
              <w:rPr>
                <w:rFonts w:ascii="Tahoma" w:hAnsi="Tahoma" w:cs="Tahoma"/>
                <w:color w:val="FFFFFF"/>
                <w:sz w:val="18"/>
                <w:szCs w:val="18"/>
              </w:rPr>
            </w:pPr>
            <w:r w:rsidRPr="00F36286">
              <w:rPr>
                <w:rFonts w:ascii="Tahoma" w:hAnsi="Tahoma" w:cs="Tahoma"/>
                <w:color w:val="FFFFFF"/>
                <w:sz w:val="18"/>
                <w:szCs w:val="18"/>
              </w:rPr>
              <w:t>76,9</w:t>
            </w:r>
          </w:p>
        </w:tc>
      </w:tr>
    </w:tbl>
    <w:p w14:paraId="1FC23307" w14:textId="7F1BE43C" w:rsidR="00811585" w:rsidRPr="007152C5" w:rsidRDefault="00811585" w:rsidP="007152C5">
      <w:pPr>
        <w:spacing w:before="120" w:after="120"/>
        <w:rPr>
          <w:rFonts w:ascii="Tahoma" w:hAnsi="Tahoma" w:cs="Tahoma"/>
          <w:sz w:val="19"/>
          <w:szCs w:val="19"/>
        </w:rPr>
      </w:pPr>
    </w:p>
    <w:p w14:paraId="782C673C" w14:textId="45B2DE0E" w:rsidR="00811585" w:rsidRDefault="00811585" w:rsidP="00811585">
      <w:pPr>
        <w:jc w:val="both"/>
        <w:rPr>
          <w:rFonts w:ascii="Tahoma" w:hAnsi="Tahoma" w:cs="Tahoma"/>
          <w:color w:val="0098BA"/>
          <w:sz w:val="19"/>
          <w:szCs w:val="19"/>
        </w:rPr>
      </w:pPr>
      <w:r w:rsidRPr="007152C5">
        <w:rPr>
          <w:rFonts w:ascii="Tahoma" w:hAnsi="Tahoma" w:cs="Tahoma"/>
          <w:color w:val="0098BA"/>
          <w:sz w:val="19"/>
          <w:szCs w:val="19"/>
        </w:rPr>
        <w:t xml:space="preserve">Contratos vigentes - por modalidade de contratação </w:t>
      </w:r>
      <w:r w:rsidR="007152C5">
        <w:rPr>
          <w:rFonts w:ascii="Tahoma" w:hAnsi="Tahoma" w:cs="Tahoma"/>
          <w:color w:val="0098BA"/>
          <w:sz w:val="19"/>
          <w:szCs w:val="19"/>
        </w:rPr>
        <w:t>–</w:t>
      </w:r>
      <w:r w:rsidRPr="007152C5">
        <w:rPr>
          <w:rFonts w:ascii="Tahoma" w:hAnsi="Tahoma" w:cs="Tahoma"/>
          <w:color w:val="0098BA"/>
          <w:sz w:val="19"/>
          <w:szCs w:val="19"/>
        </w:rPr>
        <w:t xml:space="preserve"> 2023</w:t>
      </w:r>
    </w:p>
    <w:p w14:paraId="08730BDA" w14:textId="674E0A22" w:rsidR="009B4334" w:rsidRPr="009B4334" w:rsidRDefault="009B4334" w:rsidP="009E14AC">
      <w:pPr>
        <w:spacing w:before="120" w:after="120" w:line="360" w:lineRule="auto"/>
        <w:rPr>
          <w:rFonts w:ascii="Tahoma" w:hAnsi="Tahoma" w:cs="Tahoma"/>
          <w:sz w:val="19"/>
          <w:szCs w:val="19"/>
        </w:rPr>
      </w:pPr>
      <w:r w:rsidRPr="009B4334">
        <w:rPr>
          <w:rFonts w:ascii="Tahoma" w:hAnsi="Tahoma" w:cs="Tahoma"/>
          <w:sz w:val="19"/>
          <w:szCs w:val="19"/>
        </w:rPr>
        <w:t xml:space="preserve">Os gráficos seguintes apresentam o retrato dos contratos vigentes em 31/12/2023, por modalidade de contratação e por valor anualizado desses contratos. O pregão é a modalidade que prevalece sobre as </w:t>
      </w:r>
      <w:r w:rsidR="003F22D7">
        <w:rPr>
          <w:rFonts w:ascii="Tahoma" w:hAnsi="Tahoma" w:cs="Tahoma"/>
          <w:sz w:val="19"/>
          <w:szCs w:val="19"/>
        </w:rPr>
        <w:t>/</w:t>
      </w:r>
      <w:r w:rsidRPr="009B4334">
        <w:rPr>
          <w:rFonts w:ascii="Tahoma" w:hAnsi="Tahoma" w:cs="Tahoma"/>
          <w:sz w:val="19"/>
          <w:szCs w:val="19"/>
        </w:rPr>
        <w:t>demais, tanto na quantidade (60% do universo), quanto no valor anualizado (85% do universo).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640"/>
        <w:gridCol w:w="4476"/>
      </w:tblGrid>
      <w:tr w:rsidR="00FF5B45" w14:paraId="4BE5EB4E" w14:textId="77777777" w:rsidTr="00CE3B44">
        <w:tc>
          <w:tcPr>
            <w:tcW w:w="4640" w:type="dxa"/>
            <w:vAlign w:val="center"/>
          </w:tcPr>
          <w:p w14:paraId="0B5FE4A2" w14:textId="1CC1DAFD" w:rsidR="007152C5" w:rsidRDefault="00FF5B45" w:rsidP="00FF5B45">
            <w:pPr>
              <w:jc w:val="center"/>
              <w:rPr>
                <w:rFonts w:ascii="Tahoma" w:hAnsi="Tahoma" w:cs="Tahoma"/>
                <w:sz w:val="19"/>
                <w:szCs w:val="19"/>
              </w:rPr>
            </w:pPr>
            <w:r>
              <w:rPr>
                <w:noProof/>
              </w:rPr>
              <w:lastRenderedPageBreak/>
              <w:drawing>
                <wp:inline distT="0" distB="0" distL="0" distR="0" wp14:anchorId="53FAE7BD" wp14:editId="2F968C92">
                  <wp:extent cx="2657475" cy="2185670"/>
                  <wp:effectExtent l="0" t="0" r="0" b="5080"/>
                  <wp:docPr id="173114626" name="Gráfico 1">
                    <a:extLst xmlns:a="http://schemas.openxmlformats.org/drawingml/2006/main">
                      <a:ext uri="{FF2B5EF4-FFF2-40B4-BE49-F238E27FC236}">
                        <a16:creationId xmlns:a16="http://schemas.microsoft.com/office/drawing/2014/main" id="{AC6C521A-5733-4AB0-8012-B17F626915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tc>
        <w:tc>
          <w:tcPr>
            <w:tcW w:w="4476" w:type="dxa"/>
            <w:vAlign w:val="center"/>
          </w:tcPr>
          <w:p w14:paraId="78D2D944" w14:textId="64015D96" w:rsidR="007152C5" w:rsidRDefault="00CE3B44" w:rsidP="00FF5B45">
            <w:pPr>
              <w:jc w:val="center"/>
              <w:rPr>
                <w:rFonts w:ascii="Tahoma" w:hAnsi="Tahoma" w:cs="Tahoma"/>
                <w:sz w:val="19"/>
                <w:szCs w:val="19"/>
              </w:rPr>
            </w:pPr>
            <w:r>
              <w:rPr>
                <w:noProof/>
              </w:rPr>
              <w:drawing>
                <wp:inline distT="0" distB="0" distL="0" distR="0" wp14:anchorId="23701E75" wp14:editId="3D9B7E61">
                  <wp:extent cx="2511425" cy="2212340"/>
                  <wp:effectExtent l="0" t="0" r="3175" b="0"/>
                  <wp:docPr id="337041086" name="Gráfico 1">
                    <a:extLst xmlns:a="http://schemas.openxmlformats.org/drawingml/2006/main">
                      <a:ext uri="{FF2B5EF4-FFF2-40B4-BE49-F238E27FC236}">
                        <a16:creationId xmlns:a16="http://schemas.microsoft.com/office/drawing/2014/main" id="{EDC47BDA-E965-446B-B0C4-0133542178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tc>
      </w:tr>
    </w:tbl>
    <w:p w14:paraId="3107DDC9" w14:textId="77777777" w:rsidR="00811585" w:rsidRDefault="00811585" w:rsidP="00CE3B44">
      <w:pPr>
        <w:spacing w:before="120" w:after="120" w:line="360" w:lineRule="auto"/>
        <w:rPr>
          <w:rFonts w:ascii="Tahoma" w:hAnsi="Tahoma" w:cs="Tahoma"/>
          <w:sz w:val="19"/>
          <w:szCs w:val="19"/>
        </w:rPr>
      </w:pPr>
      <w:r w:rsidRPr="00CE3B44">
        <w:rPr>
          <w:rFonts w:ascii="Tahoma" w:hAnsi="Tahoma" w:cs="Tahoma"/>
          <w:sz w:val="19"/>
          <w:szCs w:val="19"/>
        </w:rPr>
        <w:t>Em 31/12/2023, considerando a área demandante da contratação, os maiores demandantes, por quantidade de contratos, foram as áreas de: Logística (34%), TI (23%) e Gestão de Pessoas (15%), que ocupam 72% do total de contratos. Por sua vez, quando visualizamos os valores dos contratos, temos a seguinte ponderação: Gestão de Pessoas (31%), TI (33%) e Logística (22%), totalizando nessas três áreas 86% de todo o volume, em valores anualizados dos contratos.</w:t>
      </w:r>
    </w:p>
    <w:p w14:paraId="6149F377" w14:textId="77777777" w:rsidR="00994825" w:rsidRPr="00CE3B44" w:rsidRDefault="00994825" w:rsidP="00CE3B44">
      <w:pPr>
        <w:spacing w:before="120" w:after="120" w:line="360" w:lineRule="auto"/>
        <w:rPr>
          <w:rFonts w:ascii="Tahoma" w:hAnsi="Tahoma" w:cs="Tahoma"/>
          <w:sz w:val="19"/>
          <w:szCs w:val="19"/>
        </w:rPr>
      </w:pPr>
    </w:p>
    <w:p w14:paraId="15D43DE4" w14:textId="4FCF1C6F" w:rsidR="00811585" w:rsidRPr="00D55685" w:rsidRDefault="00811585" w:rsidP="009E14AC">
      <w:pPr>
        <w:jc w:val="both"/>
        <w:rPr>
          <w:rFonts w:ascii="Tahoma" w:hAnsi="Tahoma" w:cs="Tahoma"/>
          <w:color w:val="0098BA"/>
          <w:sz w:val="19"/>
          <w:szCs w:val="19"/>
        </w:rPr>
      </w:pPr>
      <w:r w:rsidRPr="00D55685">
        <w:rPr>
          <w:rFonts w:ascii="Tahoma" w:hAnsi="Tahoma" w:cs="Tahoma"/>
          <w:color w:val="0098BA"/>
          <w:sz w:val="19"/>
          <w:szCs w:val="19"/>
        </w:rPr>
        <w:t xml:space="preserve">Contratos vigentes </w:t>
      </w:r>
      <w:r w:rsidR="003F22D7">
        <w:rPr>
          <w:rFonts w:ascii="Tahoma" w:hAnsi="Tahoma" w:cs="Tahoma"/>
          <w:color w:val="0098BA"/>
          <w:sz w:val="19"/>
          <w:szCs w:val="19"/>
        </w:rPr>
        <w:t>–</w:t>
      </w:r>
      <w:r w:rsidRPr="00D55685">
        <w:rPr>
          <w:rFonts w:ascii="Tahoma" w:hAnsi="Tahoma" w:cs="Tahoma"/>
          <w:color w:val="0098BA"/>
          <w:sz w:val="19"/>
          <w:szCs w:val="19"/>
        </w:rPr>
        <w:t xml:space="preserve"> por área demandante </w:t>
      </w:r>
      <w:r w:rsidR="00D55685" w:rsidRPr="00D55685">
        <w:rPr>
          <w:rFonts w:ascii="Tahoma" w:hAnsi="Tahoma" w:cs="Tahoma"/>
          <w:color w:val="0098BA"/>
          <w:sz w:val="19"/>
          <w:szCs w:val="19"/>
        </w:rPr>
        <w:t>–</w:t>
      </w:r>
      <w:r w:rsidRPr="00D55685">
        <w:rPr>
          <w:rFonts w:ascii="Tahoma" w:hAnsi="Tahoma" w:cs="Tahoma"/>
          <w:color w:val="0098BA"/>
          <w:sz w:val="19"/>
          <w:szCs w:val="19"/>
        </w:rPr>
        <w:t xml:space="preserve"> 2023</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426"/>
        <w:gridCol w:w="4700"/>
      </w:tblGrid>
      <w:tr w:rsidR="00BA3884" w14:paraId="400ED3A8" w14:textId="77777777" w:rsidTr="00BA3884">
        <w:tc>
          <w:tcPr>
            <w:tcW w:w="4610" w:type="dxa"/>
            <w:vAlign w:val="center"/>
          </w:tcPr>
          <w:p w14:paraId="6E3A1C9E" w14:textId="4D919D37" w:rsidR="00D55685" w:rsidRDefault="00D55685" w:rsidP="00D55685">
            <w:pPr>
              <w:jc w:val="center"/>
              <w:rPr>
                <w:rFonts w:ascii="Tahoma" w:hAnsi="Tahoma" w:cs="Tahoma"/>
                <w:sz w:val="19"/>
                <w:szCs w:val="19"/>
              </w:rPr>
            </w:pPr>
            <w:r>
              <w:rPr>
                <w:noProof/>
              </w:rPr>
              <w:drawing>
                <wp:inline distT="0" distB="0" distL="0" distR="0" wp14:anchorId="66491B0C" wp14:editId="4D820D0B">
                  <wp:extent cx="2648310" cy="2251494"/>
                  <wp:effectExtent l="0" t="0" r="0" b="0"/>
                  <wp:docPr id="1389091572" name="Gráfico 1">
                    <a:extLst xmlns:a="http://schemas.openxmlformats.org/drawingml/2006/main">
                      <a:ext uri="{FF2B5EF4-FFF2-40B4-BE49-F238E27FC236}">
                        <a16:creationId xmlns:a16="http://schemas.microsoft.com/office/drawing/2014/main" id="{6DE5AE92-CF46-4EF9-9486-449B1345DD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tc>
        <w:tc>
          <w:tcPr>
            <w:tcW w:w="4506" w:type="dxa"/>
            <w:vAlign w:val="center"/>
          </w:tcPr>
          <w:p w14:paraId="4668DDB9" w14:textId="5370BA22" w:rsidR="00D55685" w:rsidRDefault="00D55685" w:rsidP="00D55685">
            <w:pPr>
              <w:jc w:val="center"/>
              <w:rPr>
                <w:rFonts w:ascii="Tahoma" w:hAnsi="Tahoma" w:cs="Tahoma"/>
                <w:sz w:val="19"/>
                <w:szCs w:val="19"/>
              </w:rPr>
            </w:pPr>
            <w:r>
              <w:rPr>
                <w:noProof/>
              </w:rPr>
              <w:drawing>
                <wp:inline distT="0" distB="0" distL="0" distR="0" wp14:anchorId="26A18205" wp14:editId="529CE975">
                  <wp:extent cx="2888615" cy="2320086"/>
                  <wp:effectExtent l="0" t="0" r="6985" b="4445"/>
                  <wp:docPr id="433413237" name="Gráfico 1">
                    <a:extLst xmlns:a="http://schemas.openxmlformats.org/drawingml/2006/main">
                      <a:ext uri="{FF2B5EF4-FFF2-40B4-BE49-F238E27FC236}">
                        <a16:creationId xmlns:a16="http://schemas.microsoft.com/office/drawing/2014/main" id="{68CAB045-5FBA-4407-8FEF-B6F065D6F6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tc>
      </w:tr>
    </w:tbl>
    <w:p w14:paraId="48ABC267" w14:textId="44632529" w:rsidR="00811585" w:rsidRPr="00BA3884" w:rsidRDefault="00811585" w:rsidP="00BA3884">
      <w:pPr>
        <w:spacing w:before="120" w:after="120" w:line="360" w:lineRule="auto"/>
        <w:rPr>
          <w:rFonts w:ascii="Tahoma" w:hAnsi="Tahoma" w:cs="Tahoma"/>
          <w:sz w:val="19"/>
          <w:szCs w:val="19"/>
        </w:rPr>
      </w:pPr>
      <w:r w:rsidRPr="00BA3884">
        <w:rPr>
          <w:rFonts w:ascii="Tahoma" w:hAnsi="Tahoma" w:cs="Tahoma"/>
          <w:sz w:val="19"/>
          <w:szCs w:val="19"/>
        </w:rPr>
        <w:t xml:space="preserve">A estratégia corporativa para o constante aprimoramento da eficiência organizacional, alinhada à cultura de gestão orientada a resultados por meio da otimização e automação de processos com uso de tecnologia, motivaram a Finep a contratações vinculadas à área de TI. Nesse contexto, destaca-se a contratação de plataforma digital integrada com acesso a atividades físicas online e presenciais, fortalecida pela ampla aquisição de </w:t>
      </w:r>
      <w:r w:rsidRPr="00254F4A">
        <w:rPr>
          <w:rFonts w:ascii="Tahoma" w:hAnsi="Tahoma"/>
          <w:i/>
          <w:sz w:val="19"/>
        </w:rPr>
        <w:t>notebooks</w:t>
      </w:r>
      <w:r w:rsidRPr="00BA3884">
        <w:rPr>
          <w:rFonts w:ascii="Tahoma" w:hAnsi="Tahoma" w:cs="Tahoma"/>
          <w:sz w:val="19"/>
          <w:szCs w:val="19"/>
        </w:rPr>
        <w:t xml:space="preserve">, o que foi fundamental para a consolidação da adoção do trabalho </w:t>
      </w:r>
      <w:r w:rsidR="00BA3884">
        <w:rPr>
          <w:rFonts w:ascii="Tahoma" w:hAnsi="Tahoma" w:cs="Tahoma"/>
          <w:sz w:val="19"/>
          <w:szCs w:val="19"/>
        </w:rPr>
        <w:t>híbrido</w:t>
      </w:r>
      <w:r w:rsidRPr="00BA3884">
        <w:rPr>
          <w:rFonts w:ascii="Tahoma" w:hAnsi="Tahoma" w:cs="Tahoma"/>
          <w:sz w:val="19"/>
          <w:szCs w:val="19"/>
        </w:rPr>
        <w:t xml:space="preserve">. Adicionalmente, foi dada atenção à operação de infraestrutura e atendimento remoto e presencial ao usuário de TI através de Central de Serviços. Não menos importante foram contratações para suporte à gestão, com destaque para </w:t>
      </w:r>
      <w:r w:rsidR="00BA3884">
        <w:rPr>
          <w:rFonts w:ascii="Tahoma" w:hAnsi="Tahoma" w:cs="Tahoma"/>
          <w:sz w:val="19"/>
          <w:szCs w:val="19"/>
        </w:rPr>
        <w:t xml:space="preserve">o estudo sobre </w:t>
      </w:r>
      <w:r w:rsidRPr="00BA3884">
        <w:rPr>
          <w:rFonts w:ascii="Tahoma" w:hAnsi="Tahoma" w:cs="Tahoma"/>
          <w:sz w:val="19"/>
          <w:szCs w:val="19"/>
        </w:rPr>
        <w:t>o Modelo de Excelência da Gestão (MEG), serviços de auditoria independente sobre as demonstrações contábeis da Finep e para oferta de serviços de instituição financeira autorizados pelo Banco Central do Brasil.</w:t>
      </w:r>
    </w:p>
    <w:p w14:paraId="6EA8C8F6" w14:textId="36B8DD0E" w:rsidR="00025878" w:rsidRDefault="00811585" w:rsidP="007D161B">
      <w:pPr>
        <w:spacing w:before="120" w:after="120" w:line="360" w:lineRule="auto"/>
        <w:rPr>
          <w:rFonts w:ascii="Tahoma" w:hAnsi="Tahoma" w:cs="Tahoma"/>
          <w:sz w:val="19"/>
          <w:szCs w:val="19"/>
        </w:rPr>
      </w:pPr>
      <w:r w:rsidRPr="00BA3884">
        <w:rPr>
          <w:rFonts w:ascii="Tahoma" w:hAnsi="Tahoma" w:cs="Tahoma"/>
          <w:sz w:val="19"/>
          <w:szCs w:val="19"/>
        </w:rPr>
        <w:lastRenderedPageBreak/>
        <w:t xml:space="preserve">Os gráficos a seguir apresentam informação das modalidades de </w:t>
      </w:r>
      <w:r w:rsidR="00025878" w:rsidRPr="00BA3884">
        <w:rPr>
          <w:rFonts w:ascii="Tahoma" w:hAnsi="Tahoma" w:cs="Tahoma"/>
          <w:sz w:val="19"/>
          <w:szCs w:val="19"/>
        </w:rPr>
        <w:t xml:space="preserve">novas </w:t>
      </w:r>
      <w:r w:rsidRPr="00BA3884">
        <w:rPr>
          <w:rFonts w:ascii="Tahoma" w:hAnsi="Tahoma" w:cs="Tahoma"/>
          <w:sz w:val="19"/>
          <w:szCs w:val="19"/>
        </w:rPr>
        <w:t>contratações realizadas no ano de 2023. Como pode ser observado, o pregão é a forma preponderante de contratação, representando 91,8% do valor global contratado e 61% da quantidade de contratos.</w:t>
      </w:r>
    </w:p>
    <w:p w14:paraId="435100C0" w14:textId="0A22996B" w:rsidR="00811585" w:rsidRDefault="00811585" w:rsidP="009E14AC">
      <w:pPr>
        <w:rPr>
          <w:rFonts w:ascii="Tahoma" w:hAnsi="Tahoma" w:cs="Tahoma"/>
          <w:color w:val="0098BA"/>
          <w:sz w:val="19"/>
          <w:szCs w:val="19"/>
        </w:rPr>
      </w:pPr>
      <w:r w:rsidRPr="00025878">
        <w:rPr>
          <w:rFonts w:ascii="Tahoma" w:hAnsi="Tahoma" w:cs="Tahoma"/>
          <w:color w:val="0098BA"/>
          <w:sz w:val="19"/>
          <w:szCs w:val="19"/>
        </w:rPr>
        <w:t xml:space="preserve">Novas contratações – por modalidade de contratação </w:t>
      </w:r>
      <w:r w:rsidR="00025878">
        <w:rPr>
          <w:rFonts w:ascii="Tahoma" w:hAnsi="Tahoma" w:cs="Tahoma"/>
          <w:color w:val="0098BA"/>
          <w:sz w:val="19"/>
          <w:szCs w:val="19"/>
        </w:rPr>
        <w:t>–</w:t>
      </w:r>
      <w:r w:rsidRPr="00025878">
        <w:rPr>
          <w:rFonts w:ascii="Tahoma" w:hAnsi="Tahoma" w:cs="Tahoma"/>
          <w:color w:val="0098BA"/>
          <w:sz w:val="19"/>
          <w:szCs w:val="19"/>
        </w:rPr>
        <w:t xml:space="preserve"> 2023</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558"/>
      </w:tblGrid>
      <w:tr w:rsidR="00025878" w14:paraId="48722EA0" w14:textId="77777777" w:rsidTr="00025878">
        <w:tc>
          <w:tcPr>
            <w:tcW w:w="4558" w:type="dxa"/>
            <w:vAlign w:val="center"/>
          </w:tcPr>
          <w:p w14:paraId="4401D14F" w14:textId="2EC1A478" w:rsidR="00025878" w:rsidRDefault="00025878" w:rsidP="00025878">
            <w:pPr>
              <w:jc w:val="center"/>
              <w:rPr>
                <w:rFonts w:ascii="Tahoma" w:hAnsi="Tahoma" w:cs="Tahoma"/>
                <w:sz w:val="19"/>
                <w:szCs w:val="19"/>
              </w:rPr>
            </w:pPr>
            <w:r w:rsidRPr="000F51E1">
              <w:rPr>
                <w:rFonts w:ascii="Tahoma" w:hAnsi="Tahoma" w:cs="Tahoma"/>
                <w:noProof/>
                <w:sz w:val="20"/>
                <w:szCs w:val="20"/>
              </w:rPr>
              <w:drawing>
                <wp:inline distT="0" distB="0" distL="0" distR="0" wp14:anchorId="55CF6742" wp14:editId="10B93CC0">
                  <wp:extent cx="2310765" cy="2479539"/>
                  <wp:effectExtent l="0" t="0" r="0" b="0"/>
                  <wp:docPr id="1857735370" name="Gráfico 1">
                    <a:extLst xmlns:a="http://schemas.openxmlformats.org/drawingml/2006/main">
                      <a:ext uri="{FF2B5EF4-FFF2-40B4-BE49-F238E27FC236}">
                        <a16:creationId xmlns:a16="http://schemas.microsoft.com/office/drawing/2014/main" id="{150BA96F-7693-4A8E-8C70-0295D037D1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tc>
        <w:tc>
          <w:tcPr>
            <w:tcW w:w="4558" w:type="dxa"/>
            <w:vAlign w:val="center"/>
          </w:tcPr>
          <w:p w14:paraId="14C79A2B" w14:textId="54B274D2" w:rsidR="00025878" w:rsidRDefault="00025878" w:rsidP="00025878">
            <w:pPr>
              <w:jc w:val="center"/>
              <w:rPr>
                <w:rFonts w:ascii="Tahoma" w:hAnsi="Tahoma" w:cs="Tahoma"/>
                <w:sz w:val="19"/>
                <w:szCs w:val="19"/>
              </w:rPr>
            </w:pPr>
            <w:r w:rsidRPr="000F51E1">
              <w:rPr>
                <w:rFonts w:ascii="Tahoma" w:hAnsi="Tahoma" w:cs="Tahoma"/>
                <w:noProof/>
                <w:sz w:val="20"/>
                <w:szCs w:val="20"/>
              </w:rPr>
              <w:drawing>
                <wp:inline distT="0" distB="0" distL="0" distR="0" wp14:anchorId="5D387454" wp14:editId="146576D4">
                  <wp:extent cx="2092325" cy="2479542"/>
                  <wp:effectExtent l="0" t="0" r="3175" b="0"/>
                  <wp:docPr id="345532852" name="Gráfico 1">
                    <a:extLst xmlns:a="http://schemas.openxmlformats.org/drawingml/2006/main">
                      <a:ext uri="{FF2B5EF4-FFF2-40B4-BE49-F238E27FC236}">
                        <a16:creationId xmlns:a16="http://schemas.microsoft.com/office/drawing/2014/main" id="{58CE0FBB-D4A6-41A0-A23C-110A9D8C3D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tc>
      </w:tr>
    </w:tbl>
    <w:p w14:paraId="4F107CEE" w14:textId="6E26D577" w:rsidR="00811585" w:rsidRPr="00025878" w:rsidRDefault="00811585" w:rsidP="00025878">
      <w:pPr>
        <w:spacing w:before="120" w:after="120" w:line="360" w:lineRule="auto"/>
        <w:jc w:val="both"/>
        <w:rPr>
          <w:rFonts w:ascii="Tahoma" w:hAnsi="Tahoma" w:cs="Tahoma"/>
          <w:sz w:val="19"/>
          <w:szCs w:val="19"/>
        </w:rPr>
      </w:pPr>
      <w:r w:rsidRPr="00025878">
        <w:rPr>
          <w:rFonts w:ascii="Tahoma" w:hAnsi="Tahoma" w:cs="Tahoma"/>
          <w:sz w:val="19"/>
          <w:szCs w:val="19"/>
        </w:rPr>
        <w:t xml:space="preserve">Ainda sobre as contratações no ano de 2023, os maiores demandantes, por quantidade de contratos efetuados em 2023, são as áreas de: Logística (24%), Gestão de Pessoas (18%) e TI (24%), com 66% do total de contratos novos em </w:t>
      </w:r>
      <w:proofErr w:type="gramStart"/>
      <w:r w:rsidRPr="00025878">
        <w:rPr>
          <w:rFonts w:ascii="Tahoma" w:hAnsi="Tahoma" w:cs="Tahoma"/>
          <w:sz w:val="19"/>
          <w:szCs w:val="19"/>
        </w:rPr>
        <w:t>2023.</w:t>
      </w:r>
      <w:r w:rsidR="0026768B">
        <w:rPr>
          <w:rFonts w:ascii="Tahoma" w:hAnsi="Tahoma" w:cs="Tahoma"/>
          <w:sz w:val="19"/>
          <w:szCs w:val="19"/>
        </w:rPr>
        <w:t>/</w:t>
      </w:r>
      <w:proofErr w:type="gramEnd"/>
      <w:r w:rsidR="0026768B">
        <w:rPr>
          <w:rFonts w:ascii="Tahoma" w:hAnsi="Tahoma" w:cs="Tahoma"/>
          <w:sz w:val="19"/>
          <w:szCs w:val="19"/>
        </w:rPr>
        <w:t>/</w:t>
      </w:r>
    </w:p>
    <w:p w14:paraId="469592B3" w14:textId="77777777" w:rsidR="00811585" w:rsidRPr="00025878" w:rsidRDefault="00811585" w:rsidP="00025878">
      <w:pPr>
        <w:spacing w:before="120" w:after="120" w:line="360" w:lineRule="auto"/>
        <w:jc w:val="both"/>
        <w:rPr>
          <w:rFonts w:ascii="Tahoma" w:hAnsi="Tahoma" w:cs="Tahoma"/>
          <w:sz w:val="19"/>
          <w:szCs w:val="19"/>
        </w:rPr>
      </w:pPr>
      <w:r w:rsidRPr="00025878">
        <w:rPr>
          <w:rFonts w:ascii="Tahoma" w:hAnsi="Tahoma" w:cs="Tahoma"/>
          <w:sz w:val="19"/>
          <w:szCs w:val="19"/>
        </w:rPr>
        <w:t xml:space="preserve">E, no caso dos valores dos contratos, temos a seguinte ponderação: Comunicação (51%), TI (28%) </w:t>
      </w:r>
      <w:proofErr w:type="gramStart"/>
      <w:r w:rsidRPr="00025878">
        <w:rPr>
          <w:rFonts w:ascii="Tahoma" w:hAnsi="Tahoma" w:cs="Tahoma"/>
          <w:sz w:val="19"/>
          <w:szCs w:val="19"/>
        </w:rPr>
        <w:t>e Financeiro</w:t>
      </w:r>
      <w:proofErr w:type="gramEnd"/>
      <w:r w:rsidRPr="00025878">
        <w:rPr>
          <w:rFonts w:ascii="Tahoma" w:hAnsi="Tahoma" w:cs="Tahoma"/>
          <w:sz w:val="19"/>
          <w:szCs w:val="19"/>
        </w:rPr>
        <w:t xml:space="preserve"> (9%), totalizando nessas três áreas 88% de todo o volume, em valores globais contratados em 2023.</w:t>
      </w:r>
    </w:p>
    <w:p w14:paraId="7329A781" w14:textId="77777777" w:rsidR="00811585" w:rsidRDefault="00811585" w:rsidP="009E14AC">
      <w:pPr>
        <w:jc w:val="both"/>
        <w:rPr>
          <w:rFonts w:ascii="Tahoma" w:hAnsi="Tahoma" w:cs="Tahoma"/>
          <w:color w:val="0098BA"/>
          <w:sz w:val="19"/>
          <w:szCs w:val="19"/>
        </w:rPr>
      </w:pPr>
      <w:r w:rsidRPr="00025878">
        <w:rPr>
          <w:rFonts w:ascii="Tahoma" w:hAnsi="Tahoma" w:cs="Tahoma"/>
          <w:color w:val="0098BA"/>
          <w:sz w:val="19"/>
          <w:szCs w:val="19"/>
        </w:rPr>
        <w:t>Novas contratações em 2023 – por área demandante</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726"/>
        <w:gridCol w:w="4400"/>
      </w:tblGrid>
      <w:tr w:rsidR="003D17B2" w14:paraId="3786609C" w14:textId="77777777" w:rsidTr="009E14AC">
        <w:tc>
          <w:tcPr>
            <w:tcW w:w="4970" w:type="dxa"/>
            <w:vAlign w:val="center"/>
          </w:tcPr>
          <w:p w14:paraId="3564852D" w14:textId="0E2A868B" w:rsidR="003D17B2" w:rsidRDefault="003D17B2" w:rsidP="003D17B2">
            <w:pPr>
              <w:jc w:val="center"/>
              <w:rPr>
                <w:rFonts w:ascii="Tahoma" w:hAnsi="Tahoma" w:cs="Tahoma"/>
                <w:sz w:val="19"/>
                <w:szCs w:val="19"/>
              </w:rPr>
            </w:pPr>
            <w:r>
              <w:rPr>
                <w:noProof/>
              </w:rPr>
              <w:drawing>
                <wp:inline distT="0" distB="0" distL="0" distR="0" wp14:anchorId="10783719" wp14:editId="1B85FA87">
                  <wp:extent cx="2882900" cy="2484408"/>
                  <wp:effectExtent l="0" t="0" r="0" b="0"/>
                  <wp:docPr id="715071609" name="Gráfico 1">
                    <a:extLst xmlns:a="http://schemas.openxmlformats.org/drawingml/2006/main">
                      <a:ext uri="{FF2B5EF4-FFF2-40B4-BE49-F238E27FC236}">
                        <a16:creationId xmlns:a16="http://schemas.microsoft.com/office/drawing/2014/main" id="{BD4A0EB6-CEF8-4798-A61C-2896D20363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tc>
        <w:tc>
          <w:tcPr>
            <w:tcW w:w="4146" w:type="dxa"/>
            <w:vAlign w:val="center"/>
          </w:tcPr>
          <w:p w14:paraId="6C55ED88" w14:textId="445BD9DF" w:rsidR="003D17B2" w:rsidRDefault="003D17B2" w:rsidP="003D17B2">
            <w:pPr>
              <w:jc w:val="center"/>
              <w:rPr>
                <w:rFonts w:ascii="Tahoma" w:hAnsi="Tahoma" w:cs="Tahoma"/>
                <w:sz w:val="19"/>
                <w:szCs w:val="19"/>
              </w:rPr>
            </w:pPr>
            <w:r>
              <w:rPr>
                <w:noProof/>
              </w:rPr>
              <w:drawing>
                <wp:inline distT="0" distB="0" distL="0" distR="0" wp14:anchorId="12C20998" wp14:editId="7DE8CE74">
                  <wp:extent cx="2698115" cy="2424023"/>
                  <wp:effectExtent l="0" t="0" r="6985" b="0"/>
                  <wp:docPr id="418937091" name="Gráfico 1">
                    <a:extLst xmlns:a="http://schemas.openxmlformats.org/drawingml/2006/main">
                      <a:ext uri="{FF2B5EF4-FFF2-40B4-BE49-F238E27FC236}">
                        <a16:creationId xmlns:a16="http://schemas.microsoft.com/office/drawing/2014/main" id="{D1699C81-51A7-4B81-A138-04226F7D5F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tc>
      </w:tr>
    </w:tbl>
    <w:p w14:paraId="04871042" w14:textId="5C8708BE" w:rsidR="009E14AC" w:rsidRDefault="0026768B" w:rsidP="009E14AC">
      <w:pPr>
        <w:spacing w:before="120" w:after="120" w:line="360" w:lineRule="auto"/>
        <w:jc w:val="both"/>
        <w:rPr>
          <w:rFonts w:ascii="Tahoma" w:hAnsi="Tahoma" w:cs="Tahoma"/>
          <w:sz w:val="19"/>
          <w:szCs w:val="19"/>
        </w:rPr>
      </w:pPr>
      <w:r>
        <w:rPr>
          <w:rFonts w:ascii="Tahoma" w:hAnsi="Tahoma" w:cs="Tahoma"/>
          <w:sz w:val="19"/>
          <w:szCs w:val="19"/>
        </w:rPr>
        <w:t>//</w:t>
      </w:r>
      <w:r w:rsidR="00811585" w:rsidRPr="009E14AC">
        <w:rPr>
          <w:rFonts w:ascii="Tahoma" w:hAnsi="Tahoma" w:cs="Tahoma"/>
          <w:sz w:val="19"/>
          <w:szCs w:val="19"/>
        </w:rPr>
        <w:t xml:space="preserve">Cabe observar que em 2023 foi aprovada a versão 2 do </w:t>
      </w:r>
      <w:hyperlink r:id="rId275" w:history="1">
        <w:r w:rsidR="00811585" w:rsidRPr="009E14AC">
          <w:rPr>
            <w:rStyle w:val="Hyperlink"/>
            <w:rFonts w:ascii="Tahoma" w:hAnsi="Tahoma" w:cs="Tahoma"/>
            <w:sz w:val="19"/>
            <w:szCs w:val="19"/>
          </w:rPr>
          <w:t>Regulamento de Licitações, Contratações e Contratos</w:t>
        </w:r>
      </w:hyperlink>
      <w:r w:rsidR="00811585" w:rsidRPr="009E14AC">
        <w:rPr>
          <w:rFonts w:ascii="Tahoma" w:hAnsi="Tahoma" w:cs="Tahoma"/>
          <w:sz w:val="19"/>
          <w:szCs w:val="19"/>
        </w:rPr>
        <w:t>, trazendo novas rotinas, segurança e controle para os processos de contratação e execução contratual. A revisão provocou alteração dos modelos utilizados nesses processos, alinhando-se ao objetivo estratégico da empresa em aprimorar a eficiência organizacional, racionalizando os usos dos recursos. No novo Regulamento é tratado como compromisso da Finep com a sustentabilidade em sua dimensão social, econômica e ambiental.</w:t>
      </w:r>
      <w:r w:rsidR="009E14AC">
        <w:rPr>
          <w:rFonts w:ascii="Tahoma" w:hAnsi="Tahoma" w:cs="Tahoma"/>
          <w:sz w:val="19"/>
          <w:szCs w:val="19"/>
        </w:rPr>
        <w:br w:type="page"/>
      </w:r>
    </w:p>
    <w:p w14:paraId="0413F639" w14:textId="4182E99A" w:rsidR="00A764BC" w:rsidRPr="00B20EC8" w:rsidRDefault="00CF7FC7" w:rsidP="00B20EC8">
      <w:pPr>
        <w:pStyle w:val="Ttulo1"/>
        <w:spacing w:line="259" w:lineRule="auto"/>
        <w:ind w:left="432" w:hanging="432"/>
        <w:rPr>
          <w:rFonts w:ascii="Tahoma" w:eastAsiaTheme="majorEastAsia" w:hAnsi="Tahoma" w:cs="Tahoma"/>
          <w:color w:val="0098BA"/>
          <w:sz w:val="28"/>
          <w:szCs w:val="28"/>
          <w:lang w:eastAsia="en-US"/>
        </w:rPr>
      </w:pPr>
      <w:bookmarkStart w:id="333" w:name="_Toc163025282"/>
      <w:bookmarkStart w:id="334" w:name="_Toc162512618"/>
      <w:r w:rsidRPr="00B20EC8">
        <w:rPr>
          <w:rFonts w:ascii="Tahoma" w:eastAsiaTheme="majorEastAsia" w:hAnsi="Tahoma" w:cs="Tahoma"/>
          <w:color w:val="0098BA"/>
          <w:sz w:val="28"/>
          <w:szCs w:val="28"/>
          <w:lang w:eastAsia="en-US"/>
        </w:rPr>
        <w:lastRenderedPageBreak/>
        <w:t xml:space="preserve">Nosso </w:t>
      </w:r>
      <w:r w:rsidR="00A764BC" w:rsidRPr="00B20EC8">
        <w:rPr>
          <w:rFonts w:ascii="Tahoma" w:eastAsiaTheme="majorEastAsia" w:hAnsi="Tahoma" w:cs="Tahoma"/>
          <w:color w:val="0098BA"/>
          <w:sz w:val="28"/>
          <w:szCs w:val="28"/>
          <w:lang w:eastAsia="en-US"/>
        </w:rPr>
        <w:t>F</w:t>
      </w:r>
      <w:r w:rsidRPr="00B20EC8">
        <w:rPr>
          <w:rFonts w:ascii="Tahoma" w:eastAsiaTheme="majorEastAsia" w:hAnsi="Tahoma" w:cs="Tahoma"/>
          <w:color w:val="0098BA"/>
          <w:sz w:val="28"/>
          <w:szCs w:val="28"/>
          <w:lang w:eastAsia="en-US"/>
        </w:rPr>
        <w:t>uturo</w:t>
      </w:r>
      <w:bookmarkEnd w:id="333"/>
      <w:bookmarkEnd w:id="334"/>
    </w:p>
    <w:p w14:paraId="0120DA2D" w14:textId="1AA941E3" w:rsidR="001C00F8" w:rsidRPr="00640044" w:rsidRDefault="001C00F8" w:rsidP="001C00F8">
      <w:pPr>
        <w:pBdr>
          <w:top w:val="single" w:sz="4" w:space="1" w:color="0098BA"/>
          <w:left w:val="single" w:sz="4" w:space="4" w:color="0098BA"/>
          <w:bottom w:val="single" w:sz="4" w:space="1" w:color="0098BA"/>
          <w:right w:val="single" w:sz="4" w:space="4" w:color="0098BA"/>
        </w:pBdr>
        <w:spacing w:before="120" w:after="120"/>
        <w:rPr>
          <w:rFonts w:ascii="Tahoma" w:hAnsi="Tahoma" w:cs="Tahoma"/>
          <w:color w:val="0098BA"/>
          <w:sz w:val="19"/>
          <w:szCs w:val="19"/>
        </w:rPr>
      </w:pPr>
      <w:r w:rsidRPr="002A0EA6">
        <w:rPr>
          <w:rFonts w:ascii="Tahoma" w:hAnsi="Tahoma" w:cs="Tahoma"/>
          <w:color w:val="0098BA"/>
          <w:sz w:val="19"/>
          <w:szCs w:val="19"/>
        </w:rPr>
        <w:t>GRI 2-</w:t>
      </w:r>
      <w:r>
        <w:rPr>
          <w:rFonts w:ascii="Tahoma" w:hAnsi="Tahoma" w:cs="Tahoma"/>
          <w:color w:val="0098BA"/>
          <w:sz w:val="19"/>
          <w:szCs w:val="19"/>
        </w:rPr>
        <w:t>22</w:t>
      </w:r>
    </w:p>
    <w:p w14:paraId="06DE7D03" w14:textId="77777777" w:rsidR="00B20EC8" w:rsidRDefault="00B20EC8" w:rsidP="00D334E9">
      <w:pPr>
        <w:spacing w:before="120" w:after="120" w:line="360" w:lineRule="auto"/>
        <w:jc w:val="both"/>
        <w:rPr>
          <w:rFonts w:ascii="Tahoma" w:hAnsi="Tahoma" w:cs="Tahoma"/>
          <w:sz w:val="19"/>
          <w:szCs w:val="19"/>
        </w:rPr>
      </w:pPr>
    </w:p>
    <w:p w14:paraId="21CB391B" w14:textId="703145CA" w:rsidR="00BB09A9" w:rsidRPr="00BB09A9" w:rsidRDefault="00BB09A9" w:rsidP="00D334E9">
      <w:pPr>
        <w:spacing w:before="120" w:after="120" w:line="360" w:lineRule="auto"/>
        <w:jc w:val="both"/>
        <w:rPr>
          <w:rFonts w:ascii="Tahoma" w:hAnsi="Tahoma" w:cs="Tahoma"/>
          <w:sz w:val="19"/>
          <w:szCs w:val="19"/>
        </w:rPr>
      </w:pPr>
      <w:r w:rsidRPr="00BB09A9">
        <w:rPr>
          <w:rFonts w:ascii="Tahoma" w:hAnsi="Tahoma" w:cs="Tahoma"/>
          <w:sz w:val="19"/>
          <w:szCs w:val="19"/>
        </w:rPr>
        <w:t>A visão de futuro da Finep está firmemente ancorada na integração entre Ciência e Inovação para promover ações sustentáveis q</w:t>
      </w:r>
      <w:r w:rsidR="00541FB6">
        <w:rPr>
          <w:rFonts w:ascii="Tahoma" w:hAnsi="Tahoma" w:cs="Tahoma"/>
          <w:sz w:val="19"/>
          <w:szCs w:val="19"/>
        </w:rPr>
        <w:t>/</w:t>
      </w:r>
      <w:proofErr w:type="spellStart"/>
      <w:r w:rsidRPr="00BB09A9">
        <w:rPr>
          <w:rFonts w:ascii="Tahoma" w:hAnsi="Tahoma" w:cs="Tahoma"/>
          <w:sz w:val="19"/>
          <w:szCs w:val="19"/>
        </w:rPr>
        <w:t>ue</w:t>
      </w:r>
      <w:proofErr w:type="spellEnd"/>
      <w:r w:rsidRPr="00BB09A9">
        <w:rPr>
          <w:rFonts w:ascii="Tahoma" w:hAnsi="Tahoma" w:cs="Tahoma"/>
          <w:sz w:val="19"/>
          <w:szCs w:val="19"/>
        </w:rPr>
        <w:t xml:space="preserve"> contribuam para um futuro melhor para os brasileiros. Como agentes de mudança, estamos comprometidos em mitigar os impactos das mudanças climáticas, promovendo práticas sustentáveis e apoiando a transição energética no país. </w:t>
      </w:r>
    </w:p>
    <w:p w14:paraId="0C5A7BEE" w14:textId="77777777" w:rsidR="00BB09A9" w:rsidRPr="00BB09A9" w:rsidRDefault="00BB09A9" w:rsidP="00D334E9">
      <w:pPr>
        <w:spacing w:before="120" w:after="120" w:line="360" w:lineRule="auto"/>
        <w:jc w:val="both"/>
        <w:rPr>
          <w:rFonts w:ascii="Tahoma" w:hAnsi="Tahoma" w:cs="Tahoma"/>
          <w:sz w:val="19"/>
          <w:szCs w:val="19"/>
        </w:rPr>
      </w:pPr>
      <w:r w:rsidRPr="00BB09A9">
        <w:rPr>
          <w:rFonts w:ascii="Tahoma" w:hAnsi="Tahoma" w:cs="Tahoma"/>
          <w:sz w:val="19"/>
          <w:szCs w:val="19"/>
        </w:rPr>
        <w:t xml:space="preserve">A liberação integral dos recursos do FNDCT e outras medidas federais nos desafiam a revisar estratégias e modelos de investimento para impulsionar a ciência, tecnologia e inovação, antecipando a próxima onda de transformação empresarial, com base na Nova Indústria Brasil, tendo como base o uso cada vez mais intensivo de conhecimentos científicos e tecnológicos disruptivos, como inteligência artificial e biociências. Buscando ainda novos modelos de investimento e gestão para destravar o potencial da inovação como, por exemplo, a utilização de novos instrumentos como as compras governamentais. </w:t>
      </w:r>
    </w:p>
    <w:p w14:paraId="06511901" w14:textId="77777777" w:rsidR="00BB09A9" w:rsidRPr="00BB09A9" w:rsidRDefault="00BB09A9" w:rsidP="00D334E9">
      <w:pPr>
        <w:spacing w:before="120" w:after="120" w:line="360" w:lineRule="auto"/>
        <w:jc w:val="both"/>
        <w:rPr>
          <w:rFonts w:ascii="Tahoma" w:hAnsi="Tahoma" w:cs="Tahoma"/>
          <w:sz w:val="19"/>
          <w:szCs w:val="19"/>
        </w:rPr>
      </w:pPr>
      <w:r w:rsidRPr="00BB09A9">
        <w:rPr>
          <w:rFonts w:ascii="Tahoma" w:hAnsi="Tahoma" w:cs="Tahoma"/>
          <w:sz w:val="19"/>
          <w:szCs w:val="19"/>
        </w:rPr>
        <w:t xml:space="preserve">Assim, em consonância com a neoindustrialização do país e as seis missões do Programa Nova Indústria Brasil, a visão de futuro da Finep é delineada com uma abordagem integradora e transversal capaz de promover a inovação e o desenvolvimento tecnológico para resolver grandes problemas globais e locais, como a transição energética, as mudanças climáticas, a devastação de biomas, as doenças epidêmicas, tornando essas soluções impulsionadoras do crescimento econômico e da inclusão social. </w:t>
      </w:r>
    </w:p>
    <w:p w14:paraId="7038F009" w14:textId="77777777" w:rsidR="00BB09A9" w:rsidRPr="00BB09A9" w:rsidRDefault="00BB09A9" w:rsidP="00D334E9">
      <w:pPr>
        <w:spacing w:before="120" w:after="120" w:line="360" w:lineRule="auto"/>
        <w:jc w:val="both"/>
        <w:rPr>
          <w:rFonts w:ascii="Tahoma" w:hAnsi="Tahoma" w:cs="Tahoma"/>
          <w:sz w:val="19"/>
          <w:szCs w:val="19"/>
        </w:rPr>
      </w:pPr>
      <w:r w:rsidRPr="00BB09A9">
        <w:rPr>
          <w:rFonts w:ascii="Tahoma" w:hAnsi="Tahoma" w:cs="Tahoma"/>
          <w:sz w:val="19"/>
          <w:szCs w:val="19"/>
        </w:rPr>
        <w:t>Nossa visão de futuro abrange não apenas o desenvolvimento de novos produtos e processos, mas também a criação e fortalecimento dos ecossistemas propícios à inovação e ao empreendedorismo. Isso inclui o fortalecimento e o estímulo à criação de startups e deep techs, novas empresas de base cientifica, e a promoção de parcerias estratégicas entre o setor público e privado.</w:t>
      </w:r>
    </w:p>
    <w:p w14:paraId="135C0B78" w14:textId="0E1B7E3F" w:rsidR="00487F4F" w:rsidRDefault="00BB09A9" w:rsidP="00D334E9">
      <w:pPr>
        <w:spacing w:before="120" w:after="120" w:line="360" w:lineRule="auto"/>
        <w:jc w:val="both"/>
        <w:rPr>
          <w:rFonts w:ascii="Tahoma" w:hAnsi="Tahoma" w:cs="Tahoma"/>
          <w:sz w:val="19"/>
          <w:szCs w:val="19"/>
        </w:rPr>
      </w:pPr>
      <w:r w:rsidRPr="00BB09A9">
        <w:rPr>
          <w:rFonts w:ascii="Tahoma" w:hAnsi="Tahoma" w:cs="Tahoma"/>
          <w:sz w:val="19"/>
          <w:szCs w:val="19"/>
        </w:rPr>
        <w:t xml:space="preserve">Estamos comprometidos em contribuir para a construção desse futuro, trabalhando em estreita colaboração com nossos parceiros para ampliar a participação da indústria de transformação na formação do PIB, no incremento da complexidade da economia que favoreça a balança comercial do Brasil por meio de uma maior participação de produto de alto valor agregado no mercado externo, em bases sustentáveis e com desenvolvimento social do Brasil. A visão do futuro que temos é de um país industrializado e tecnologicamente avançado. </w:t>
      </w:r>
    </w:p>
    <w:p w14:paraId="6E97FD03" w14:textId="101B023F" w:rsidR="00065B46" w:rsidRPr="00CF7FC7" w:rsidRDefault="00065B46" w:rsidP="00D334E9">
      <w:pPr>
        <w:spacing w:before="120" w:after="120" w:line="360" w:lineRule="auto"/>
        <w:rPr>
          <w:rFonts w:ascii="Tahoma" w:eastAsia="Calibri" w:hAnsi="Tahoma" w:cs="Tahoma"/>
          <w:sz w:val="19"/>
          <w:szCs w:val="19"/>
        </w:rPr>
      </w:pPr>
    </w:p>
    <w:p w14:paraId="098F9A8F" w14:textId="7731E900" w:rsidR="00BF1937" w:rsidRPr="00254F4A" w:rsidRDefault="00BF1937" w:rsidP="00BF1937">
      <w:pPr>
        <w:spacing w:before="120" w:after="120" w:line="360" w:lineRule="auto"/>
        <w:rPr>
          <w:rFonts w:ascii="Tahoma" w:eastAsia="Calibri" w:hAnsi="Tahoma"/>
          <w:sz w:val="19"/>
        </w:rPr>
      </w:pPr>
      <w:r w:rsidRPr="00254F4A">
        <w:rPr>
          <w:rFonts w:ascii="Tahoma" w:eastAsia="Calibri" w:hAnsi="Tahoma"/>
          <w:sz w:val="19"/>
        </w:rPr>
        <w:br w:type="page"/>
      </w:r>
    </w:p>
    <w:p w14:paraId="4E4E9AB2" w14:textId="0F4A440A" w:rsidR="00B20EC8" w:rsidRPr="00994825" w:rsidRDefault="00BC37F0" w:rsidP="00BC37F0">
      <w:pPr>
        <w:pStyle w:val="Ttulo1"/>
        <w:spacing w:line="259" w:lineRule="auto"/>
        <w:ind w:left="432" w:hanging="432"/>
        <w:rPr>
          <w:rFonts w:ascii="Tahoma" w:eastAsiaTheme="majorEastAsia" w:hAnsi="Tahoma" w:cs="Tahoma"/>
          <w:color w:val="0098BA"/>
          <w:sz w:val="28"/>
          <w:szCs w:val="28"/>
          <w:lang w:eastAsia="en-US"/>
        </w:rPr>
      </w:pPr>
      <w:bookmarkStart w:id="335" w:name="_Toc163025283"/>
      <w:r w:rsidRPr="00994825">
        <w:rPr>
          <w:rFonts w:ascii="Tahoma" w:eastAsiaTheme="majorEastAsia" w:hAnsi="Tahoma" w:cs="Tahoma"/>
          <w:color w:val="0098BA"/>
          <w:sz w:val="28"/>
          <w:szCs w:val="28"/>
          <w:lang w:eastAsia="en-US"/>
        </w:rPr>
        <w:lastRenderedPageBreak/>
        <w:t>S</w:t>
      </w:r>
      <w:r w:rsidR="00B20EC8" w:rsidRPr="00994825">
        <w:rPr>
          <w:rFonts w:ascii="Tahoma" w:eastAsiaTheme="majorEastAsia" w:hAnsi="Tahoma" w:cs="Tahoma"/>
          <w:color w:val="0098BA"/>
          <w:sz w:val="28"/>
          <w:szCs w:val="28"/>
          <w:lang w:eastAsia="en-US"/>
        </w:rPr>
        <w:t>umário GRI</w:t>
      </w:r>
      <w:bookmarkEnd w:id="335"/>
    </w:p>
    <w:p w14:paraId="6A20D60C" w14:textId="77777777" w:rsidR="00BC37F0" w:rsidRPr="00BC37F0" w:rsidRDefault="00BC37F0" w:rsidP="00BC37F0">
      <w:pPr>
        <w:spacing w:before="120" w:after="120" w:line="360" w:lineRule="auto"/>
        <w:rPr>
          <w:rFonts w:ascii="Tahoma" w:eastAsia="Calibri" w:hAnsi="Tahoma" w:cs="Tahoma"/>
          <w:sz w:val="19"/>
          <w:szCs w:val="19"/>
        </w:rPr>
      </w:pPr>
    </w:p>
    <w:tbl>
      <w:tblPr>
        <w:tblStyle w:val="Tabelacomgrade"/>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6232"/>
        <w:gridCol w:w="2884"/>
      </w:tblGrid>
      <w:tr w:rsidR="00BC37F0" w:rsidRPr="00AA78AC" w14:paraId="050A4D6B" w14:textId="77777777" w:rsidTr="00F311B9">
        <w:trPr>
          <w:trHeight w:val="510"/>
        </w:trPr>
        <w:tc>
          <w:tcPr>
            <w:tcW w:w="6232" w:type="dxa"/>
            <w:shd w:val="clear" w:color="auto" w:fill="0098BA"/>
            <w:vAlign w:val="center"/>
          </w:tcPr>
          <w:p w14:paraId="53314943" w14:textId="65AA2154" w:rsidR="00BC37F0" w:rsidRPr="00AA78AC" w:rsidRDefault="00BC37F0" w:rsidP="00BC37F0">
            <w:pPr>
              <w:rPr>
                <w:rFonts w:ascii="Tahoma" w:hAnsi="Tahoma" w:cs="Tahoma"/>
                <w:color w:val="FFFFFF"/>
                <w:sz w:val="18"/>
                <w:szCs w:val="18"/>
                <w:lang w:eastAsia="pt-BR"/>
              </w:rPr>
            </w:pPr>
            <w:bookmarkStart w:id="336" w:name="_Hlk163023628"/>
            <w:r w:rsidRPr="00AA78AC">
              <w:rPr>
                <w:rFonts w:ascii="Tahoma" w:hAnsi="Tahoma" w:cs="Tahoma"/>
                <w:color w:val="FFFFFF"/>
                <w:sz w:val="18"/>
                <w:szCs w:val="18"/>
              </w:rPr>
              <w:t>Item de conteúdo GRI</w:t>
            </w:r>
          </w:p>
        </w:tc>
        <w:tc>
          <w:tcPr>
            <w:tcW w:w="2884" w:type="dxa"/>
            <w:shd w:val="clear" w:color="auto" w:fill="0098BA"/>
            <w:vAlign w:val="center"/>
          </w:tcPr>
          <w:p w14:paraId="24D47146" w14:textId="04776806" w:rsidR="00BC37F0" w:rsidRPr="00AA78AC" w:rsidRDefault="00BC37F0" w:rsidP="00BC37F0">
            <w:pPr>
              <w:rPr>
                <w:rFonts w:ascii="Tahoma" w:hAnsi="Tahoma" w:cs="Tahoma"/>
                <w:color w:val="FFFFFF"/>
                <w:sz w:val="18"/>
                <w:szCs w:val="18"/>
                <w:lang w:eastAsia="pt-BR"/>
              </w:rPr>
            </w:pPr>
            <w:r w:rsidRPr="00AA78AC">
              <w:rPr>
                <w:rFonts w:ascii="Tahoma" w:hAnsi="Tahoma" w:cs="Tahoma"/>
                <w:color w:val="FFFFFF"/>
                <w:sz w:val="18"/>
                <w:szCs w:val="18"/>
              </w:rPr>
              <w:t>Página</w:t>
            </w:r>
          </w:p>
        </w:tc>
      </w:tr>
      <w:tr w:rsidR="00BC37F0" w:rsidRPr="00BC37F0" w14:paraId="00AA8B1C" w14:textId="77777777" w:rsidTr="00F311B9">
        <w:trPr>
          <w:trHeight w:val="510"/>
        </w:trPr>
        <w:tc>
          <w:tcPr>
            <w:tcW w:w="6232" w:type="dxa"/>
            <w:vAlign w:val="center"/>
          </w:tcPr>
          <w:p w14:paraId="7748C42E" w14:textId="547998E7" w:rsidR="00BC37F0" w:rsidRPr="00BC37F0" w:rsidRDefault="00BC37F0" w:rsidP="00BC37F0">
            <w:pPr>
              <w:rPr>
                <w:rFonts w:ascii="Tahoma" w:hAnsi="Tahoma" w:cs="Tahoma"/>
                <w:sz w:val="18"/>
                <w:szCs w:val="18"/>
              </w:rPr>
            </w:pPr>
            <w:r w:rsidRPr="00BC37F0">
              <w:rPr>
                <w:rFonts w:ascii="Tahoma" w:hAnsi="Tahoma" w:cs="Tahoma"/>
                <w:sz w:val="18"/>
                <w:szCs w:val="18"/>
              </w:rPr>
              <w:t>2-1 Detalhes da organização</w:t>
            </w:r>
          </w:p>
        </w:tc>
        <w:tc>
          <w:tcPr>
            <w:tcW w:w="2884" w:type="dxa"/>
            <w:vAlign w:val="center"/>
          </w:tcPr>
          <w:p w14:paraId="3D9B0F66" w14:textId="4BDCF843" w:rsidR="00BC37F0" w:rsidRPr="00BC37F0" w:rsidRDefault="003804AF" w:rsidP="00BC37F0">
            <w:pPr>
              <w:rPr>
                <w:rFonts w:ascii="Tahoma" w:hAnsi="Tahoma" w:cs="Tahoma"/>
                <w:sz w:val="18"/>
                <w:szCs w:val="18"/>
              </w:rPr>
            </w:pPr>
            <w:r>
              <w:rPr>
                <w:rFonts w:ascii="Tahoma" w:hAnsi="Tahoma" w:cs="Tahoma"/>
                <w:sz w:val="18"/>
                <w:szCs w:val="18"/>
              </w:rPr>
              <w:t>9</w:t>
            </w:r>
            <w:r w:rsidR="00564BE5">
              <w:rPr>
                <w:rFonts w:ascii="Tahoma" w:hAnsi="Tahoma" w:cs="Tahoma"/>
                <w:sz w:val="18"/>
                <w:szCs w:val="18"/>
              </w:rPr>
              <w:t>-15</w:t>
            </w:r>
          </w:p>
        </w:tc>
      </w:tr>
      <w:tr w:rsidR="00BC37F0" w:rsidRPr="00BC37F0" w14:paraId="0B6EFF61" w14:textId="77777777" w:rsidTr="00F311B9">
        <w:trPr>
          <w:trHeight w:val="510"/>
        </w:trPr>
        <w:tc>
          <w:tcPr>
            <w:tcW w:w="6232" w:type="dxa"/>
            <w:vAlign w:val="center"/>
          </w:tcPr>
          <w:p w14:paraId="29A7567D" w14:textId="0944EB04" w:rsidR="00BC37F0" w:rsidRPr="00BC37F0" w:rsidRDefault="00BC37F0" w:rsidP="00BC37F0">
            <w:pPr>
              <w:rPr>
                <w:rFonts w:ascii="Tahoma" w:hAnsi="Tahoma" w:cs="Tahoma"/>
                <w:sz w:val="18"/>
                <w:szCs w:val="18"/>
              </w:rPr>
            </w:pPr>
            <w:r w:rsidRPr="00BC37F0">
              <w:rPr>
                <w:rFonts w:ascii="Tahoma" w:hAnsi="Tahoma" w:cs="Tahoma"/>
                <w:sz w:val="18"/>
                <w:szCs w:val="18"/>
              </w:rPr>
              <w:t>2-2 Entidades incluídas no relato de sustentabilidade da organização</w:t>
            </w:r>
          </w:p>
        </w:tc>
        <w:tc>
          <w:tcPr>
            <w:tcW w:w="2884" w:type="dxa"/>
            <w:vAlign w:val="center"/>
          </w:tcPr>
          <w:p w14:paraId="13ADBE6C" w14:textId="704105E6" w:rsidR="00BC37F0" w:rsidRPr="00BC37F0" w:rsidRDefault="00D16E0D" w:rsidP="00BC37F0">
            <w:pPr>
              <w:rPr>
                <w:rFonts w:ascii="Tahoma" w:hAnsi="Tahoma" w:cs="Tahoma"/>
                <w:sz w:val="18"/>
                <w:szCs w:val="18"/>
              </w:rPr>
            </w:pPr>
            <w:r>
              <w:rPr>
                <w:rFonts w:ascii="Tahoma" w:hAnsi="Tahoma" w:cs="Tahoma"/>
                <w:sz w:val="18"/>
                <w:szCs w:val="18"/>
              </w:rPr>
              <w:t>10</w:t>
            </w:r>
            <w:r w:rsidR="007862CF">
              <w:rPr>
                <w:rFonts w:ascii="Tahoma" w:hAnsi="Tahoma" w:cs="Tahoma"/>
                <w:sz w:val="18"/>
                <w:szCs w:val="18"/>
              </w:rPr>
              <w:t>-11</w:t>
            </w:r>
          </w:p>
        </w:tc>
      </w:tr>
      <w:tr w:rsidR="00BC37F0" w:rsidRPr="00BC37F0" w14:paraId="30D4BC75" w14:textId="77777777" w:rsidTr="00F311B9">
        <w:trPr>
          <w:trHeight w:val="510"/>
        </w:trPr>
        <w:tc>
          <w:tcPr>
            <w:tcW w:w="6232" w:type="dxa"/>
            <w:vAlign w:val="center"/>
          </w:tcPr>
          <w:p w14:paraId="3C47E8AB" w14:textId="78427EE4" w:rsidR="00BC37F0" w:rsidRPr="00BC37F0" w:rsidRDefault="00BC37F0" w:rsidP="00BC37F0">
            <w:pPr>
              <w:rPr>
                <w:rFonts w:ascii="Tahoma" w:hAnsi="Tahoma" w:cs="Tahoma"/>
                <w:sz w:val="18"/>
                <w:szCs w:val="18"/>
              </w:rPr>
            </w:pPr>
            <w:r w:rsidRPr="00BC37F0">
              <w:rPr>
                <w:rFonts w:ascii="Tahoma" w:hAnsi="Tahoma" w:cs="Tahoma"/>
                <w:sz w:val="18"/>
                <w:szCs w:val="18"/>
              </w:rPr>
              <w:t>2-3 Período de relato, frequência e ponto de contato</w:t>
            </w:r>
          </w:p>
        </w:tc>
        <w:tc>
          <w:tcPr>
            <w:tcW w:w="2884" w:type="dxa"/>
            <w:vAlign w:val="center"/>
          </w:tcPr>
          <w:p w14:paraId="2DB5C1B3" w14:textId="3EF205AF" w:rsidR="00BC37F0" w:rsidRPr="00BC37F0" w:rsidRDefault="00D81226" w:rsidP="00BC37F0">
            <w:pPr>
              <w:rPr>
                <w:rFonts w:ascii="Tahoma" w:hAnsi="Tahoma" w:cs="Tahoma"/>
                <w:sz w:val="18"/>
                <w:szCs w:val="18"/>
              </w:rPr>
            </w:pPr>
            <w:r>
              <w:rPr>
                <w:rFonts w:ascii="Tahoma" w:hAnsi="Tahoma" w:cs="Tahoma"/>
                <w:sz w:val="18"/>
                <w:szCs w:val="18"/>
              </w:rPr>
              <w:t>10</w:t>
            </w:r>
          </w:p>
        </w:tc>
      </w:tr>
      <w:tr w:rsidR="00BC37F0" w:rsidRPr="00BC37F0" w14:paraId="03A888CB" w14:textId="77777777" w:rsidTr="00F311B9">
        <w:trPr>
          <w:trHeight w:val="510"/>
        </w:trPr>
        <w:tc>
          <w:tcPr>
            <w:tcW w:w="6232" w:type="dxa"/>
            <w:vAlign w:val="center"/>
          </w:tcPr>
          <w:p w14:paraId="6C4E9278" w14:textId="1089ABEF" w:rsidR="00BC37F0" w:rsidRPr="00BC37F0" w:rsidRDefault="00BC37F0" w:rsidP="00BC37F0">
            <w:pPr>
              <w:rPr>
                <w:rFonts w:ascii="Tahoma" w:hAnsi="Tahoma" w:cs="Tahoma"/>
                <w:sz w:val="18"/>
                <w:szCs w:val="18"/>
              </w:rPr>
            </w:pPr>
            <w:r w:rsidRPr="00BC37F0">
              <w:rPr>
                <w:rFonts w:ascii="Tahoma" w:hAnsi="Tahoma" w:cs="Tahoma"/>
                <w:sz w:val="18"/>
                <w:szCs w:val="18"/>
              </w:rPr>
              <w:t>2-4 Reformulações de informações</w:t>
            </w:r>
          </w:p>
        </w:tc>
        <w:tc>
          <w:tcPr>
            <w:tcW w:w="2884" w:type="dxa"/>
            <w:vAlign w:val="center"/>
          </w:tcPr>
          <w:p w14:paraId="1D55E7C1" w14:textId="71D6DB98" w:rsidR="00BC37F0" w:rsidRPr="00BC37F0" w:rsidRDefault="00D81226" w:rsidP="00BC37F0">
            <w:pPr>
              <w:rPr>
                <w:rFonts w:ascii="Tahoma" w:hAnsi="Tahoma" w:cs="Tahoma"/>
                <w:sz w:val="18"/>
                <w:szCs w:val="18"/>
              </w:rPr>
            </w:pPr>
            <w:r>
              <w:rPr>
                <w:rFonts w:ascii="Tahoma" w:hAnsi="Tahoma" w:cs="Tahoma"/>
                <w:sz w:val="18"/>
                <w:szCs w:val="18"/>
              </w:rPr>
              <w:t>10</w:t>
            </w:r>
          </w:p>
        </w:tc>
      </w:tr>
      <w:tr w:rsidR="00BC37F0" w:rsidRPr="00BC37F0" w14:paraId="140B63C3" w14:textId="77777777" w:rsidTr="00F311B9">
        <w:trPr>
          <w:trHeight w:val="510"/>
        </w:trPr>
        <w:tc>
          <w:tcPr>
            <w:tcW w:w="6232" w:type="dxa"/>
            <w:vAlign w:val="center"/>
          </w:tcPr>
          <w:p w14:paraId="739497A1" w14:textId="20FCADF4" w:rsidR="00BC37F0" w:rsidRPr="00BC37F0" w:rsidRDefault="00BC37F0" w:rsidP="00BC37F0">
            <w:pPr>
              <w:rPr>
                <w:rFonts w:ascii="Tahoma" w:hAnsi="Tahoma" w:cs="Tahoma"/>
                <w:sz w:val="18"/>
                <w:szCs w:val="18"/>
              </w:rPr>
            </w:pPr>
            <w:r w:rsidRPr="00BC37F0">
              <w:rPr>
                <w:rFonts w:ascii="Tahoma" w:hAnsi="Tahoma" w:cs="Tahoma"/>
                <w:sz w:val="18"/>
                <w:szCs w:val="18"/>
              </w:rPr>
              <w:t>2</w:t>
            </w:r>
            <w:r w:rsidR="00A052B3">
              <w:rPr>
                <w:rFonts w:ascii="Tahoma" w:hAnsi="Tahoma" w:cs="Tahoma"/>
                <w:sz w:val="18"/>
                <w:szCs w:val="18"/>
              </w:rPr>
              <w:t>-</w:t>
            </w:r>
            <w:r w:rsidRPr="00BC37F0">
              <w:rPr>
                <w:rFonts w:ascii="Tahoma" w:hAnsi="Tahoma" w:cs="Tahoma"/>
                <w:sz w:val="18"/>
                <w:szCs w:val="18"/>
              </w:rPr>
              <w:t>5. Verificação externa</w:t>
            </w:r>
          </w:p>
        </w:tc>
        <w:tc>
          <w:tcPr>
            <w:tcW w:w="2884" w:type="dxa"/>
            <w:vAlign w:val="center"/>
          </w:tcPr>
          <w:p w14:paraId="2689EB0F" w14:textId="085EF0FE" w:rsidR="00BC37F0" w:rsidRPr="00BC37F0" w:rsidRDefault="00BE62D0" w:rsidP="00BC37F0">
            <w:pPr>
              <w:rPr>
                <w:rFonts w:ascii="Tahoma" w:hAnsi="Tahoma" w:cs="Tahoma"/>
                <w:sz w:val="18"/>
                <w:szCs w:val="18"/>
              </w:rPr>
            </w:pPr>
            <w:r>
              <w:rPr>
                <w:rFonts w:ascii="Tahoma" w:hAnsi="Tahoma" w:cs="Tahoma"/>
                <w:sz w:val="18"/>
                <w:szCs w:val="18"/>
              </w:rPr>
              <w:t>9</w:t>
            </w:r>
          </w:p>
        </w:tc>
      </w:tr>
      <w:tr w:rsidR="00BC37F0" w:rsidRPr="00BC37F0" w14:paraId="45B08D7D" w14:textId="77777777" w:rsidTr="00F311B9">
        <w:trPr>
          <w:trHeight w:val="510"/>
        </w:trPr>
        <w:tc>
          <w:tcPr>
            <w:tcW w:w="6232" w:type="dxa"/>
            <w:vAlign w:val="center"/>
          </w:tcPr>
          <w:p w14:paraId="13FEE3FE" w14:textId="4BD42D70" w:rsidR="00BC37F0" w:rsidRPr="00BC37F0" w:rsidRDefault="00BC37F0" w:rsidP="00BC37F0">
            <w:pPr>
              <w:rPr>
                <w:rFonts w:ascii="Tahoma" w:hAnsi="Tahoma" w:cs="Tahoma"/>
                <w:sz w:val="18"/>
                <w:szCs w:val="18"/>
              </w:rPr>
            </w:pPr>
            <w:r w:rsidRPr="00BC37F0">
              <w:rPr>
                <w:rFonts w:ascii="Tahoma" w:hAnsi="Tahoma" w:cs="Tahoma"/>
                <w:sz w:val="18"/>
                <w:szCs w:val="18"/>
              </w:rPr>
              <w:t>2-6 Atividades, cadeia de valor e outras relações de negócios</w:t>
            </w:r>
          </w:p>
        </w:tc>
        <w:tc>
          <w:tcPr>
            <w:tcW w:w="2884" w:type="dxa"/>
            <w:vAlign w:val="center"/>
          </w:tcPr>
          <w:p w14:paraId="347D4AEF" w14:textId="63072C4B" w:rsidR="00BC37F0" w:rsidRPr="00BC37F0" w:rsidRDefault="00D81226" w:rsidP="00BC37F0">
            <w:pPr>
              <w:rPr>
                <w:rFonts w:ascii="Tahoma" w:hAnsi="Tahoma" w:cs="Tahoma"/>
                <w:sz w:val="18"/>
                <w:szCs w:val="18"/>
              </w:rPr>
            </w:pPr>
            <w:r>
              <w:rPr>
                <w:rFonts w:ascii="Tahoma" w:hAnsi="Tahoma" w:cs="Tahoma"/>
                <w:sz w:val="18"/>
                <w:szCs w:val="18"/>
              </w:rPr>
              <w:t>1</w:t>
            </w:r>
            <w:r w:rsidR="007862CF">
              <w:rPr>
                <w:rFonts w:ascii="Tahoma" w:hAnsi="Tahoma" w:cs="Tahoma"/>
                <w:sz w:val="18"/>
                <w:szCs w:val="18"/>
              </w:rPr>
              <w:t>5</w:t>
            </w:r>
          </w:p>
        </w:tc>
      </w:tr>
      <w:tr w:rsidR="00BC37F0" w:rsidRPr="001D1116" w14:paraId="2CEA3D27" w14:textId="77777777" w:rsidTr="00F311B9">
        <w:trPr>
          <w:trHeight w:val="510"/>
        </w:trPr>
        <w:tc>
          <w:tcPr>
            <w:tcW w:w="6232" w:type="dxa"/>
            <w:vAlign w:val="center"/>
          </w:tcPr>
          <w:p w14:paraId="2130C602" w14:textId="6559FC96" w:rsidR="00BC37F0" w:rsidRPr="001D1116" w:rsidRDefault="00BC37F0" w:rsidP="00BC37F0">
            <w:pPr>
              <w:rPr>
                <w:rFonts w:ascii="Tahoma" w:hAnsi="Tahoma" w:cs="Tahoma"/>
                <w:sz w:val="18"/>
                <w:szCs w:val="18"/>
              </w:rPr>
            </w:pPr>
            <w:r w:rsidRPr="001D1116">
              <w:rPr>
                <w:rFonts w:ascii="Tahoma" w:hAnsi="Tahoma" w:cs="Tahoma"/>
                <w:sz w:val="18"/>
                <w:szCs w:val="18"/>
              </w:rPr>
              <w:t>2-7 Empregados</w:t>
            </w:r>
          </w:p>
        </w:tc>
        <w:tc>
          <w:tcPr>
            <w:tcW w:w="2884" w:type="dxa"/>
            <w:vAlign w:val="center"/>
          </w:tcPr>
          <w:p w14:paraId="67290D25" w14:textId="5315CF2D" w:rsidR="00BC37F0" w:rsidRPr="001D1116" w:rsidRDefault="00FB210F" w:rsidP="00BC37F0">
            <w:pPr>
              <w:rPr>
                <w:rFonts w:ascii="Tahoma" w:hAnsi="Tahoma" w:cs="Tahoma"/>
                <w:sz w:val="18"/>
                <w:szCs w:val="18"/>
              </w:rPr>
            </w:pPr>
            <w:r w:rsidRPr="001D1116">
              <w:rPr>
                <w:rFonts w:ascii="Tahoma" w:hAnsi="Tahoma" w:cs="Tahoma"/>
                <w:sz w:val="18"/>
                <w:szCs w:val="18"/>
              </w:rPr>
              <w:t>8</w:t>
            </w:r>
            <w:r w:rsidR="007862CF">
              <w:rPr>
                <w:rFonts w:ascii="Tahoma" w:hAnsi="Tahoma" w:cs="Tahoma"/>
                <w:sz w:val="18"/>
                <w:szCs w:val="18"/>
              </w:rPr>
              <w:t>2</w:t>
            </w:r>
            <w:r w:rsidRPr="001D1116">
              <w:rPr>
                <w:rFonts w:ascii="Tahoma" w:hAnsi="Tahoma" w:cs="Tahoma"/>
                <w:sz w:val="18"/>
                <w:szCs w:val="18"/>
              </w:rPr>
              <w:t>-8</w:t>
            </w:r>
            <w:r w:rsidR="007862CF">
              <w:rPr>
                <w:rFonts w:ascii="Tahoma" w:hAnsi="Tahoma" w:cs="Tahoma"/>
                <w:sz w:val="18"/>
                <w:szCs w:val="18"/>
              </w:rPr>
              <w:t>6</w:t>
            </w:r>
          </w:p>
        </w:tc>
      </w:tr>
      <w:tr w:rsidR="00BC37F0" w:rsidRPr="001D1116" w14:paraId="557FD115" w14:textId="77777777" w:rsidTr="00F311B9">
        <w:trPr>
          <w:trHeight w:val="510"/>
        </w:trPr>
        <w:tc>
          <w:tcPr>
            <w:tcW w:w="6232" w:type="dxa"/>
            <w:vAlign w:val="center"/>
          </w:tcPr>
          <w:p w14:paraId="5198B027" w14:textId="597EC959" w:rsidR="00BC37F0" w:rsidRPr="001D1116" w:rsidRDefault="00AA78AC" w:rsidP="00BC37F0">
            <w:pPr>
              <w:rPr>
                <w:rFonts w:ascii="Tahoma" w:hAnsi="Tahoma" w:cs="Tahoma"/>
                <w:sz w:val="18"/>
                <w:szCs w:val="18"/>
              </w:rPr>
            </w:pPr>
            <w:r w:rsidRPr="001D1116">
              <w:rPr>
                <w:rFonts w:ascii="Tahoma" w:hAnsi="Tahoma" w:cs="Tahoma"/>
                <w:sz w:val="18"/>
                <w:szCs w:val="18"/>
              </w:rPr>
              <w:t>2-9 Estrutura de governança e sua composição</w:t>
            </w:r>
          </w:p>
        </w:tc>
        <w:tc>
          <w:tcPr>
            <w:tcW w:w="2884" w:type="dxa"/>
            <w:vAlign w:val="center"/>
          </w:tcPr>
          <w:p w14:paraId="69AAB8C8" w14:textId="6215DB4C" w:rsidR="00BC37F0" w:rsidRPr="001D1116" w:rsidRDefault="00FB210F" w:rsidP="00BC37F0">
            <w:pPr>
              <w:rPr>
                <w:rFonts w:ascii="Tahoma" w:hAnsi="Tahoma" w:cs="Tahoma"/>
                <w:sz w:val="18"/>
                <w:szCs w:val="18"/>
              </w:rPr>
            </w:pPr>
            <w:r w:rsidRPr="001D1116">
              <w:rPr>
                <w:rFonts w:ascii="Tahoma" w:hAnsi="Tahoma" w:cs="Tahoma"/>
                <w:sz w:val="18"/>
                <w:szCs w:val="18"/>
              </w:rPr>
              <w:t>7</w:t>
            </w:r>
            <w:r w:rsidR="007862CF">
              <w:rPr>
                <w:rFonts w:ascii="Tahoma" w:hAnsi="Tahoma" w:cs="Tahoma"/>
                <w:sz w:val="18"/>
                <w:szCs w:val="18"/>
              </w:rPr>
              <w:t>5</w:t>
            </w:r>
            <w:r w:rsidRPr="001D1116">
              <w:rPr>
                <w:rFonts w:ascii="Tahoma" w:hAnsi="Tahoma" w:cs="Tahoma"/>
                <w:sz w:val="18"/>
                <w:szCs w:val="18"/>
              </w:rPr>
              <w:t>-7</w:t>
            </w:r>
            <w:r w:rsidR="007862CF">
              <w:rPr>
                <w:rFonts w:ascii="Tahoma" w:hAnsi="Tahoma" w:cs="Tahoma"/>
                <w:sz w:val="18"/>
                <w:szCs w:val="18"/>
              </w:rPr>
              <w:t>8</w:t>
            </w:r>
          </w:p>
        </w:tc>
      </w:tr>
      <w:tr w:rsidR="00BC37F0" w:rsidRPr="001D1116" w14:paraId="0B814B5F" w14:textId="77777777" w:rsidTr="00F311B9">
        <w:trPr>
          <w:trHeight w:val="510"/>
        </w:trPr>
        <w:tc>
          <w:tcPr>
            <w:tcW w:w="6232" w:type="dxa"/>
            <w:vAlign w:val="center"/>
          </w:tcPr>
          <w:p w14:paraId="6045CE27" w14:textId="0190EA71" w:rsidR="00BC37F0" w:rsidRPr="001D1116" w:rsidRDefault="00AA78AC" w:rsidP="00BC37F0">
            <w:pPr>
              <w:rPr>
                <w:rFonts w:ascii="Tahoma" w:hAnsi="Tahoma" w:cs="Tahoma"/>
                <w:sz w:val="18"/>
                <w:szCs w:val="18"/>
              </w:rPr>
            </w:pPr>
            <w:r w:rsidRPr="001D1116">
              <w:rPr>
                <w:rFonts w:ascii="Tahoma" w:hAnsi="Tahoma" w:cs="Tahoma"/>
                <w:sz w:val="18"/>
                <w:szCs w:val="18"/>
              </w:rPr>
              <w:t>2-11 Presidente do mais alto órgão de governança</w:t>
            </w:r>
          </w:p>
        </w:tc>
        <w:tc>
          <w:tcPr>
            <w:tcW w:w="2884" w:type="dxa"/>
            <w:vAlign w:val="center"/>
          </w:tcPr>
          <w:p w14:paraId="710297AA" w14:textId="190E2FB7" w:rsidR="00BC37F0" w:rsidRPr="001D1116" w:rsidRDefault="00FB210F" w:rsidP="00BC37F0">
            <w:pPr>
              <w:rPr>
                <w:rFonts w:ascii="Tahoma" w:hAnsi="Tahoma" w:cs="Tahoma"/>
                <w:sz w:val="18"/>
                <w:szCs w:val="18"/>
              </w:rPr>
            </w:pPr>
            <w:r w:rsidRPr="001D1116">
              <w:rPr>
                <w:rFonts w:ascii="Tahoma" w:hAnsi="Tahoma" w:cs="Tahoma"/>
                <w:sz w:val="18"/>
                <w:szCs w:val="18"/>
              </w:rPr>
              <w:t>7</w:t>
            </w:r>
            <w:r w:rsidR="007862CF">
              <w:rPr>
                <w:rFonts w:ascii="Tahoma" w:hAnsi="Tahoma" w:cs="Tahoma"/>
                <w:sz w:val="18"/>
                <w:szCs w:val="18"/>
              </w:rPr>
              <w:t>7</w:t>
            </w:r>
          </w:p>
        </w:tc>
      </w:tr>
      <w:tr w:rsidR="00BC37F0" w:rsidRPr="001D1116" w14:paraId="11F74E03" w14:textId="77777777" w:rsidTr="00F311B9">
        <w:trPr>
          <w:trHeight w:val="510"/>
        </w:trPr>
        <w:tc>
          <w:tcPr>
            <w:tcW w:w="6232" w:type="dxa"/>
            <w:vAlign w:val="center"/>
          </w:tcPr>
          <w:p w14:paraId="32DE56B2" w14:textId="37E7A5F3" w:rsidR="00BC37F0" w:rsidRPr="001D1116" w:rsidRDefault="003F22D7" w:rsidP="00BC37F0">
            <w:pPr>
              <w:rPr>
                <w:rFonts w:ascii="Tahoma" w:hAnsi="Tahoma" w:cs="Tahoma"/>
                <w:sz w:val="18"/>
                <w:szCs w:val="18"/>
              </w:rPr>
            </w:pPr>
            <w:r>
              <w:rPr>
                <w:rFonts w:ascii="Tahoma" w:hAnsi="Tahoma" w:cs="Tahoma"/>
                <w:sz w:val="18"/>
                <w:szCs w:val="18"/>
              </w:rPr>
              <w:t>/</w:t>
            </w:r>
            <w:r w:rsidR="00AA78AC" w:rsidRPr="001D1116">
              <w:rPr>
                <w:rFonts w:ascii="Tahoma" w:hAnsi="Tahoma" w:cs="Tahoma"/>
                <w:sz w:val="18"/>
                <w:szCs w:val="18"/>
              </w:rPr>
              <w:t>2-14 Papel desempenhado pelo mais alto órgão de governança no relato</w:t>
            </w:r>
          </w:p>
        </w:tc>
        <w:tc>
          <w:tcPr>
            <w:tcW w:w="2884" w:type="dxa"/>
            <w:vAlign w:val="center"/>
          </w:tcPr>
          <w:p w14:paraId="16B0A6AF" w14:textId="0C7C565A" w:rsidR="00BC37F0" w:rsidRPr="001D1116" w:rsidRDefault="00C436AF" w:rsidP="00BC37F0">
            <w:pPr>
              <w:rPr>
                <w:rFonts w:ascii="Tahoma" w:hAnsi="Tahoma" w:cs="Tahoma"/>
                <w:sz w:val="18"/>
                <w:szCs w:val="18"/>
              </w:rPr>
            </w:pPr>
            <w:r w:rsidRPr="001D1116">
              <w:rPr>
                <w:rFonts w:ascii="Tahoma" w:hAnsi="Tahoma" w:cs="Tahoma"/>
                <w:sz w:val="18"/>
                <w:szCs w:val="18"/>
              </w:rPr>
              <w:t>9</w:t>
            </w:r>
          </w:p>
        </w:tc>
      </w:tr>
      <w:tr w:rsidR="00BC37F0" w:rsidRPr="001D1116" w14:paraId="06521881" w14:textId="77777777" w:rsidTr="00F311B9">
        <w:trPr>
          <w:trHeight w:val="510"/>
        </w:trPr>
        <w:tc>
          <w:tcPr>
            <w:tcW w:w="6232" w:type="dxa"/>
            <w:vAlign w:val="center"/>
          </w:tcPr>
          <w:p w14:paraId="74B2C389" w14:textId="6D7523FC" w:rsidR="00BC37F0" w:rsidRPr="001D1116" w:rsidRDefault="00AA78AC" w:rsidP="00BC37F0">
            <w:pPr>
              <w:rPr>
                <w:rFonts w:ascii="Tahoma" w:hAnsi="Tahoma" w:cs="Tahoma"/>
                <w:sz w:val="18"/>
                <w:szCs w:val="18"/>
              </w:rPr>
            </w:pPr>
            <w:r w:rsidRPr="001D1116">
              <w:rPr>
                <w:rFonts w:ascii="Tahoma" w:hAnsi="Tahoma" w:cs="Tahoma"/>
                <w:sz w:val="18"/>
                <w:szCs w:val="18"/>
              </w:rPr>
              <w:t>2-22 Declaração sobre estratégia de desenvolvimento sustentável</w:t>
            </w:r>
          </w:p>
        </w:tc>
        <w:tc>
          <w:tcPr>
            <w:tcW w:w="2884" w:type="dxa"/>
            <w:vAlign w:val="center"/>
          </w:tcPr>
          <w:p w14:paraId="09045589" w14:textId="007313C4" w:rsidR="00BC37F0" w:rsidRPr="001D1116" w:rsidRDefault="007862CF" w:rsidP="00BC37F0">
            <w:pPr>
              <w:rPr>
                <w:rFonts w:ascii="Tahoma" w:hAnsi="Tahoma" w:cs="Tahoma"/>
                <w:sz w:val="18"/>
                <w:szCs w:val="18"/>
              </w:rPr>
            </w:pPr>
            <w:r>
              <w:rPr>
                <w:rFonts w:ascii="Tahoma" w:hAnsi="Tahoma" w:cs="Tahoma"/>
                <w:sz w:val="18"/>
                <w:szCs w:val="18"/>
              </w:rPr>
              <w:t xml:space="preserve">19-20; </w:t>
            </w:r>
            <w:r w:rsidR="00C436AF" w:rsidRPr="001D1116">
              <w:rPr>
                <w:rFonts w:ascii="Tahoma" w:hAnsi="Tahoma" w:cs="Tahoma"/>
                <w:sz w:val="18"/>
                <w:szCs w:val="18"/>
              </w:rPr>
              <w:t>1</w:t>
            </w:r>
            <w:r w:rsidR="001D1116" w:rsidRPr="001D1116">
              <w:rPr>
                <w:rFonts w:ascii="Tahoma" w:hAnsi="Tahoma" w:cs="Tahoma"/>
                <w:sz w:val="18"/>
                <w:szCs w:val="18"/>
              </w:rPr>
              <w:t>1</w:t>
            </w:r>
            <w:r>
              <w:rPr>
                <w:rFonts w:ascii="Tahoma" w:hAnsi="Tahoma" w:cs="Tahoma"/>
                <w:sz w:val="18"/>
                <w:szCs w:val="18"/>
              </w:rPr>
              <w:t>1</w:t>
            </w:r>
          </w:p>
        </w:tc>
      </w:tr>
      <w:tr w:rsidR="00BC37F0" w:rsidRPr="001D1116" w14:paraId="709D9204" w14:textId="77777777" w:rsidTr="00F311B9">
        <w:trPr>
          <w:trHeight w:val="510"/>
        </w:trPr>
        <w:tc>
          <w:tcPr>
            <w:tcW w:w="6232" w:type="dxa"/>
            <w:vAlign w:val="center"/>
          </w:tcPr>
          <w:p w14:paraId="6E3D493B" w14:textId="5F332EF3" w:rsidR="00BC37F0" w:rsidRPr="001D1116" w:rsidRDefault="00AA78AC" w:rsidP="00BC37F0">
            <w:pPr>
              <w:rPr>
                <w:rFonts w:ascii="Tahoma" w:hAnsi="Tahoma" w:cs="Tahoma"/>
                <w:sz w:val="18"/>
                <w:szCs w:val="18"/>
              </w:rPr>
            </w:pPr>
            <w:r w:rsidRPr="001D1116">
              <w:rPr>
                <w:rFonts w:ascii="Tahoma" w:hAnsi="Tahoma" w:cs="Tahoma"/>
                <w:sz w:val="18"/>
                <w:szCs w:val="18"/>
              </w:rPr>
              <w:t>2-23 Compromissos de política</w:t>
            </w:r>
          </w:p>
        </w:tc>
        <w:tc>
          <w:tcPr>
            <w:tcW w:w="2884" w:type="dxa"/>
            <w:vAlign w:val="center"/>
          </w:tcPr>
          <w:p w14:paraId="402F4602" w14:textId="2F619C68" w:rsidR="00BC37F0" w:rsidRPr="001D1116" w:rsidRDefault="001D1116" w:rsidP="00BC37F0">
            <w:pPr>
              <w:rPr>
                <w:rFonts w:ascii="Tahoma" w:hAnsi="Tahoma" w:cs="Tahoma"/>
                <w:sz w:val="18"/>
                <w:szCs w:val="18"/>
              </w:rPr>
            </w:pPr>
            <w:r w:rsidRPr="001D1116">
              <w:rPr>
                <w:rFonts w:ascii="Tahoma" w:hAnsi="Tahoma" w:cs="Tahoma"/>
                <w:sz w:val="18"/>
                <w:szCs w:val="18"/>
              </w:rPr>
              <w:t>1</w:t>
            </w:r>
            <w:r w:rsidR="007862CF">
              <w:rPr>
                <w:rFonts w:ascii="Tahoma" w:hAnsi="Tahoma" w:cs="Tahoma"/>
                <w:sz w:val="18"/>
                <w:szCs w:val="18"/>
              </w:rPr>
              <w:t>5</w:t>
            </w:r>
            <w:r w:rsidRPr="001D1116">
              <w:rPr>
                <w:rFonts w:ascii="Tahoma" w:hAnsi="Tahoma" w:cs="Tahoma"/>
                <w:sz w:val="18"/>
                <w:szCs w:val="18"/>
              </w:rPr>
              <w:t>-</w:t>
            </w:r>
            <w:r w:rsidR="007862CF">
              <w:rPr>
                <w:rFonts w:ascii="Tahoma" w:hAnsi="Tahoma" w:cs="Tahoma"/>
                <w:sz w:val="18"/>
                <w:szCs w:val="18"/>
              </w:rPr>
              <w:t>16; 20-21</w:t>
            </w:r>
          </w:p>
        </w:tc>
      </w:tr>
      <w:tr w:rsidR="00BC37F0" w:rsidRPr="001D1116" w14:paraId="13109F90" w14:textId="77777777" w:rsidTr="00F311B9">
        <w:trPr>
          <w:trHeight w:val="510"/>
        </w:trPr>
        <w:tc>
          <w:tcPr>
            <w:tcW w:w="6232" w:type="dxa"/>
            <w:vAlign w:val="center"/>
          </w:tcPr>
          <w:p w14:paraId="3262EDED" w14:textId="123BD96A" w:rsidR="00BC37F0" w:rsidRPr="001D1116" w:rsidRDefault="00AA78AC" w:rsidP="00BC37F0">
            <w:pPr>
              <w:rPr>
                <w:rFonts w:ascii="Tahoma" w:hAnsi="Tahoma" w:cs="Tahoma"/>
                <w:sz w:val="18"/>
                <w:szCs w:val="18"/>
              </w:rPr>
            </w:pPr>
            <w:r w:rsidRPr="001D1116">
              <w:rPr>
                <w:rFonts w:ascii="Tahoma" w:hAnsi="Tahoma" w:cs="Tahoma"/>
                <w:sz w:val="18"/>
                <w:szCs w:val="18"/>
              </w:rPr>
              <w:t>2-25 Processos para reparar impactos negativos</w:t>
            </w:r>
          </w:p>
        </w:tc>
        <w:tc>
          <w:tcPr>
            <w:tcW w:w="2884" w:type="dxa"/>
            <w:vAlign w:val="center"/>
          </w:tcPr>
          <w:p w14:paraId="184E68A1" w14:textId="50A0A406" w:rsidR="00BC37F0" w:rsidRPr="001D1116" w:rsidRDefault="00FB3DF3" w:rsidP="00BC37F0">
            <w:pPr>
              <w:rPr>
                <w:rFonts w:ascii="Tahoma" w:hAnsi="Tahoma" w:cs="Tahoma"/>
                <w:sz w:val="18"/>
                <w:szCs w:val="18"/>
              </w:rPr>
            </w:pPr>
            <w:r w:rsidRPr="001D1116">
              <w:rPr>
                <w:rFonts w:ascii="Tahoma" w:hAnsi="Tahoma" w:cs="Tahoma"/>
                <w:sz w:val="18"/>
                <w:szCs w:val="18"/>
              </w:rPr>
              <w:t>9</w:t>
            </w:r>
            <w:r w:rsidR="007862CF">
              <w:rPr>
                <w:rFonts w:ascii="Tahoma" w:hAnsi="Tahoma" w:cs="Tahoma"/>
                <w:sz w:val="18"/>
                <w:szCs w:val="18"/>
              </w:rPr>
              <w:t>6</w:t>
            </w:r>
          </w:p>
        </w:tc>
      </w:tr>
      <w:tr w:rsidR="00BC37F0" w:rsidRPr="001D1116" w14:paraId="14CFF5D0" w14:textId="77777777" w:rsidTr="00F311B9">
        <w:trPr>
          <w:trHeight w:val="510"/>
        </w:trPr>
        <w:tc>
          <w:tcPr>
            <w:tcW w:w="6232" w:type="dxa"/>
            <w:vAlign w:val="center"/>
          </w:tcPr>
          <w:p w14:paraId="53C75A1C" w14:textId="764C05E5" w:rsidR="00BC37F0" w:rsidRPr="001D1116" w:rsidRDefault="00AA78AC" w:rsidP="00BC37F0">
            <w:pPr>
              <w:rPr>
                <w:rFonts w:ascii="Tahoma" w:hAnsi="Tahoma" w:cs="Tahoma"/>
                <w:sz w:val="18"/>
                <w:szCs w:val="18"/>
              </w:rPr>
            </w:pPr>
            <w:r w:rsidRPr="001D1116">
              <w:rPr>
                <w:rFonts w:ascii="Tahoma" w:hAnsi="Tahoma" w:cs="Tahoma"/>
                <w:sz w:val="18"/>
                <w:szCs w:val="18"/>
              </w:rPr>
              <w:t>2-26 Mecanismos para aconselhamento e apresentação de preocupações</w:t>
            </w:r>
          </w:p>
        </w:tc>
        <w:tc>
          <w:tcPr>
            <w:tcW w:w="2884" w:type="dxa"/>
            <w:vAlign w:val="center"/>
          </w:tcPr>
          <w:p w14:paraId="21D8CA27" w14:textId="2AB0A979" w:rsidR="00BC37F0" w:rsidRPr="001D1116" w:rsidRDefault="007862CF" w:rsidP="00BC37F0">
            <w:pPr>
              <w:rPr>
                <w:rFonts w:ascii="Tahoma" w:hAnsi="Tahoma" w:cs="Tahoma"/>
                <w:sz w:val="18"/>
                <w:szCs w:val="18"/>
              </w:rPr>
            </w:pPr>
            <w:r>
              <w:rPr>
                <w:rFonts w:ascii="Tahoma" w:hAnsi="Tahoma" w:cs="Tahoma"/>
                <w:sz w:val="18"/>
                <w:szCs w:val="18"/>
              </w:rPr>
              <w:t>88-90</w:t>
            </w:r>
          </w:p>
        </w:tc>
      </w:tr>
      <w:tr w:rsidR="00BC37F0" w:rsidRPr="00BC37F0" w14:paraId="3658EBA2" w14:textId="77777777" w:rsidTr="00F311B9">
        <w:trPr>
          <w:trHeight w:val="510"/>
        </w:trPr>
        <w:tc>
          <w:tcPr>
            <w:tcW w:w="6232" w:type="dxa"/>
            <w:vAlign w:val="center"/>
          </w:tcPr>
          <w:p w14:paraId="7D91CA55" w14:textId="6480B347" w:rsidR="00BC37F0" w:rsidRPr="001D1116" w:rsidRDefault="00AA78AC" w:rsidP="00BC37F0">
            <w:pPr>
              <w:rPr>
                <w:rFonts w:ascii="Tahoma" w:hAnsi="Tahoma" w:cs="Tahoma"/>
                <w:sz w:val="18"/>
                <w:szCs w:val="18"/>
              </w:rPr>
            </w:pPr>
            <w:r w:rsidRPr="001D1116">
              <w:rPr>
                <w:rFonts w:ascii="Tahoma" w:hAnsi="Tahoma" w:cs="Tahoma"/>
                <w:sz w:val="18"/>
                <w:szCs w:val="18"/>
              </w:rPr>
              <w:t>2-28 Participação em associações</w:t>
            </w:r>
          </w:p>
        </w:tc>
        <w:tc>
          <w:tcPr>
            <w:tcW w:w="2884" w:type="dxa"/>
            <w:vAlign w:val="center"/>
          </w:tcPr>
          <w:p w14:paraId="5D0C279F" w14:textId="155698BC" w:rsidR="00BC37F0" w:rsidRPr="001D1116" w:rsidRDefault="00FB3DF3" w:rsidP="00BC37F0">
            <w:pPr>
              <w:rPr>
                <w:rFonts w:ascii="Tahoma" w:hAnsi="Tahoma" w:cs="Tahoma"/>
                <w:sz w:val="18"/>
                <w:szCs w:val="18"/>
              </w:rPr>
            </w:pPr>
            <w:r w:rsidRPr="001D1116">
              <w:rPr>
                <w:rFonts w:ascii="Tahoma" w:hAnsi="Tahoma" w:cs="Tahoma"/>
                <w:sz w:val="18"/>
                <w:szCs w:val="18"/>
              </w:rPr>
              <w:t>8</w:t>
            </w:r>
            <w:r w:rsidR="007862CF">
              <w:rPr>
                <w:rFonts w:ascii="Tahoma" w:hAnsi="Tahoma" w:cs="Tahoma"/>
                <w:sz w:val="18"/>
                <w:szCs w:val="18"/>
              </w:rPr>
              <w:t>8</w:t>
            </w:r>
          </w:p>
        </w:tc>
      </w:tr>
      <w:bookmarkEnd w:id="336"/>
    </w:tbl>
    <w:p w14:paraId="5840E528" w14:textId="77777777" w:rsidR="00BC37F0" w:rsidRPr="007C3F48" w:rsidRDefault="00BC37F0" w:rsidP="007C3F48">
      <w:pPr>
        <w:spacing w:before="120" w:after="120" w:line="360" w:lineRule="auto"/>
        <w:rPr>
          <w:rFonts w:ascii="Tahoma" w:eastAsia="Calibri" w:hAnsi="Tahoma" w:cs="Tahoma"/>
          <w:sz w:val="19"/>
          <w:szCs w:val="19"/>
        </w:rPr>
      </w:pPr>
    </w:p>
    <w:p w14:paraId="4AE04081" w14:textId="77777777" w:rsidR="00BC37F0" w:rsidRPr="00254F4A" w:rsidRDefault="00BC37F0" w:rsidP="007C3F48">
      <w:pPr>
        <w:spacing w:before="120" w:after="120" w:line="360" w:lineRule="auto"/>
        <w:rPr>
          <w:rFonts w:ascii="Tahoma" w:eastAsia="Calibri" w:hAnsi="Tahoma"/>
          <w:sz w:val="19"/>
        </w:rPr>
      </w:pPr>
    </w:p>
    <w:sectPr w:rsidR="00BC37F0" w:rsidRPr="00254F4A">
      <w:headerReference w:type="default" r:id="rId276"/>
      <w:footerReference w:type="default" r:id="rId277"/>
      <w:pgSz w:w="11906" w:h="16838"/>
      <w:pgMar w:top="1440" w:right="1700" w:bottom="1440" w:left="108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294DCE" w14:textId="77777777" w:rsidR="000A3896" w:rsidRDefault="000A3896">
      <w:r>
        <w:separator/>
      </w:r>
    </w:p>
  </w:endnote>
  <w:endnote w:type="continuationSeparator" w:id="0">
    <w:p w14:paraId="6DF7D07D" w14:textId="77777777" w:rsidR="000A3896" w:rsidRDefault="000A3896">
      <w:r>
        <w:continuationSeparator/>
      </w:r>
    </w:p>
  </w:endnote>
  <w:endnote w:type="continuationNotice" w:id="1">
    <w:p w14:paraId="24E65682" w14:textId="77777777" w:rsidR="000A3896" w:rsidRDefault="000A38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KievitOT-Bold">
    <w:charset w:val="00"/>
    <w:family w:val="swiss"/>
    <w:pitch w:val="variable"/>
  </w:font>
  <w:font w:name="KievitOT-Medium">
    <w:charset w:val="00"/>
    <w:family w:val="swiss"/>
    <w:pitch w:val="default"/>
  </w:font>
  <w:font w:name="Adobe Garamond Pro Bold">
    <w:charset w:val="00"/>
    <w:family w:val="roman"/>
    <w:pitch w:val="variable"/>
  </w:font>
  <w:font w:name="Kievit OT">
    <w:charset w:val="00"/>
    <w:family w:val="swiss"/>
    <w:pitch w:val="default"/>
  </w:font>
  <w:font w:name="YCBNULå¼«ArialM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CBB43E" w14:textId="77777777" w:rsidR="00BB0E07" w:rsidRDefault="00BB0E07">
    <w:pPr>
      <w:pStyle w:val="Rodap"/>
      <w:jc w:val="right"/>
      <w:rPr>
        <w:rFonts w:ascii="Tahoma" w:hAnsi="Tahoma" w:cs="Tahoma"/>
        <w:sz w:val="16"/>
      </w:rPr>
    </w:pPr>
  </w:p>
  <w:p w14:paraId="0ACE98C6" w14:textId="77777777" w:rsidR="00BB0E07" w:rsidRDefault="00BB0E07">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E9EE7C" w14:textId="77777777" w:rsidR="00BB0E07" w:rsidRDefault="00BB0E07">
    <w:pPr>
      <w:pStyle w:val="Rodap"/>
      <w:jc w:val="right"/>
      <w:rPr>
        <w:rFonts w:ascii="Tahoma" w:hAnsi="Tahoma" w:cs="Tahoma"/>
        <w:sz w:val="16"/>
      </w:rPr>
    </w:pPr>
  </w:p>
  <w:p w14:paraId="4A6ED9CC" w14:textId="77777777" w:rsidR="00BB0E07" w:rsidRDefault="00BB0E07">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1E651B" w14:textId="77777777" w:rsidR="00BB0E07" w:rsidRDefault="00BB0E07">
    <w:pPr>
      <w:pStyle w:val="Rodap"/>
      <w:jc w:val="right"/>
      <w:rPr>
        <w:rFonts w:ascii="Tahoma" w:hAnsi="Tahoma" w:cs="Tahoma"/>
        <w:sz w:val="16"/>
      </w:rPr>
    </w:pPr>
  </w:p>
  <w:p w14:paraId="2E19A928" w14:textId="77777777" w:rsidR="00BB0E07" w:rsidRDefault="00BB0E07">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C4E271" w14:textId="05228539" w:rsidR="00BB0E07" w:rsidRPr="006F49ED" w:rsidRDefault="00BB0E07">
    <w:pPr>
      <w:pStyle w:val="Rodap"/>
      <w:jc w:val="right"/>
      <w:rPr>
        <w:rFonts w:asciiTheme="majorHAnsi" w:hAnsiTheme="majorHAnsi" w:cstheme="majorHAnsi"/>
        <w:sz w:val="28"/>
        <w:szCs w:val="28"/>
      </w:rPr>
    </w:pPr>
    <w:r w:rsidRPr="006F49ED">
      <w:rPr>
        <w:rFonts w:asciiTheme="majorHAnsi" w:hAnsiTheme="majorHAnsi" w:cstheme="majorHAnsi"/>
        <w:sz w:val="18"/>
        <w:szCs w:val="18"/>
      </w:rPr>
      <w:fldChar w:fldCharType="begin"/>
    </w:r>
    <w:r w:rsidRPr="006F49ED">
      <w:rPr>
        <w:rFonts w:asciiTheme="majorHAnsi" w:hAnsiTheme="majorHAnsi" w:cstheme="majorHAnsi"/>
        <w:sz w:val="18"/>
        <w:szCs w:val="18"/>
      </w:rPr>
      <w:instrText xml:space="preserve"> PAGE </w:instrText>
    </w:r>
    <w:r w:rsidRPr="006F49ED">
      <w:rPr>
        <w:rFonts w:asciiTheme="majorHAnsi" w:hAnsiTheme="majorHAnsi" w:cstheme="majorHAnsi"/>
        <w:sz w:val="18"/>
        <w:szCs w:val="18"/>
      </w:rPr>
      <w:fldChar w:fldCharType="separate"/>
    </w:r>
    <w:r w:rsidRPr="006F49ED">
      <w:rPr>
        <w:rFonts w:asciiTheme="majorHAnsi" w:hAnsiTheme="majorHAnsi" w:cstheme="majorHAnsi"/>
        <w:sz w:val="18"/>
        <w:szCs w:val="18"/>
      </w:rPr>
      <w:t>114</w:t>
    </w:r>
    <w:r w:rsidRPr="006F49ED">
      <w:rPr>
        <w:rFonts w:asciiTheme="majorHAnsi" w:hAnsiTheme="majorHAnsi" w:cstheme="majorHAnsi"/>
        <w:sz w:val="18"/>
        <w:szCs w:val="18"/>
      </w:rPr>
      <w:fldChar w:fldCharType="end"/>
    </w:r>
  </w:p>
  <w:p w14:paraId="3B2FC272" w14:textId="77777777" w:rsidR="00BB0E07" w:rsidRDefault="00BB0E0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E2548E" w14:textId="77777777" w:rsidR="000A3896" w:rsidRDefault="000A3896">
      <w:r>
        <w:rPr>
          <w:color w:val="000000"/>
        </w:rPr>
        <w:separator/>
      </w:r>
    </w:p>
  </w:footnote>
  <w:footnote w:type="continuationSeparator" w:id="0">
    <w:p w14:paraId="2D94ECA6" w14:textId="77777777" w:rsidR="000A3896" w:rsidRDefault="000A3896">
      <w:r>
        <w:continuationSeparator/>
      </w:r>
    </w:p>
  </w:footnote>
  <w:footnote w:type="continuationNotice" w:id="1">
    <w:p w14:paraId="5EA3BC9B" w14:textId="77777777" w:rsidR="000A3896" w:rsidRDefault="000A389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6260" w:type="dxa"/>
      <w:tblLayout w:type="fixed"/>
      <w:tblCellMar>
        <w:left w:w="10" w:type="dxa"/>
        <w:right w:w="10" w:type="dxa"/>
      </w:tblCellMar>
      <w:tblLook w:val="04A0" w:firstRow="1" w:lastRow="0" w:firstColumn="1" w:lastColumn="0" w:noHBand="0" w:noVBand="1"/>
    </w:tblPr>
    <w:tblGrid>
      <w:gridCol w:w="5420"/>
      <w:gridCol w:w="5420"/>
      <w:gridCol w:w="5420"/>
    </w:tblGrid>
    <w:tr w:rsidR="00A84BD3" w14:paraId="557E7344" w14:textId="77777777">
      <w:trPr>
        <w:trHeight w:val="300"/>
      </w:trPr>
      <w:tc>
        <w:tcPr>
          <w:tcW w:w="5420" w:type="dxa"/>
          <w:shd w:val="clear" w:color="auto" w:fill="auto"/>
          <w:tcMar>
            <w:top w:w="0" w:type="dxa"/>
            <w:left w:w="108" w:type="dxa"/>
            <w:bottom w:w="0" w:type="dxa"/>
            <w:right w:w="108" w:type="dxa"/>
          </w:tcMar>
        </w:tcPr>
        <w:p w14:paraId="4318D258" w14:textId="77777777" w:rsidR="00BB0E07" w:rsidRDefault="00BB0E07">
          <w:pPr>
            <w:pStyle w:val="Cabealho"/>
            <w:ind w:left="-115"/>
          </w:pPr>
        </w:p>
      </w:tc>
      <w:tc>
        <w:tcPr>
          <w:tcW w:w="5420" w:type="dxa"/>
          <w:shd w:val="clear" w:color="auto" w:fill="auto"/>
          <w:tcMar>
            <w:top w:w="0" w:type="dxa"/>
            <w:left w:w="108" w:type="dxa"/>
            <w:bottom w:w="0" w:type="dxa"/>
            <w:right w:w="108" w:type="dxa"/>
          </w:tcMar>
        </w:tcPr>
        <w:p w14:paraId="2A4A44D3" w14:textId="77777777" w:rsidR="00BB0E07" w:rsidRDefault="00BB0E07" w:rsidP="00541FB6">
          <w:pPr>
            <w:pStyle w:val="Cabealho"/>
          </w:pPr>
        </w:p>
      </w:tc>
      <w:tc>
        <w:tcPr>
          <w:tcW w:w="5420" w:type="dxa"/>
          <w:shd w:val="clear" w:color="auto" w:fill="auto"/>
          <w:tcMar>
            <w:top w:w="0" w:type="dxa"/>
            <w:left w:w="108" w:type="dxa"/>
            <w:bottom w:w="0" w:type="dxa"/>
            <w:right w:w="108" w:type="dxa"/>
          </w:tcMar>
        </w:tcPr>
        <w:p w14:paraId="7E3F17BC" w14:textId="77777777" w:rsidR="00BB0E07" w:rsidRDefault="00BB0E07">
          <w:pPr>
            <w:pStyle w:val="Cabealho"/>
            <w:ind w:right="-115"/>
            <w:jc w:val="right"/>
          </w:pPr>
        </w:p>
      </w:tc>
    </w:tr>
  </w:tbl>
  <w:p w14:paraId="6F18EE2A" w14:textId="77777777" w:rsidR="00BB0E07" w:rsidRDefault="00BB0E07">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6305" w:type="dxa"/>
      <w:tblLayout w:type="fixed"/>
      <w:tblCellMar>
        <w:left w:w="10" w:type="dxa"/>
        <w:right w:w="10" w:type="dxa"/>
      </w:tblCellMar>
      <w:tblLook w:val="04A0" w:firstRow="1" w:lastRow="0" w:firstColumn="1" w:lastColumn="0" w:noHBand="0" w:noVBand="1"/>
    </w:tblPr>
    <w:tblGrid>
      <w:gridCol w:w="5435"/>
      <w:gridCol w:w="5435"/>
      <w:gridCol w:w="5435"/>
    </w:tblGrid>
    <w:tr w:rsidR="00A84BD3" w14:paraId="53A76A5A" w14:textId="77777777">
      <w:trPr>
        <w:trHeight w:val="300"/>
      </w:trPr>
      <w:tc>
        <w:tcPr>
          <w:tcW w:w="5435" w:type="dxa"/>
          <w:shd w:val="clear" w:color="auto" w:fill="auto"/>
          <w:tcMar>
            <w:top w:w="0" w:type="dxa"/>
            <w:left w:w="108" w:type="dxa"/>
            <w:bottom w:w="0" w:type="dxa"/>
            <w:right w:w="108" w:type="dxa"/>
          </w:tcMar>
        </w:tcPr>
        <w:p w14:paraId="314F9CB1" w14:textId="77777777" w:rsidR="00BB0E07" w:rsidRDefault="00BB0E07">
          <w:pPr>
            <w:pStyle w:val="Cabealho"/>
            <w:ind w:left="-115"/>
          </w:pPr>
        </w:p>
      </w:tc>
      <w:tc>
        <w:tcPr>
          <w:tcW w:w="5435" w:type="dxa"/>
          <w:shd w:val="clear" w:color="auto" w:fill="auto"/>
          <w:tcMar>
            <w:top w:w="0" w:type="dxa"/>
            <w:left w:w="108" w:type="dxa"/>
            <w:bottom w:w="0" w:type="dxa"/>
            <w:right w:w="108" w:type="dxa"/>
          </w:tcMar>
        </w:tcPr>
        <w:p w14:paraId="563AFD9A" w14:textId="77777777" w:rsidR="00BB0E07" w:rsidRDefault="00BB0E07">
          <w:pPr>
            <w:pStyle w:val="Cabealho"/>
            <w:jc w:val="center"/>
          </w:pPr>
        </w:p>
      </w:tc>
      <w:tc>
        <w:tcPr>
          <w:tcW w:w="5435" w:type="dxa"/>
          <w:shd w:val="clear" w:color="auto" w:fill="auto"/>
          <w:tcMar>
            <w:top w:w="0" w:type="dxa"/>
            <w:left w:w="108" w:type="dxa"/>
            <w:bottom w:w="0" w:type="dxa"/>
            <w:right w:w="108" w:type="dxa"/>
          </w:tcMar>
        </w:tcPr>
        <w:p w14:paraId="301FEBD7" w14:textId="77777777" w:rsidR="00BB0E07" w:rsidRDefault="00BB0E07">
          <w:pPr>
            <w:pStyle w:val="Cabealho"/>
            <w:ind w:right="-115"/>
            <w:jc w:val="right"/>
          </w:pPr>
        </w:p>
      </w:tc>
    </w:tr>
  </w:tbl>
  <w:p w14:paraId="58A7D0F7" w14:textId="77777777" w:rsidR="00BB0E07" w:rsidRDefault="00BB0E07">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89A24A" w14:textId="77777777" w:rsidR="00BB0E07" w:rsidRDefault="00BB0E07">
    <w:pPr>
      <w:pStyle w:val="Cabealho"/>
      <w:tabs>
        <w:tab w:val="left" w:pos="2070"/>
        <w:tab w:val="right" w:pos="9638"/>
      </w:tabs>
    </w:pPr>
  </w:p>
  <w:tbl>
    <w:tblPr>
      <w:tblW w:w="9746" w:type="dxa"/>
      <w:tblCellMar>
        <w:left w:w="10" w:type="dxa"/>
        <w:right w:w="10" w:type="dxa"/>
      </w:tblCellMar>
      <w:tblLook w:val="04A0" w:firstRow="1" w:lastRow="0" w:firstColumn="1" w:lastColumn="0" w:noHBand="0" w:noVBand="1"/>
    </w:tblPr>
    <w:tblGrid>
      <w:gridCol w:w="2720"/>
      <w:gridCol w:w="7026"/>
    </w:tblGrid>
    <w:tr w:rsidR="00A84BD3" w14:paraId="1047E102" w14:textId="77777777">
      <w:trPr>
        <w:trHeight w:val="1004"/>
      </w:trPr>
      <w:tc>
        <w:tcPr>
          <w:tcW w:w="2720" w:type="dxa"/>
          <w:shd w:val="clear" w:color="auto" w:fill="auto"/>
          <w:tcMar>
            <w:top w:w="0" w:type="dxa"/>
            <w:left w:w="108" w:type="dxa"/>
            <w:bottom w:w="0" w:type="dxa"/>
            <w:right w:w="108" w:type="dxa"/>
          </w:tcMar>
          <w:vAlign w:val="center"/>
        </w:tcPr>
        <w:p w14:paraId="5023AE06" w14:textId="6424FD82" w:rsidR="00BB0E07" w:rsidRDefault="00BB0E07">
          <w:pPr>
            <w:pStyle w:val="Cabealho"/>
            <w:tabs>
              <w:tab w:val="clear" w:pos="8504"/>
              <w:tab w:val="left" w:pos="1035"/>
              <w:tab w:val="center" w:pos="2126"/>
              <w:tab w:val="right" w:pos="4252"/>
              <w:tab w:val="right" w:pos="4819"/>
            </w:tabs>
            <w:rPr>
              <w:rFonts w:ascii="Tahoma" w:hAnsi="Tahoma" w:cs="Tahoma"/>
              <w:color w:val="A6A6A6"/>
              <w:sz w:val="16"/>
              <w:szCs w:val="16"/>
            </w:rPr>
          </w:pPr>
        </w:p>
      </w:tc>
      <w:tc>
        <w:tcPr>
          <w:tcW w:w="7026" w:type="dxa"/>
          <w:shd w:val="clear" w:color="auto" w:fill="auto"/>
          <w:tcMar>
            <w:top w:w="0" w:type="dxa"/>
            <w:left w:w="108" w:type="dxa"/>
            <w:bottom w:w="0" w:type="dxa"/>
            <w:right w:w="108" w:type="dxa"/>
          </w:tcMar>
        </w:tcPr>
        <w:p w14:paraId="03D7FE6A" w14:textId="77777777" w:rsidR="00BB0E07" w:rsidRDefault="00BB0E07">
          <w:pPr>
            <w:pStyle w:val="Cabealho"/>
            <w:tabs>
              <w:tab w:val="clear" w:pos="8504"/>
              <w:tab w:val="left" w:pos="1035"/>
              <w:tab w:val="center" w:pos="2126"/>
              <w:tab w:val="right" w:pos="4252"/>
              <w:tab w:val="right" w:pos="4819"/>
            </w:tabs>
            <w:jc w:val="right"/>
          </w:pPr>
          <w:r>
            <w:rPr>
              <w:noProof/>
            </w:rPr>
            <w:drawing>
              <wp:inline distT="0" distB="0" distL="0" distR="0" wp14:anchorId="05372242" wp14:editId="2F2A0011">
                <wp:extent cx="3717922" cy="550541"/>
                <wp:effectExtent l="0" t="0" r="0" b="1909"/>
                <wp:docPr id="238204365" name="Picture 1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717922" cy="550541"/>
                        </a:xfrm>
                        <a:prstGeom prst="rect">
                          <a:avLst/>
                        </a:prstGeom>
                        <a:noFill/>
                        <a:ln>
                          <a:noFill/>
                          <a:prstDash/>
                        </a:ln>
                      </pic:spPr>
                    </pic:pic>
                  </a:graphicData>
                </a:graphic>
              </wp:inline>
            </w:drawing>
          </w:r>
        </w:p>
      </w:tc>
    </w:tr>
  </w:tbl>
  <w:p w14:paraId="308FBB8E" w14:textId="77777777" w:rsidR="00BB0E07" w:rsidRDefault="00BB0E07">
    <w:pPr>
      <w:pStyle w:val="Cabealho"/>
      <w:tabs>
        <w:tab w:val="left" w:pos="2070"/>
        <w:tab w:val="right" w:pos="9638"/>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EE8E33" w14:textId="1E925E1D" w:rsidR="00BB0E07" w:rsidRDefault="00BB0E07">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E1821"/>
    <w:multiLevelType w:val="multilevel"/>
    <w:tmpl w:val="D30874E4"/>
    <w:lvl w:ilvl="0">
      <w:numFmt w:val="bullet"/>
      <w:lvlText w:val=""/>
      <w:lvlJc w:val="left"/>
      <w:pPr>
        <w:ind w:left="862" w:hanging="360"/>
      </w:pPr>
      <w:rPr>
        <w:rFonts w:ascii="Symbol" w:hAnsi="Symbol"/>
      </w:rPr>
    </w:lvl>
    <w:lvl w:ilvl="1">
      <w:numFmt w:val="bullet"/>
      <w:lvlText w:val="o"/>
      <w:lvlJc w:val="left"/>
      <w:pPr>
        <w:ind w:left="1582" w:hanging="360"/>
      </w:pPr>
      <w:rPr>
        <w:rFonts w:ascii="Courier New" w:hAnsi="Courier New" w:cs="Courier New"/>
      </w:rPr>
    </w:lvl>
    <w:lvl w:ilvl="2">
      <w:numFmt w:val="bullet"/>
      <w:lvlText w:val=""/>
      <w:lvlJc w:val="left"/>
      <w:pPr>
        <w:ind w:left="2302" w:hanging="360"/>
      </w:pPr>
      <w:rPr>
        <w:rFonts w:ascii="Wingdings" w:hAnsi="Wingdings"/>
      </w:rPr>
    </w:lvl>
    <w:lvl w:ilvl="3">
      <w:numFmt w:val="bullet"/>
      <w:lvlText w:val=""/>
      <w:lvlJc w:val="left"/>
      <w:pPr>
        <w:ind w:left="3022" w:hanging="360"/>
      </w:pPr>
      <w:rPr>
        <w:rFonts w:ascii="Symbol" w:hAnsi="Symbol"/>
      </w:rPr>
    </w:lvl>
    <w:lvl w:ilvl="4">
      <w:numFmt w:val="bullet"/>
      <w:lvlText w:val="o"/>
      <w:lvlJc w:val="left"/>
      <w:pPr>
        <w:ind w:left="3742" w:hanging="360"/>
      </w:pPr>
      <w:rPr>
        <w:rFonts w:ascii="Courier New" w:hAnsi="Courier New" w:cs="Courier New"/>
      </w:rPr>
    </w:lvl>
    <w:lvl w:ilvl="5">
      <w:numFmt w:val="bullet"/>
      <w:lvlText w:val=""/>
      <w:lvlJc w:val="left"/>
      <w:pPr>
        <w:ind w:left="4462" w:hanging="360"/>
      </w:pPr>
      <w:rPr>
        <w:rFonts w:ascii="Wingdings" w:hAnsi="Wingdings"/>
      </w:rPr>
    </w:lvl>
    <w:lvl w:ilvl="6">
      <w:numFmt w:val="bullet"/>
      <w:lvlText w:val=""/>
      <w:lvlJc w:val="left"/>
      <w:pPr>
        <w:ind w:left="5182" w:hanging="360"/>
      </w:pPr>
      <w:rPr>
        <w:rFonts w:ascii="Symbol" w:hAnsi="Symbol"/>
      </w:rPr>
    </w:lvl>
    <w:lvl w:ilvl="7">
      <w:numFmt w:val="bullet"/>
      <w:lvlText w:val="o"/>
      <w:lvlJc w:val="left"/>
      <w:pPr>
        <w:ind w:left="5902" w:hanging="360"/>
      </w:pPr>
      <w:rPr>
        <w:rFonts w:ascii="Courier New" w:hAnsi="Courier New" w:cs="Courier New"/>
      </w:rPr>
    </w:lvl>
    <w:lvl w:ilvl="8">
      <w:numFmt w:val="bullet"/>
      <w:lvlText w:val=""/>
      <w:lvlJc w:val="left"/>
      <w:pPr>
        <w:ind w:left="6622" w:hanging="360"/>
      </w:pPr>
      <w:rPr>
        <w:rFonts w:ascii="Wingdings" w:hAnsi="Wingdings"/>
      </w:rPr>
    </w:lvl>
  </w:abstractNum>
  <w:abstractNum w:abstractNumId="1" w15:restartNumberingAfterBreak="0">
    <w:nsid w:val="03115971"/>
    <w:multiLevelType w:val="multilevel"/>
    <w:tmpl w:val="3FE45BCC"/>
    <w:lvl w:ilvl="0">
      <w:numFmt w:val="bullet"/>
      <w:lvlText w:val="•"/>
      <w:lvlJc w:val="left"/>
      <w:pPr>
        <w:ind w:left="1065" w:hanging="705"/>
      </w:pPr>
      <w:rPr>
        <w:rFonts w:ascii="Tahoma" w:eastAsia="Times New Roman" w:hAnsi="Tahoma" w:cs="Tahom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98907FE"/>
    <w:multiLevelType w:val="hybridMultilevel"/>
    <w:tmpl w:val="E8687994"/>
    <w:lvl w:ilvl="0" w:tplc="3E9E8056">
      <w:start w:val="1"/>
      <w:numFmt w:val="decimal"/>
      <w:lvlText w:val="%1."/>
      <w:lvlJc w:val="left"/>
      <w:pPr>
        <w:ind w:left="720" w:hanging="360"/>
      </w:pPr>
      <w:rPr>
        <w:rFonts w:ascii="Tahoma" w:hAnsi="Tahoma" w:hint="default"/>
        <w:b w:val="0"/>
        <w:i w:val="0"/>
        <w:color w:val="0098BA"/>
        <w:sz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E812971"/>
    <w:multiLevelType w:val="multilevel"/>
    <w:tmpl w:val="E262800C"/>
    <w:lvl w:ilvl="0">
      <w:start w:val="1"/>
      <w:numFmt w:val="bullet"/>
      <w:lvlText w:val=""/>
      <w:lvlJc w:val="left"/>
      <w:pPr>
        <w:ind w:left="720" w:hanging="360"/>
      </w:pPr>
      <w:rPr>
        <w:rFonts w:ascii="Wingdings" w:hAnsi="Wingdings" w:hint="default"/>
        <w:color w:val="0098B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F322E42"/>
    <w:multiLevelType w:val="multilevel"/>
    <w:tmpl w:val="903816F4"/>
    <w:styleLink w:val="WWOutlineListStyle3"/>
    <w:lvl w:ilvl="0">
      <w:start w:val="1"/>
      <w:numFmt w:val="decimal"/>
      <w:lvlText w:val="%1."/>
      <w:lvlJc w:val="left"/>
      <w:pPr>
        <w:ind w:left="360" w:hanging="360"/>
      </w:pPr>
      <w:rPr>
        <w:rFonts w:ascii="Times New Roman" w:hAnsi="Times New Roman" w:cs="Times New Roma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 w15:restartNumberingAfterBreak="0">
    <w:nsid w:val="14483CE4"/>
    <w:multiLevelType w:val="multilevel"/>
    <w:tmpl w:val="7D68A2A2"/>
    <w:styleLink w:val="WWOutlineListStyle5"/>
    <w:lvl w:ilvl="0">
      <w:start w:val="1"/>
      <w:numFmt w:val="decimal"/>
      <w:lvlText w:val="%1."/>
      <w:lvlJc w:val="left"/>
      <w:pPr>
        <w:ind w:left="360" w:hanging="360"/>
      </w:pPr>
      <w:rPr>
        <w:rFonts w:ascii="Times New Roman" w:hAnsi="Times New Roman" w:cs="Times New Roma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6" w15:restartNumberingAfterBreak="0">
    <w:nsid w:val="18906FD8"/>
    <w:multiLevelType w:val="multilevel"/>
    <w:tmpl w:val="1416D62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1A927E4B"/>
    <w:multiLevelType w:val="hybridMultilevel"/>
    <w:tmpl w:val="9E362F7C"/>
    <w:lvl w:ilvl="0" w:tplc="9C7CDF0C">
      <w:start w:val="1"/>
      <w:numFmt w:val="decimal"/>
      <w:lvlText w:val="%1"/>
      <w:lvlJc w:val="left"/>
      <w:pPr>
        <w:ind w:left="720" w:hanging="360"/>
      </w:pPr>
      <w:rPr>
        <w:rFonts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C5B0AEF"/>
    <w:multiLevelType w:val="multilevel"/>
    <w:tmpl w:val="4A06572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233736C7"/>
    <w:multiLevelType w:val="multilevel"/>
    <w:tmpl w:val="49B4CCD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291F4F6C"/>
    <w:multiLevelType w:val="multilevel"/>
    <w:tmpl w:val="4216CA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2B830BF6"/>
    <w:multiLevelType w:val="multilevel"/>
    <w:tmpl w:val="05FE499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303A6FDA"/>
    <w:multiLevelType w:val="multilevel"/>
    <w:tmpl w:val="99FE3F60"/>
    <w:styleLink w:val="WWOutlineListStyle4"/>
    <w:lvl w:ilvl="0">
      <w:start w:val="1"/>
      <w:numFmt w:val="decimal"/>
      <w:lvlText w:val="%1."/>
      <w:lvlJc w:val="left"/>
      <w:pPr>
        <w:ind w:left="360" w:hanging="360"/>
      </w:pPr>
      <w:rPr>
        <w:rFonts w:ascii="Times New Roman" w:hAnsi="Times New Roman" w:cs="Times New Roma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3" w15:restartNumberingAfterBreak="0">
    <w:nsid w:val="34A015E5"/>
    <w:multiLevelType w:val="multilevel"/>
    <w:tmpl w:val="656A0F66"/>
    <w:styleLink w:val="LFO3"/>
    <w:lvl w:ilvl="0">
      <w:numFmt w:val="bullet"/>
      <w:pStyle w:val="CorpoItens"/>
      <w:lvlText w:val=""/>
      <w:lvlJc w:val="left"/>
      <w:pPr>
        <w:ind w:left="4836" w:hanging="360"/>
      </w:pPr>
      <w:rPr>
        <w:rFonts w:ascii="Wingdings" w:hAnsi="Wingdings" w:cs="Wingdings"/>
      </w:rPr>
    </w:lvl>
    <w:lvl w:ilvl="1">
      <w:numFmt w:val="bullet"/>
      <w:lvlText w:val="o"/>
      <w:lvlJc w:val="left"/>
      <w:pPr>
        <w:ind w:left="5470" w:hanging="360"/>
      </w:pPr>
      <w:rPr>
        <w:rFonts w:ascii="Courier New" w:hAnsi="Courier New" w:cs="Courier New"/>
      </w:rPr>
    </w:lvl>
    <w:lvl w:ilvl="2">
      <w:numFmt w:val="bullet"/>
      <w:lvlText w:val=""/>
      <w:lvlJc w:val="left"/>
      <w:pPr>
        <w:ind w:left="6276" w:hanging="360"/>
      </w:pPr>
      <w:rPr>
        <w:rFonts w:ascii="Wingdings" w:hAnsi="Wingdings" w:cs="Wingdings"/>
      </w:rPr>
    </w:lvl>
    <w:lvl w:ilvl="3">
      <w:numFmt w:val="bullet"/>
      <w:lvlText w:val=""/>
      <w:lvlJc w:val="left"/>
      <w:pPr>
        <w:ind w:left="6996" w:hanging="360"/>
      </w:pPr>
      <w:rPr>
        <w:rFonts w:ascii="Symbol" w:hAnsi="Symbol" w:cs="Symbol"/>
      </w:rPr>
    </w:lvl>
    <w:lvl w:ilvl="4">
      <w:numFmt w:val="bullet"/>
      <w:lvlText w:val="o"/>
      <w:lvlJc w:val="left"/>
      <w:pPr>
        <w:ind w:left="7716" w:hanging="360"/>
      </w:pPr>
      <w:rPr>
        <w:rFonts w:ascii="Courier New" w:hAnsi="Courier New" w:cs="Courier New"/>
      </w:rPr>
    </w:lvl>
    <w:lvl w:ilvl="5">
      <w:numFmt w:val="bullet"/>
      <w:lvlText w:val=""/>
      <w:lvlJc w:val="left"/>
      <w:pPr>
        <w:ind w:left="8436" w:hanging="360"/>
      </w:pPr>
      <w:rPr>
        <w:rFonts w:ascii="Wingdings" w:hAnsi="Wingdings" w:cs="Wingdings"/>
      </w:rPr>
    </w:lvl>
    <w:lvl w:ilvl="6">
      <w:numFmt w:val="bullet"/>
      <w:lvlText w:val=""/>
      <w:lvlJc w:val="left"/>
      <w:pPr>
        <w:ind w:left="9156" w:hanging="360"/>
      </w:pPr>
      <w:rPr>
        <w:rFonts w:ascii="Symbol" w:hAnsi="Symbol" w:cs="Symbol"/>
      </w:rPr>
    </w:lvl>
    <w:lvl w:ilvl="7">
      <w:numFmt w:val="bullet"/>
      <w:lvlText w:val="o"/>
      <w:lvlJc w:val="left"/>
      <w:pPr>
        <w:ind w:left="9876" w:hanging="360"/>
      </w:pPr>
      <w:rPr>
        <w:rFonts w:ascii="Courier New" w:hAnsi="Courier New" w:cs="Courier New"/>
      </w:rPr>
    </w:lvl>
    <w:lvl w:ilvl="8">
      <w:numFmt w:val="bullet"/>
      <w:lvlText w:val=""/>
      <w:lvlJc w:val="left"/>
      <w:pPr>
        <w:ind w:left="10596" w:hanging="360"/>
      </w:pPr>
      <w:rPr>
        <w:rFonts w:ascii="Wingdings" w:hAnsi="Wingdings" w:cs="Wingdings"/>
      </w:rPr>
    </w:lvl>
  </w:abstractNum>
  <w:abstractNum w:abstractNumId="14" w15:restartNumberingAfterBreak="0">
    <w:nsid w:val="3532715D"/>
    <w:multiLevelType w:val="hybridMultilevel"/>
    <w:tmpl w:val="2E0E1D10"/>
    <w:lvl w:ilvl="0" w:tplc="45E26E6E">
      <w:start w:val="1"/>
      <w:numFmt w:val="bullet"/>
      <w:lvlText w:val=""/>
      <w:lvlJc w:val="left"/>
      <w:pPr>
        <w:ind w:left="360" w:hanging="360"/>
      </w:pPr>
      <w:rPr>
        <w:rFonts w:ascii="Wingdings" w:hAnsi="Wingdings" w:hint="default"/>
        <w:color w:val="0098BA"/>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3B3C1EE0"/>
    <w:multiLevelType w:val="hybridMultilevel"/>
    <w:tmpl w:val="6838C3C0"/>
    <w:lvl w:ilvl="0" w:tplc="4D5E8482">
      <w:start w:val="1"/>
      <w:numFmt w:val="bullet"/>
      <w:lvlText w:val=""/>
      <w:lvlJc w:val="left"/>
      <w:pPr>
        <w:ind w:left="720" w:hanging="360"/>
      </w:pPr>
      <w:rPr>
        <w:rFonts w:ascii="Wingdings" w:hAnsi="Wingdings" w:hint="default"/>
        <w:color w:val="0098B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E7714EC"/>
    <w:multiLevelType w:val="hybridMultilevel"/>
    <w:tmpl w:val="6EB20A1C"/>
    <w:lvl w:ilvl="0" w:tplc="4D5E8482">
      <w:start w:val="1"/>
      <w:numFmt w:val="bullet"/>
      <w:lvlText w:val=""/>
      <w:lvlJc w:val="left"/>
      <w:pPr>
        <w:ind w:left="720" w:hanging="360"/>
      </w:pPr>
      <w:rPr>
        <w:rFonts w:ascii="Wingdings" w:hAnsi="Wingdings" w:hint="default"/>
        <w:color w:val="0098B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0873AB5"/>
    <w:multiLevelType w:val="multilevel"/>
    <w:tmpl w:val="05865008"/>
    <w:styleLink w:val="LFO10"/>
    <w:lvl w:ilvl="0">
      <w:start w:val="1"/>
      <w:numFmt w:val="decimal"/>
      <w:pStyle w:val="TtuloFinep1"/>
      <w:lvlText w:val="%1."/>
      <w:lvlJc w:val="left"/>
      <w:pPr>
        <w:ind w:left="501" w:hanging="360"/>
      </w:pPr>
      <w:rPr>
        <w:b/>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1.%2."/>
      <w:lvlJc w:val="left"/>
      <w:pPr>
        <w:ind w:left="1567" w:hanging="432"/>
      </w:pPr>
      <w:rPr>
        <w:rFonts w:ascii="Tahoma" w:hAnsi="Tahoma" w:cs="Tahoma"/>
        <w:b/>
      </w:rPr>
    </w:lvl>
    <w:lvl w:ilvl="2">
      <w:start w:val="1"/>
      <w:numFmt w:val="decimal"/>
      <w:lvlText w:val="%1.%2.%3."/>
      <w:lvlJc w:val="left"/>
      <w:pPr>
        <w:ind w:left="1072" w:hanging="504"/>
      </w:pPr>
      <w:rPr>
        <w:rFonts w:ascii="Tahoma" w:hAnsi="Tahoma" w:cs="Tahoma"/>
      </w:rPr>
    </w:lvl>
    <w:lvl w:ilvl="3">
      <w:start w:val="1"/>
      <w:numFmt w:val="decimal"/>
      <w:lvlText w:val="%1.%2.%3.%4."/>
      <w:lvlJc w:val="left"/>
      <w:pPr>
        <w:ind w:left="1728" w:hanging="648"/>
      </w:pPr>
      <w:rPr>
        <w:rFonts w:ascii="Times New Roman" w:hAnsi="Times New Roman" w:cs="Times New Roman"/>
      </w:rPr>
    </w:lvl>
    <w:lvl w:ilvl="4">
      <w:start w:val="1"/>
      <w:numFmt w:val="decimal"/>
      <w:lvlText w:val="%1.%2.%3.%4.%5."/>
      <w:lvlJc w:val="left"/>
      <w:pPr>
        <w:ind w:left="2232" w:hanging="792"/>
      </w:pPr>
      <w:rPr>
        <w:rFonts w:ascii="Times New Roman" w:hAnsi="Times New Roman" w:cs="Times New Roman"/>
      </w:rPr>
    </w:lvl>
    <w:lvl w:ilvl="5">
      <w:start w:val="1"/>
      <w:numFmt w:val="decimal"/>
      <w:lvlText w:val="%1.%2.%3.%4.%5.%6."/>
      <w:lvlJc w:val="left"/>
      <w:pPr>
        <w:ind w:left="2736" w:hanging="936"/>
      </w:pPr>
      <w:rPr>
        <w:rFonts w:ascii="Times New Roman" w:hAnsi="Times New Roman" w:cs="Times New Roman"/>
      </w:rPr>
    </w:lvl>
    <w:lvl w:ilvl="6">
      <w:start w:val="1"/>
      <w:numFmt w:val="decimal"/>
      <w:lvlText w:val="%1.%2.%3.%4.%5.%6.%7."/>
      <w:lvlJc w:val="left"/>
      <w:pPr>
        <w:ind w:left="3240" w:hanging="1080"/>
      </w:pPr>
      <w:rPr>
        <w:rFonts w:ascii="Times New Roman" w:hAnsi="Times New Roman" w:cs="Times New Roman"/>
      </w:rPr>
    </w:lvl>
    <w:lvl w:ilvl="7">
      <w:start w:val="1"/>
      <w:numFmt w:val="decimal"/>
      <w:lvlText w:val="%1.%2.%3.%4.%5.%6.%7.%8."/>
      <w:lvlJc w:val="left"/>
      <w:pPr>
        <w:ind w:left="3744" w:hanging="1224"/>
      </w:pPr>
      <w:rPr>
        <w:rFonts w:ascii="Times New Roman" w:hAnsi="Times New Roman" w:cs="Times New Roman"/>
      </w:rPr>
    </w:lvl>
    <w:lvl w:ilvl="8">
      <w:start w:val="1"/>
      <w:numFmt w:val="decimal"/>
      <w:lvlText w:val="%1.%2.%3.%4.%5.%6.%7.%8.%9."/>
      <w:lvlJc w:val="left"/>
      <w:pPr>
        <w:ind w:left="4320" w:hanging="1440"/>
      </w:pPr>
      <w:rPr>
        <w:rFonts w:ascii="Times New Roman" w:hAnsi="Times New Roman" w:cs="Times New Roman"/>
      </w:rPr>
    </w:lvl>
  </w:abstractNum>
  <w:abstractNum w:abstractNumId="18" w15:restartNumberingAfterBreak="0">
    <w:nsid w:val="44216402"/>
    <w:multiLevelType w:val="multilevel"/>
    <w:tmpl w:val="E8F0DB18"/>
    <w:styleLink w:val="LFO13"/>
    <w:lvl w:ilvl="0">
      <w:numFmt w:val="bullet"/>
      <w:pStyle w:val="corpocomidentao"/>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55F1A81"/>
    <w:multiLevelType w:val="hybridMultilevel"/>
    <w:tmpl w:val="068C996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9481E08"/>
    <w:multiLevelType w:val="hybridMultilevel"/>
    <w:tmpl w:val="93B8676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1" w15:restartNumberingAfterBreak="0">
    <w:nsid w:val="519E7210"/>
    <w:multiLevelType w:val="multilevel"/>
    <w:tmpl w:val="50066350"/>
    <w:styleLink w:val="LFO39"/>
    <w:lvl w:ilvl="0">
      <w:numFmt w:val="bullet"/>
      <w:pStyle w:val="Commarcadores"/>
      <w:lvlText w:val=""/>
      <w:lvlJc w:val="left"/>
      <w:pPr>
        <w:ind w:left="360" w:hanging="360"/>
      </w:pPr>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15:restartNumberingAfterBreak="0">
    <w:nsid w:val="55FE2F0F"/>
    <w:multiLevelType w:val="hybridMultilevel"/>
    <w:tmpl w:val="1616C1EE"/>
    <w:lvl w:ilvl="0" w:tplc="4D5E8482">
      <w:start w:val="1"/>
      <w:numFmt w:val="bullet"/>
      <w:lvlText w:val=""/>
      <w:lvlJc w:val="left"/>
      <w:pPr>
        <w:ind w:left="720" w:hanging="360"/>
      </w:pPr>
      <w:rPr>
        <w:rFonts w:ascii="Wingdings" w:hAnsi="Wingdings" w:hint="default"/>
        <w:color w:val="0098BA"/>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57366A68"/>
    <w:multiLevelType w:val="multilevel"/>
    <w:tmpl w:val="EA64C2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61C20FBF"/>
    <w:multiLevelType w:val="hybridMultilevel"/>
    <w:tmpl w:val="7AD6E570"/>
    <w:lvl w:ilvl="0" w:tplc="4D5E8482">
      <w:start w:val="1"/>
      <w:numFmt w:val="bullet"/>
      <w:lvlText w:val=""/>
      <w:lvlJc w:val="left"/>
      <w:pPr>
        <w:ind w:left="720" w:hanging="360"/>
      </w:pPr>
      <w:rPr>
        <w:rFonts w:ascii="Wingdings" w:hAnsi="Wingdings" w:hint="default"/>
        <w:color w:val="0098BA"/>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61C63B55"/>
    <w:multiLevelType w:val="multilevel"/>
    <w:tmpl w:val="FAB6D91A"/>
    <w:styleLink w:val="WWOutlineListStyle"/>
    <w:lvl w:ilvl="0">
      <w:start w:val="1"/>
      <w:numFmt w:val="decimal"/>
      <w:lvlText w:val="%1."/>
      <w:lvlJc w:val="left"/>
      <w:pPr>
        <w:ind w:left="360" w:hanging="360"/>
      </w:pPr>
      <w:rPr>
        <w:rFonts w:ascii="Times New Roman" w:hAnsi="Times New Roman" w:cs="Times New Roma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6" w15:restartNumberingAfterBreak="0">
    <w:nsid w:val="64433D26"/>
    <w:multiLevelType w:val="hybridMultilevel"/>
    <w:tmpl w:val="43B83486"/>
    <w:lvl w:ilvl="0" w:tplc="4D5E8482">
      <w:start w:val="1"/>
      <w:numFmt w:val="bullet"/>
      <w:lvlText w:val=""/>
      <w:lvlJc w:val="left"/>
      <w:pPr>
        <w:ind w:left="720" w:hanging="360"/>
      </w:pPr>
      <w:rPr>
        <w:rFonts w:ascii="Wingdings" w:hAnsi="Wingdings" w:hint="default"/>
        <w:color w:val="0098BA"/>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656C308E"/>
    <w:multiLevelType w:val="multilevel"/>
    <w:tmpl w:val="E138AD12"/>
    <w:styleLink w:val="LFO21"/>
    <w:lvl w:ilvl="0">
      <w:start w:val="1"/>
      <w:numFmt w:val="decimal"/>
      <w:pStyle w:val="Estilo2"/>
      <w:lvlText w:val="%1."/>
      <w:lvlJc w:val="left"/>
      <w:pPr>
        <w:ind w:left="360" w:hanging="360"/>
      </w:pPr>
    </w:lvl>
    <w:lvl w:ilvl="1">
      <w:start w:val="1"/>
      <w:numFmt w:val="decimal"/>
      <w:lvlText w:val="%1.%2."/>
      <w:lvlJc w:val="left"/>
      <w:pPr>
        <w:ind w:left="5251" w:hanging="432"/>
      </w:pPr>
      <w:rPr>
        <w:rFonts w:ascii="Tahoma" w:hAnsi="Tahoma" w:cs="Tahoma"/>
      </w:rPr>
    </w:lvl>
    <w:lvl w:ilvl="2">
      <w:start w:val="1"/>
      <w:numFmt w:val="decimal"/>
      <w:lvlText w:val="%1.%2.%3."/>
      <w:lvlJc w:val="left"/>
      <w:pPr>
        <w:ind w:left="1224" w:hanging="504"/>
      </w:pPr>
      <w:rPr>
        <w:rFonts w:ascii="Tahoma" w:hAnsi="Tahoma" w:cs="Tahoma"/>
      </w:rPr>
    </w:lvl>
    <w:lvl w:ilvl="3">
      <w:start w:val="1"/>
      <w:numFmt w:val="decimal"/>
      <w:lvlText w:val="%1.%2.%3.%4."/>
      <w:lvlJc w:val="left"/>
      <w:pPr>
        <w:ind w:left="1728" w:hanging="648"/>
      </w:pPr>
      <w:rPr>
        <w:rFonts w:ascii="Times New Roman" w:hAnsi="Times New Roman" w:cs="Times New Roman"/>
      </w:rPr>
    </w:lvl>
    <w:lvl w:ilvl="4">
      <w:start w:val="1"/>
      <w:numFmt w:val="decimal"/>
      <w:lvlText w:val="%1.%2.%3.%4.%5."/>
      <w:lvlJc w:val="left"/>
      <w:pPr>
        <w:ind w:left="2232" w:hanging="792"/>
      </w:pPr>
      <w:rPr>
        <w:rFonts w:ascii="Times New Roman" w:hAnsi="Times New Roman" w:cs="Times New Roman"/>
      </w:rPr>
    </w:lvl>
    <w:lvl w:ilvl="5">
      <w:start w:val="1"/>
      <w:numFmt w:val="decimal"/>
      <w:lvlText w:val="%1.%2.%3.%4.%5.%6."/>
      <w:lvlJc w:val="left"/>
      <w:pPr>
        <w:ind w:left="2736" w:hanging="936"/>
      </w:pPr>
      <w:rPr>
        <w:rFonts w:ascii="Times New Roman" w:hAnsi="Times New Roman" w:cs="Times New Roman"/>
      </w:rPr>
    </w:lvl>
    <w:lvl w:ilvl="6">
      <w:start w:val="1"/>
      <w:numFmt w:val="decimal"/>
      <w:lvlText w:val="%1.%2.%3.%4.%5.%6.%7."/>
      <w:lvlJc w:val="left"/>
      <w:pPr>
        <w:ind w:left="3240" w:hanging="1080"/>
      </w:pPr>
      <w:rPr>
        <w:rFonts w:ascii="Times New Roman" w:hAnsi="Times New Roman" w:cs="Times New Roman"/>
      </w:rPr>
    </w:lvl>
    <w:lvl w:ilvl="7">
      <w:start w:val="1"/>
      <w:numFmt w:val="decimal"/>
      <w:lvlText w:val="%1.%2.%3.%4.%5.%6.%7.%8."/>
      <w:lvlJc w:val="left"/>
      <w:pPr>
        <w:ind w:left="3744" w:hanging="1224"/>
      </w:pPr>
      <w:rPr>
        <w:rFonts w:ascii="Times New Roman" w:hAnsi="Times New Roman" w:cs="Times New Roman"/>
      </w:rPr>
    </w:lvl>
    <w:lvl w:ilvl="8">
      <w:start w:val="1"/>
      <w:numFmt w:val="decimal"/>
      <w:lvlText w:val="%1.%2.%3.%4.%5.%6.%7.%8.%9."/>
      <w:lvlJc w:val="left"/>
      <w:pPr>
        <w:ind w:left="4320" w:hanging="1440"/>
      </w:pPr>
      <w:rPr>
        <w:rFonts w:ascii="Times New Roman" w:hAnsi="Times New Roman" w:cs="Times New Roman"/>
      </w:rPr>
    </w:lvl>
  </w:abstractNum>
  <w:abstractNum w:abstractNumId="28" w15:restartNumberingAfterBreak="0">
    <w:nsid w:val="65A11A38"/>
    <w:multiLevelType w:val="hybridMultilevel"/>
    <w:tmpl w:val="D8303F62"/>
    <w:lvl w:ilvl="0" w:tplc="4D5E8482">
      <w:start w:val="1"/>
      <w:numFmt w:val="bullet"/>
      <w:lvlText w:val=""/>
      <w:lvlJc w:val="left"/>
      <w:pPr>
        <w:ind w:left="720" w:hanging="360"/>
      </w:pPr>
      <w:rPr>
        <w:rFonts w:ascii="Wingdings" w:hAnsi="Wingdings" w:hint="default"/>
        <w:color w:val="0098BA"/>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65B516FA"/>
    <w:multiLevelType w:val="multilevel"/>
    <w:tmpl w:val="43DCCFD2"/>
    <w:lvl w:ilvl="0">
      <w:start w:val="1"/>
      <w:numFmt w:val="lowerRoman"/>
      <w:lvlText w:val="(%1)"/>
      <w:lvlJc w:val="left"/>
      <w:pPr>
        <w:ind w:left="1503" w:hanging="720"/>
      </w:pPr>
    </w:lvl>
    <w:lvl w:ilvl="1">
      <w:start w:val="1"/>
      <w:numFmt w:val="lowerLetter"/>
      <w:lvlText w:val="%2."/>
      <w:lvlJc w:val="left"/>
      <w:pPr>
        <w:ind w:left="1863" w:hanging="360"/>
      </w:pPr>
    </w:lvl>
    <w:lvl w:ilvl="2">
      <w:start w:val="1"/>
      <w:numFmt w:val="lowerRoman"/>
      <w:lvlText w:val="%3."/>
      <w:lvlJc w:val="right"/>
      <w:pPr>
        <w:ind w:left="2583" w:hanging="180"/>
      </w:pPr>
    </w:lvl>
    <w:lvl w:ilvl="3">
      <w:start w:val="1"/>
      <w:numFmt w:val="decimal"/>
      <w:lvlText w:val="%4."/>
      <w:lvlJc w:val="left"/>
      <w:pPr>
        <w:ind w:left="3303" w:hanging="360"/>
      </w:pPr>
    </w:lvl>
    <w:lvl w:ilvl="4">
      <w:start w:val="1"/>
      <w:numFmt w:val="lowerLetter"/>
      <w:lvlText w:val="%5."/>
      <w:lvlJc w:val="left"/>
      <w:pPr>
        <w:ind w:left="4023" w:hanging="360"/>
      </w:pPr>
    </w:lvl>
    <w:lvl w:ilvl="5">
      <w:start w:val="1"/>
      <w:numFmt w:val="lowerRoman"/>
      <w:lvlText w:val="%6."/>
      <w:lvlJc w:val="right"/>
      <w:pPr>
        <w:ind w:left="4743" w:hanging="180"/>
      </w:pPr>
    </w:lvl>
    <w:lvl w:ilvl="6">
      <w:start w:val="1"/>
      <w:numFmt w:val="decimal"/>
      <w:lvlText w:val="%7."/>
      <w:lvlJc w:val="left"/>
      <w:pPr>
        <w:ind w:left="5463" w:hanging="360"/>
      </w:pPr>
    </w:lvl>
    <w:lvl w:ilvl="7">
      <w:start w:val="1"/>
      <w:numFmt w:val="lowerLetter"/>
      <w:lvlText w:val="%8."/>
      <w:lvlJc w:val="left"/>
      <w:pPr>
        <w:ind w:left="6183" w:hanging="360"/>
      </w:pPr>
    </w:lvl>
    <w:lvl w:ilvl="8">
      <w:start w:val="1"/>
      <w:numFmt w:val="lowerRoman"/>
      <w:lvlText w:val="%9."/>
      <w:lvlJc w:val="right"/>
      <w:pPr>
        <w:ind w:left="6903" w:hanging="180"/>
      </w:pPr>
    </w:lvl>
  </w:abstractNum>
  <w:abstractNum w:abstractNumId="30" w15:restartNumberingAfterBreak="0">
    <w:nsid w:val="69633F46"/>
    <w:multiLevelType w:val="multilevel"/>
    <w:tmpl w:val="516E57D8"/>
    <w:styleLink w:val="LFO12"/>
    <w:lvl w:ilvl="0">
      <w:start w:val="1"/>
      <w:numFmt w:val="decimal"/>
      <w:pStyle w:val="RelatrioNvel1"/>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31" w15:restartNumberingAfterBreak="0">
    <w:nsid w:val="6AD81BB1"/>
    <w:multiLevelType w:val="multilevel"/>
    <w:tmpl w:val="066E17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2" w15:restartNumberingAfterBreak="0">
    <w:nsid w:val="6BDB6CEC"/>
    <w:multiLevelType w:val="hybridMultilevel"/>
    <w:tmpl w:val="8138E86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6CE96B23"/>
    <w:multiLevelType w:val="hybridMultilevel"/>
    <w:tmpl w:val="B5561426"/>
    <w:lvl w:ilvl="0" w:tplc="4D5E8482">
      <w:start w:val="1"/>
      <w:numFmt w:val="bullet"/>
      <w:lvlText w:val=""/>
      <w:lvlJc w:val="left"/>
      <w:pPr>
        <w:ind w:left="720" w:hanging="360"/>
      </w:pPr>
      <w:rPr>
        <w:rFonts w:ascii="Wingdings" w:hAnsi="Wingdings" w:hint="default"/>
        <w:color w:val="0098BA"/>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6DD721DC"/>
    <w:multiLevelType w:val="hybridMultilevel"/>
    <w:tmpl w:val="5552A824"/>
    <w:lvl w:ilvl="0" w:tplc="4D5E8482">
      <w:start w:val="1"/>
      <w:numFmt w:val="bullet"/>
      <w:lvlText w:val=""/>
      <w:lvlJc w:val="left"/>
      <w:pPr>
        <w:ind w:left="720" w:hanging="360"/>
      </w:pPr>
      <w:rPr>
        <w:rFonts w:ascii="Wingdings" w:hAnsi="Wingdings" w:hint="default"/>
        <w:color w:val="0098BA"/>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E655955"/>
    <w:multiLevelType w:val="hybridMultilevel"/>
    <w:tmpl w:val="948AD8D6"/>
    <w:lvl w:ilvl="0" w:tplc="549ECD32">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6E74273D"/>
    <w:multiLevelType w:val="hybridMultilevel"/>
    <w:tmpl w:val="105E5D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72336B3C"/>
    <w:multiLevelType w:val="multilevel"/>
    <w:tmpl w:val="4D16D01C"/>
    <w:styleLink w:val="WWOutlineListStyle1"/>
    <w:lvl w:ilvl="0">
      <w:start w:val="1"/>
      <w:numFmt w:val="decimal"/>
      <w:lvlText w:val="%1."/>
      <w:lvlJc w:val="left"/>
      <w:pPr>
        <w:ind w:left="360" w:hanging="360"/>
      </w:pPr>
      <w:rPr>
        <w:rFonts w:ascii="Times New Roman" w:hAnsi="Times New Roman" w:cs="Times New Roma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8" w15:restartNumberingAfterBreak="0">
    <w:nsid w:val="72CC4485"/>
    <w:multiLevelType w:val="multilevel"/>
    <w:tmpl w:val="E72E5F4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739B4F32"/>
    <w:multiLevelType w:val="multilevel"/>
    <w:tmpl w:val="D44883E2"/>
    <w:styleLink w:val="WWOutlineListStyle2"/>
    <w:lvl w:ilvl="0">
      <w:start w:val="1"/>
      <w:numFmt w:val="decimal"/>
      <w:lvlText w:val="%1."/>
      <w:lvlJc w:val="left"/>
      <w:pPr>
        <w:ind w:left="360" w:hanging="360"/>
      </w:pPr>
      <w:rPr>
        <w:rFonts w:ascii="Times New Roman" w:hAnsi="Times New Roman" w:cs="Times New Roma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0" w15:restartNumberingAfterBreak="0">
    <w:nsid w:val="748017BD"/>
    <w:multiLevelType w:val="hybridMultilevel"/>
    <w:tmpl w:val="54744272"/>
    <w:lvl w:ilvl="0" w:tplc="4D5E8482">
      <w:start w:val="1"/>
      <w:numFmt w:val="bullet"/>
      <w:lvlText w:val=""/>
      <w:lvlJc w:val="left"/>
      <w:pPr>
        <w:ind w:left="360" w:hanging="360"/>
      </w:pPr>
      <w:rPr>
        <w:rFonts w:ascii="Wingdings" w:hAnsi="Wingdings" w:hint="default"/>
        <w:color w:val="0098BA"/>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 w15:restartNumberingAfterBreak="0">
    <w:nsid w:val="76765946"/>
    <w:multiLevelType w:val="hybridMultilevel"/>
    <w:tmpl w:val="479486CE"/>
    <w:lvl w:ilvl="0" w:tplc="0416000D">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7A23640E"/>
    <w:multiLevelType w:val="hybridMultilevel"/>
    <w:tmpl w:val="5AD07AC0"/>
    <w:lvl w:ilvl="0" w:tplc="4D5E8482">
      <w:start w:val="1"/>
      <w:numFmt w:val="bullet"/>
      <w:lvlText w:val=""/>
      <w:lvlJc w:val="left"/>
      <w:pPr>
        <w:ind w:left="720" w:hanging="360"/>
      </w:pPr>
      <w:rPr>
        <w:rFonts w:ascii="Wingdings" w:hAnsi="Wingdings" w:hint="default"/>
        <w:color w:val="0098BA"/>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7C2F6ADE"/>
    <w:multiLevelType w:val="multilevel"/>
    <w:tmpl w:val="44EC9F6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4" w15:restartNumberingAfterBreak="0">
    <w:nsid w:val="7D476807"/>
    <w:multiLevelType w:val="multilevel"/>
    <w:tmpl w:val="404CF486"/>
    <w:lvl w:ilvl="0">
      <w:numFmt w:val="bullet"/>
      <w:lvlText w:val=""/>
      <w:lvlJc w:val="left"/>
      <w:pPr>
        <w:ind w:left="1428" w:hanging="360"/>
      </w:pPr>
      <w:rPr>
        <w:rFonts w:ascii="Symbol" w:hAnsi="Symbol"/>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45" w15:restartNumberingAfterBreak="0">
    <w:nsid w:val="7FCF071B"/>
    <w:multiLevelType w:val="multilevel"/>
    <w:tmpl w:val="A86E0AD4"/>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1730492649">
    <w:abstractNumId w:val="4"/>
  </w:num>
  <w:num w:numId="2" w16cid:durableId="1757551081">
    <w:abstractNumId w:val="5"/>
  </w:num>
  <w:num w:numId="3" w16cid:durableId="1604727413">
    <w:abstractNumId w:val="12"/>
  </w:num>
  <w:num w:numId="4" w16cid:durableId="2009945366">
    <w:abstractNumId w:val="39"/>
  </w:num>
  <w:num w:numId="5" w16cid:durableId="676927925">
    <w:abstractNumId w:val="37"/>
  </w:num>
  <w:num w:numId="6" w16cid:durableId="1042098099">
    <w:abstractNumId w:val="25"/>
  </w:num>
  <w:num w:numId="7" w16cid:durableId="2125804138">
    <w:abstractNumId w:val="13"/>
  </w:num>
  <w:num w:numId="8" w16cid:durableId="929314103">
    <w:abstractNumId w:val="21"/>
  </w:num>
  <w:num w:numId="9" w16cid:durableId="1748111072">
    <w:abstractNumId w:val="17"/>
  </w:num>
  <w:num w:numId="10" w16cid:durableId="759256975">
    <w:abstractNumId w:val="30"/>
  </w:num>
  <w:num w:numId="11" w16cid:durableId="1721788341">
    <w:abstractNumId w:val="18"/>
  </w:num>
  <w:num w:numId="12" w16cid:durableId="120156291">
    <w:abstractNumId w:val="27"/>
  </w:num>
  <w:num w:numId="13" w16cid:durableId="756633549">
    <w:abstractNumId w:val="31"/>
  </w:num>
  <w:num w:numId="14" w16cid:durableId="800998995">
    <w:abstractNumId w:val="11"/>
  </w:num>
  <w:num w:numId="15" w16cid:durableId="1225993511">
    <w:abstractNumId w:val="9"/>
  </w:num>
  <w:num w:numId="16" w16cid:durableId="1273781597">
    <w:abstractNumId w:val="43"/>
  </w:num>
  <w:num w:numId="17" w16cid:durableId="587812392">
    <w:abstractNumId w:val="44"/>
  </w:num>
  <w:num w:numId="18" w16cid:durableId="550189026">
    <w:abstractNumId w:val="10"/>
  </w:num>
  <w:num w:numId="19" w16cid:durableId="73205656">
    <w:abstractNumId w:val="6"/>
  </w:num>
  <w:num w:numId="20" w16cid:durableId="1838693206">
    <w:abstractNumId w:val="38"/>
  </w:num>
  <w:num w:numId="21" w16cid:durableId="2058577696">
    <w:abstractNumId w:val="1"/>
  </w:num>
  <w:num w:numId="22" w16cid:durableId="1786995681">
    <w:abstractNumId w:val="0"/>
  </w:num>
  <w:num w:numId="23" w16cid:durableId="1586451100">
    <w:abstractNumId w:val="45"/>
  </w:num>
  <w:num w:numId="24" w16cid:durableId="807550573">
    <w:abstractNumId w:val="29"/>
  </w:num>
  <w:num w:numId="25" w16cid:durableId="321736374">
    <w:abstractNumId w:val="8"/>
  </w:num>
  <w:num w:numId="26" w16cid:durableId="1407603591">
    <w:abstractNumId w:val="23"/>
  </w:num>
  <w:num w:numId="27" w16cid:durableId="296760878">
    <w:abstractNumId w:val="36"/>
  </w:num>
  <w:num w:numId="28" w16cid:durableId="1306932425">
    <w:abstractNumId w:val="20"/>
  </w:num>
  <w:num w:numId="29" w16cid:durableId="140345189">
    <w:abstractNumId w:val="41"/>
  </w:num>
  <w:num w:numId="30" w16cid:durableId="1185753834">
    <w:abstractNumId w:val="14"/>
  </w:num>
  <w:num w:numId="31" w16cid:durableId="1948078723">
    <w:abstractNumId w:val="40"/>
  </w:num>
  <w:num w:numId="32" w16cid:durableId="134372844">
    <w:abstractNumId w:val="24"/>
  </w:num>
  <w:num w:numId="33" w16cid:durableId="1416323506">
    <w:abstractNumId w:val="35"/>
  </w:num>
  <w:num w:numId="34" w16cid:durableId="1209144333">
    <w:abstractNumId w:val="33"/>
  </w:num>
  <w:num w:numId="35" w16cid:durableId="977300346">
    <w:abstractNumId w:val="34"/>
  </w:num>
  <w:num w:numId="36" w16cid:durableId="941496803">
    <w:abstractNumId w:val="22"/>
  </w:num>
  <w:num w:numId="37" w16cid:durableId="1931162664">
    <w:abstractNumId w:val="7"/>
  </w:num>
  <w:num w:numId="38" w16cid:durableId="1216165869">
    <w:abstractNumId w:val="2"/>
  </w:num>
  <w:num w:numId="39" w16cid:durableId="452752758">
    <w:abstractNumId w:val="3"/>
  </w:num>
  <w:num w:numId="40" w16cid:durableId="1131358686">
    <w:abstractNumId w:val="26"/>
  </w:num>
  <w:num w:numId="41" w16cid:durableId="1303652703">
    <w:abstractNumId w:val="32"/>
  </w:num>
  <w:num w:numId="42" w16cid:durableId="761336250">
    <w:abstractNumId w:val="15"/>
  </w:num>
  <w:num w:numId="43" w16cid:durableId="321814312">
    <w:abstractNumId w:val="42"/>
  </w:num>
  <w:num w:numId="44" w16cid:durableId="339967246">
    <w:abstractNumId w:val="28"/>
  </w:num>
  <w:num w:numId="45" w16cid:durableId="703361590">
    <w:abstractNumId w:val="19"/>
  </w:num>
  <w:num w:numId="46" w16cid:durableId="127474558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6D0A"/>
    <w:rsid w:val="000022EA"/>
    <w:rsid w:val="00003115"/>
    <w:rsid w:val="00003484"/>
    <w:rsid w:val="00012CE0"/>
    <w:rsid w:val="00016531"/>
    <w:rsid w:val="0002303E"/>
    <w:rsid w:val="00023622"/>
    <w:rsid w:val="0002445A"/>
    <w:rsid w:val="000245A9"/>
    <w:rsid w:val="00025878"/>
    <w:rsid w:val="000323C3"/>
    <w:rsid w:val="00034781"/>
    <w:rsid w:val="00034BC8"/>
    <w:rsid w:val="0003540B"/>
    <w:rsid w:val="00046603"/>
    <w:rsid w:val="000479AC"/>
    <w:rsid w:val="0005058B"/>
    <w:rsid w:val="00053A88"/>
    <w:rsid w:val="00055972"/>
    <w:rsid w:val="000566AB"/>
    <w:rsid w:val="00060359"/>
    <w:rsid w:val="00062820"/>
    <w:rsid w:val="00065B46"/>
    <w:rsid w:val="00067308"/>
    <w:rsid w:val="00067990"/>
    <w:rsid w:val="00070EB7"/>
    <w:rsid w:val="00070ECE"/>
    <w:rsid w:val="0007357A"/>
    <w:rsid w:val="00076B8C"/>
    <w:rsid w:val="00077B27"/>
    <w:rsid w:val="000804ED"/>
    <w:rsid w:val="000877F1"/>
    <w:rsid w:val="000907C6"/>
    <w:rsid w:val="000920CF"/>
    <w:rsid w:val="0009232F"/>
    <w:rsid w:val="00092626"/>
    <w:rsid w:val="00092F97"/>
    <w:rsid w:val="00095591"/>
    <w:rsid w:val="000A021E"/>
    <w:rsid w:val="000A2061"/>
    <w:rsid w:val="000A3896"/>
    <w:rsid w:val="000A58D4"/>
    <w:rsid w:val="000A7DC0"/>
    <w:rsid w:val="000B161B"/>
    <w:rsid w:val="000B3A17"/>
    <w:rsid w:val="000B54EE"/>
    <w:rsid w:val="000B6015"/>
    <w:rsid w:val="000B6290"/>
    <w:rsid w:val="000B7B07"/>
    <w:rsid w:val="000C1655"/>
    <w:rsid w:val="000C19F9"/>
    <w:rsid w:val="000C3BDF"/>
    <w:rsid w:val="000C40B3"/>
    <w:rsid w:val="000C51B2"/>
    <w:rsid w:val="000C61E2"/>
    <w:rsid w:val="000C654C"/>
    <w:rsid w:val="000D0B20"/>
    <w:rsid w:val="000D24A7"/>
    <w:rsid w:val="000D366D"/>
    <w:rsid w:val="000D4B19"/>
    <w:rsid w:val="000D5121"/>
    <w:rsid w:val="000D67EC"/>
    <w:rsid w:val="000D6D0A"/>
    <w:rsid w:val="000E101B"/>
    <w:rsid w:val="000E1790"/>
    <w:rsid w:val="000E4701"/>
    <w:rsid w:val="000E5F9E"/>
    <w:rsid w:val="000E6ECF"/>
    <w:rsid w:val="000F001A"/>
    <w:rsid w:val="000F00C5"/>
    <w:rsid w:val="000F18DE"/>
    <w:rsid w:val="000F397F"/>
    <w:rsid w:val="000F3BD2"/>
    <w:rsid w:val="000F617F"/>
    <w:rsid w:val="00103C74"/>
    <w:rsid w:val="00106D34"/>
    <w:rsid w:val="00107542"/>
    <w:rsid w:val="00113EE2"/>
    <w:rsid w:val="001157A4"/>
    <w:rsid w:val="001228A6"/>
    <w:rsid w:val="001307B5"/>
    <w:rsid w:val="00130C5C"/>
    <w:rsid w:val="00135E9F"/>
    <w:rsid w:val="00137422"/>
    <w:rsid w:val="00145D97"/>
    <w:rsid w:val="00145E5A"/>
    <w:rsid w:val="001501B7"/>
    <w:rsid w:val="001531D5"/>
    <w:rsid w:val="001554CD"/>
    <w:rsid w:val="00155812"/>
    <w:rsid w:val="00155A31"/>
    <w:rsid w:val="001631BA"/>
    <w:rsid w:val="0016426A"/>
    <w:rsid w:val="001656EB"/>
    <w:rsid w:val="00166204"/>
    <w:rsid w:val="00173072"/>
    <w:rsid w:val="00174274"/>
    <w:rsid w:val="0017645A"/>
    <w:rsid w:val="001764B7"/>
    <w:rsid w:val="00177526"/>
    <w:rsid w:val="001777BE"/>
    <w:rsid w:val="00180C9D"/>
    <w:rsid w:val="0018241E"/>
    <w:rsid w:val="00185451"/>
    <w:rsid w:val="00191E31"/>
    <w:rsid w:val="001929B2"/>
    <w:rsid w:val="00193D50"/>
    <w:rsid w:val="001944D1"/>
    <w:rsid w:val="00195F32"/>
    <w:rsid w:val="001A06B2"/>
    <w:rsid w:val="001A0916"/>
    <w:rsid w:val="001A2210"/>
    <w:rsid w:val="001A5E7D"/>
    <w:rsid w:val="001B204C"/>
    <w:rsid w:val="001B6592"/>
    <w:rsid w:val="001C00F8"/>
    <w:rsid w:val="001C0561"/>
    <w:rsid w:val="001C6BB8"/>
    <w:rsid w:val="001C77D0"/>
    <w:rsid w:val="001D1116"/>
    <w:rsid w:val="001D3253"/>
    <w:rsid w:val="001D35AB"/>
    <w:rsid w:val="001D43E0"/>
    <w:rsid w:val="001D58B9"/>
    <w:rsid w:val="001D7EEA"/>
    <w:rsid w:val="001E26AD"/>
    <w:rsid w:val="001E2A4E"/>
    <w:rsid w:val="001F1984"/>
    <w:rsid w:val="001F1F04"/>
    <w:rsid w:val="001F31C3"/>
    <w:rsid w:val="001F6145"/>
    <w:rsid w:val="002020E7"/>
    <w:rsid w:val="00205851"/>
    <w:rsid w:val="00210336"/>
    <w:rsid w:val="00211315"/>
    <w:rsid w:val="00215C1A"/>
    <w:rsid w:val="0021727F"/>
    <w:rsid w:val="002178ED"/>
    <w:rsid w:val="00217D27"/>
    <w:rsid w:val="002202FB"/>
    <w:rsid w:val="00220E8C"/>
    <w:rsid w:val="002216C7"/>
    <w:rsid w:val="00227B63"/>
    <w:rsid w:val="00230360"/>
    <w:rsid w:val="00232204"/>
    <w:rsid w:val="002327B2"/>
    <w:rsid w:val="0023520E"/>
    <w:rsid w:val="00235837"/>
    <w:rsid w:val="00242F6C"/>
    <w:rsid w:val="00243F20"/>
    <w:rsid w:val="002449EA"/>
    <w:rsid w:val="002516F4"/>
    <w:rsid w:val="0025435E"/>
    <w:rsid w:val="00254F4A"/>
    <w:rsid w:val="00255D89"/>
    <w:rsid w:val="002610DF"/>
    <w:rsid w:val="0026167C"/>
    <w:rsid w:val="00262103"/>
    <w:rsid w:val="00262545"/>
    <w:rsid w:val="00264247"/>
    <w:rsid w:val="0026768B"/>
    <w:rsid w:val="0027010F"/>
    <w:rsid w:val="00271E81"/>
    <w:rsid w:val="0027209C"/>
    <w:rsid w:val="00272943"/>
    <w:rsid w:val="00273938"/>
    <w:rsid w:val="00274958"/>
    <w:rsid w:val="00275C01"/>
    <w:rsid w:val="002775A2"/>
    <w:rsid w:val="002776ED"/>
    <w:rsid w:val="00280153"/>
    <w:rsid w:val="0028124E"/>
    <w:rsid w:val="00281E55"/>
    <w:rsid w:val="00286AD1"/>
    <w:rsid w:val="00287F57"/>
    <w:rsid w:val="00291D61"/>
    <w:rsid w:val="002924F7"/>
    <w:rsid w:val="00293919"/>
    <w:rsid w:val="002953A3"/>
    <w:rsid w:val="00295C50"/>
    <w:rsid w:val="0029767A"/>
    <w:rsid w:val="00297BBE"/>
    <w:rsid w:val="002A0A80"/>
    <w:rsid w:val="002A0EA6"/>
    <w:rsid w:val="002A1688"/>
    <w:rsid w:val="002A4835"/>
    <w:rsid w:val="002B0A3D"/>
    <w:rsid w:val="002B3311"/>
    <w:rsid w:val="002B454C"/>
    <w:rsid w:val="002B6CA2"/>
    <w:rsid w:val="002B6E36"/>
    <w:rsid w:val="002C10A3"/>
    <w:rsid w:val="002C38C3"/>
    <w:rsid w:val="002C5D1A"/>
    <w:rsid w:val="002C7B08"/>
    <w:rsid w:val="002D022C"/>
    <w:rsid w:val="002D0DB2"/>
    <w:rsid w:val="002D1329"/>
    <w:rsid w:val="002D49BC"/>
    <w:rsid w:val="002D66F8"/>
    <w:rsid w:val="002D73CF"/>
    <w:rsid w:val="002E23C2"/>
    <w:rsid w:val="002E2400"/>
    <w:rsid w:val="002E3643"/>
    <w:rsid w:val="002E5990"/>
    <w:rsid w:val="002F2AA0"/>
    <w:rsid w:val="002F2E38"/>
    <w:rsid w:val="002F39AA"/>
    <w:rsid w:val="002F7698"/>
    <w:rsid w:val="00300B11"/>
    <w:rsid w:val="0030153D"/>
    <w:rsid w:val="00304559"/>
    <w:rsid w:val="0031157B"/>
    <w:rsid w:val="00312660"/>
    <w:rsid w:val="00313CC0"/>
    <w:rsid w:val="00314A0D"/>
    <w:rsid w:val="00316CFD"/>
    <w:rsid w:val="0032098E"/>
    <w:rsid w:val="003233D0"/>
    <w:rsid w:val="00323DAB"/>
    <w:rsid w:val="00325DD0"/>
    <w:rsid w:val="00327EC8"/>
    <w:rsid w:val="003307B5"/>
    <w:rsid w:val="003321E2"/>
    <w:rsid w:val="003423BE"/>
    <w:rsid w:val="00344510"/>
    <w:rsid w:val="00344515"/>
    <w:rsid w:val="00346DC1"/>
    <w:rsid w:val="00351871"/>
    <w:rsid w:val="003569FE"/>
    <w:rsid w:val="00357C23"/>
    <w:rsid w:val="003603F6"/>
    <w:rsid w:val="00360BB3"/>
    <w:rsid w:val="0036138A"/>
    <w:rsid w:val="00362380"/>
    <w:rsid w:val="00363F80"/>
    <w:rsid w:val="0036596D"/>
    <w:rsid w:val="00366AC3"/>
    <w:rsid w:val="00375677"/>
    <w:rsid w:val="003804AF"/>
    <w:rsid w:val="00380E4C"/>
    <w:rsid w:val="003831BA"/>
    <w:rsid w:val="00383321"/>
    <w:rsid w:val="00383AB1"/>
    <w:rsid w:val="003868B6"/>
    <w:rsid w:val="00387686"/>
    <w:rsid w:val="00390CC9"/>
    <w:rsid w:val="00394082"/>
    <w:rsid w:val="00394E5C"/>
    <w:rsid w:val="00397341"/>
    <w:rsid w:val="003A2FC9"/>
    <w:rsid w:val="003A3F5D"/>
    <w:rsid w:val="003B03CB"/>
    <w:rsid w:val="003B1746"/>
    <w:rsid w:val="003B2BC4"/>
    <w:rsid w:val="003B4456"/>
    <w:rsid w:val="003B751E"/>
    <w:rsid w:val="003C06B5"/>
    <w:rsid w:val="003C168E"/>
    <w:rsid w:val="003C39EB"/>
    <w:rsid w:val="003C4A48"/>
    <w:rsid w:val="003C5945"/>
    <w:rsid w:val="003C5FE9"/>
    <w:rsid w:val="003C7E34"/>
    <w:rsid w:val="003D0607"/>
    <w:rsid w:val="003D17B2"/>
    <w:rsid w:val="003D1D02"/>
    <w:rsid w:val="003D5781"/>
    <w:rsid w:val="003D5B3F"/>
    <w:rsid w:val="003D7037"/>
    <w:rsid w:val="003E128C"/>
    <w:rsid w:val="003E248A"/>
    <w:rsid w:val="003E2C58"/>
    <w:rsid w:val="003E391B"/>
    <w:rsid w:val="003E6C0C"/>
    <w:rsid w:val="003F22D7"/>
    <w:rsid w:val="003F25AC"/>
    <w:rsid w:val="003F48E2"/>
    <w:rsid w:val="00401125"/>
    <w:rsid w:val="00401532"/>
    <w:rsid w:val="00403081"/>
    <w:rsid w:val="00413454"/>
    <w:rsid w:val="00413667"/>
    <w:rsid w:val="00414D8B"/>
    <w:rsid w:val="00415973"/>
    <w:rsid w:val="00417485"/>
    <w:rsid w:val="004214A0"/>
    <w:rsid w:val="00422401"/>
    <w:rsid w:val="00427D8A"/>
    <w:rsid w:val="0043145B"/>
    <w:rsid w:val="00431755"/>
    <w:rsid w:val="00434581"/>
    <w:rsid w:val="00435708"/>
    <w:rsid w:val="00437E1F"/>
    <w:rsid w:val="00440B24"/>
    <w:rsid w:val="00442376"/>
    <w:rsid w:val="00442FFE"/>
    <w:rsid w:val="0044346C"/>
    <w:rsid w:val="00443B13"/>
    <w:rsid w:val="0044520F"/>
    <w:rsid w:val="0044738A"/>
    <w:rsid w:val="00450354"/>
    <w:rsid w:val="0045099D"/>
    <w:rsid w:val="004531D2"/>
    <w:rsid w:val="0045718C"/>
    <w:rsid w:val="004578C7"/>
    <w:rsid w:val="00461649"/>
    <w:rsid w:val="00465ADC"/>
    <w:rsid w:val="004710A1"/>
    <w:rsid w:val="00477EF3"/>
    <w:rsid w:val="00480EBD"/>
    <w:rsid w:val="00484679"/>
    <w:rsid w:val="004872B5"/>
    <w:rsid w:val="00487AA9"/>
    <w:rsid w:val="00487F4F"/>
    <w:rsid w:val="004971A6"/>
    <w:rsid w:val="004A51D3"/>
    <w:rsid w:val="004A7866"/>
    <w:rsid w:val="004B0469"/>
    <w:rsid w:val="004B09B0"/>
    <w:rsid w:val="004B0CF6"/>
    <w:rsid w:val="004B16BF"/>
    <w:rsid w:val="004C0EA3"/>
    <w:rsid w:val="004C3C4B"/>
    <w:rsid w:val="004C7962"/>
    <w:rsid w:val="004C7B20"/>
    <w:rsid w:val="004D00C4"/>
    <w:rsid w:val="004D0A07"/>
    <w:rsid w:val="004D1D20"/>
    <w:rsid w:val="004D20DD"/>
    <w:rsid w:val="004D6173"/>
    <w:rsid w:val="004E3BD6"/>
    <w:rsid w:val="004E5EFE"/>
    <w:rsid w:val="004E6FA7"/>
    <w:rsid w:val="004F07DE"/>
    <w:rsid w:val="005020EC"/>
    <w:rsid w:val="0050262D"/>
    <w:rsid w:val="00503EBA"/>
    <w:rsid w:val="005063A8"/>
    <w:rsid w:val="00506D99"/>
    <w:rsid w:val="00510F0F"/>
    <w:rsid w:val="005117CB"/>
    <w:rsid w:val="005142A5"/>
    <w:rsid w:val="0051458A"/>
    <w:rsid w:val="005177F9"/>
    <w:rsid w:val="005177FF"/>
    <w:rsid w:val="00520182"/>
    <w:rsid w:val="005224DD"/>
    <w:rsid w:val="0052419C"/>
    <w:rsid w:val="00527DEF"/>
    <w:rsid w:val="00532351"/>
    <w:rsid w:val="00533C35"/>
    <w:rsid w:val="00536C68"/>
    <w:rsid w:val="005405D6"/>
    <w:rsid w:val="00541FB6"/>
    <w:rsid w:val="005424BD"/>
    <w:rsid w:val="0054356F"/>
    <w:rsid w:val="00545E5F"/>
    <w:rsid w:val="00551222"/>
    <w:rsid w:val="00553942"/>
    <w:rsid w:val="0055505F"/>
    <w:rsid w:val="0055572E"/>
    <w:rsid w:val="00555FDE"/>
    <w:rsid w:val="005615BD"/>
    <w:rsid w:val="005632D6"/>
    <w:rsid w:val="005640D0"/>
    <w:rsid w:val="00564BE5"/>
    <w:rsid w:val="00565900"/>
    <w:rsid w:val="00565E9B"/>
    <w:rsid w:val="0057094F"/>
    <w:rsid w:val="00571485"/>
    <w:rsid w:val="00572FD5"/>
    <w:rsid w:val="00573A30"/>
    <w:rsid w:val="00575002"/>
    <w:rsid w:val="0057540A"/>
    <w:rsid w:val="0057636F"/>
    <w:rsid w:val="00580C14"/>
    <w:rsid w:val="00582876"/>
    <w:rsid w:val="00584DA9"/>
    <w:rsid w:val="00585B03"/>
    <w:rsid w:val="00587033"/>
    <w:rsid w:val="005871B5"/>
    <w:rsid w:val="00597D55"/>
    <w:rsid w:val="005A1A66"/>
    <w:rsid w:val="005A2549"/>
    <w:rsid w:val="005A3E91"/>
    <w:rsid w:val="005A533D"/>
    <w:rsid w:val="005A7DE7"/>
    <w:rsid w:val="005B00C3"/>
    <w:rsid w:val="005B31B8"/>
    <w:rsid w:val="005B4C12"/>
    <w:rsid w:val="005B533B"/>
    <w:rsid w:val="005B7F61"/>
    <w:rsid w:val="005C2B94"/>
    <w:rsid w:val="005C2EB7"/>
    <w:rsid w:val="005C3A5A"/>
    <w:rsid w:val="005C3EBB"/>
    <w:rsid w:val="005C7DF3"/>
    <w:rsid w:val="005D031F"/>
    <w:rsid w:val="005D31A2"/>
    <w:rsid w:val="005D34C2"/>
    <w:rsid w:val="005D3C3E"/>
    <w:rsid w:val="005D57F3"/>
    <w:rsid w:val="005E1D53"/>
    <w:rsid w:val="005E3A09"/>
    <w:rsid w:val="005F2A8A"/>
    <w:rsid w:val="005F3EB3"/>
    <w:rsid w:val="005F5AE2"/>
    <w:rsid w:val="00603796"/>
    <w:rsid w:val="00603F67"/>
    <w:rsid w:val="006053D8"/>
    <w:rsid w:val="00606676"/>
    <w:rsid w:val="00607577"/>
    <w:rsid w:val="00611E12"/>
    <w:rsid w:val="0061399C"/>
    <w:rsid w:val="00616D0B"/>
    <w:rsid w:val="0061718E"/>
    <w:rsid w:val="00621689"/>
    <w:rsid w:val="00623C5B"/>
    <w:rsid w:val="0062460E"/>
    <w:rsid w:val="006275AD"/>
    <w:rsid w:val="00631259"/>
    <w:rsid w:val="00640044"/>
    <w:rsid w:val="0064045B"/>
    <w:rsid w:val="0064343D"/>
    <w:rsid w:val="00643E06"/>
    <w:rsid w:val="00645060"/>
    <w:rsid w:val="00646693"/>
    <w:rsid w:val="00647023"/>
    <w:rsid w:val="00647664"/>
    <w:rsid w:val="00651A7B"/>
    <w:rsid w:val="006534B2"/>
    <w:rsid w:val="00655941"/>
    <w:rsid w:val="006575E8"/>
    <w:rsid w:val="00665562"/>
    <w:rsid w:val="00670143"/>
    <w:rsid w:val="0067144D"/>
    <w:rsid w:val="00671F3D"/>
    <w:rsid w:val="006731C8"/>
    <w:rsid w:val="006769FC"/>
    <w:rsid w:val="00681449"/>
    <w:rsid w:val="006827DF"/>
    <w:rsid w:val="00685FAA"/>
    <w:rsid w:val="00686E5F"/>
    <w:rsid w:val="00687C1C"/>
    <w:rsid w:val="0069262C"/>
    <w:rsid w:val="006948FD"/>
    <w:rsid w:val="00694C52"/>
    <w:rsid w:val="006A45A8"/>
    <w:rsid w:val="006A4961"/>
    <w:rsid w:val="006A5B96"/>
    <w:rsid w:val="006B1EA1"/>
    <w:rsid w:val="006B74D8"/>
    <w:rsid w:val="006B7725"/>
    <w:rsid w:val="006C2218"/>
    <w:rsid w:val="006C3826"/>
    <w:rsid w:val="006C447F"/>
    <w:rsid w:val="006C59A5"/>
    <w:rsid w:val="006C5FF3"/>
    <w:rsid w:val="006C663E"/>
    <w:rsid w:val="006C7266"/>
    <w:rsid w:val="006D0B2A"/>
    <w:rsid w:val="006D1983"/>
    <w:rsid w:val="006D440F"/>
    <w:rsid w:val="006D4907"/>
    <w:rsid w:val="006D6065"/>
    <w:rsid w:val="006E0F9A"/>
    <w:rsid w:val="006E1B78"/>
    <w:rsid w:val="006F1161"/>
    <w:rsid w:val="006F21CC"/>
    <w:rsid w:val="006F49ED"/>
    <w:rsid w:val="006F6CDE"/>
    <w:rsid w:val="00702D2D"/>
    <w:rsid w:val="007034A9"/>
    <w:rsid w:val="00703AFB"/>
    <w:rsid w:val="0070451C"/>
    <w:rsid w:val="00712AFC"/>
    <w:rsid w:val="00714DE9"/>
    <w:rsid w:val="007152C5"/>
    <w:rsid w:val="00716AAC"/>
    <w:rsid w:val="00716D07"/>
    <w:rsid w:val="00717670"/>
    <w:rsid w:val="007200E1"/>
    <w:rsid w:val="007208C8"/>
    <w:rsid w:val="007209AC"/>
    <w:rsid w:val="007218EA"/>
    <w:rsid w:val="00722982"/>
    <w:rsid w:val="007232F9"/>
    <w:rsid w:val="00730C59"/>
    <w:rsid w:val="0073723C"/>
    <w:rsid w:val="0073787A"/>
    <w:rsid w:val="00741036"/>
    <w:rsid w:val="00741948"/>
    <w:rsid w:val="0074301C"/>
    <w:rsid w:val="00744B5F"/>
    <w:rsid w:val="00744CEC"/>
    <w:rsid w:val="0074659E"/>
    <w:rsid w:val="00750599"/>
    <w:rsid w:val="007523A7"/>
    <w:rsid w:val="0075359D"/>
    <w:rsid w:val="00760700"/>
    <w:rsid w:val="00760CCC"/>
    <w:rsid w:val="007637EA"/>
    <w:rsid w:val="00765BD3"/>
    <w:rsid w:val="00767D16"/>
    <w:rsid w:val="007705BF"/>
    <w:rsid w:val="007710C6"/>
    <w:rsid w:val="0077152B"/>
    <w:rsid w:val="007716B1"/>
    <w:rsid w:val="00773D43"/>
    <w:rsid w:val="0077508B"/>
    <w:rsid w:val="0077558B"/>
    <w:rsid w:val="00780671"/>
    <w:rsid w:val="00781A29"/>
    <w:rsid w:val="00781A40"/>
    <w:rsid w:val="00781A7D"/>
    <w:rsid w:val="0078241F"/>
    <w:rsid w:val="00782999"/>
    <w:rsid w:val="0078342D"/>
    <w:rsid w:val="007862CF"/>
    <w:rsid w:val="00786560"/>
    <w:rsid w:val="00787C3E"/>
    <w:rsid w:val="007943D4"/>
    <w:rsid w:val="00794915"/>
    <w:rsid w:val="007A1D7B"/>
    <w:rsid w:val="007A52EF"/>
    <w:rsid w:val="007B042A"/>
    <w:rsid w:val="007B148F"/>
    <w:rsid w:val="007B2458"/>
    <w:rsid w:val="007B641A"/>
    <w:rsid w:val="007B6DEF"/>
    <w:rsid w:val="007B6E14"/>
    <w:rsid w:val="007B7C89"/>
    <w:rsid w:val="007C3F48"/>
    <w:rsid w:val="007C5A3A"/>
    <w:rsid w:val="007D157D"/>
    <w:rsid w:val="007D15C3"/>
    <w:rsid w:val="007D161B"/>
    <w:rsid w:val="007D2C05"/>
    <w:rsid w:val="007D2EBD"/>
    <w:rsid w:val="007D51BB"/>
    <w:rsid w:val="007D55D5"/>
    <w:rsid w:val="007D6C07"/>
    <w:rsid w:val="007D71FE"/>
    <w:rsid w:val="007D72FA"/>
    <w:rsid w:val="007F1489"/>
    <w:rsid w:val="007F31DA"/>
    <w:rsid w:val="00803EE2"/>
    <w:rsid w:val="008045BC"/>
    <w:rsid w:val="00806C68"/>
    <w:rsid w:val="00807C1B"/>
    <w:rsid w:val="008111D2"/>
    <w:rsid w:val="0081155F"/>
    <w:rsid w:val="00811585"/>
    <w:rsid w:val="00811A81"/>
    <w:rsid w:val="00811B50"/>
    <w:rsid w:val="00813547"/>
    <w:rsid w:val="00813DD6"/>
    <w:rsid w:val="00820104"/>
    <w:rsid w:val="0082240B"/>
    <w:rsid w:val="00822E29"/>
    <w:rsid w:val="0082438F"/>
    <w:rsid w:val="0082713D"/>
    <w:rsid w:val="008305B1"/>
    <w:rsid w:val="0083307D"/>
    <w:rsid w:val="00835417"/>
    <w:rsid w:val="00836C64"/>
    <w:rsid w:val="00841D50"/>
    <w:rsid w:val="008426A3"/>
    <w:rsid w:val="00845DDA"/>
    <w:rsid w:val="00846138"/>
    <w:rsid w:val="00847174"/>
    <w:rsid w:val="00847968"/>
    <w:rsid w:val="0085157E"/>
    <w:rsid w:val="00851EC1"/>
    <w:rsid w:val="0085660A"/>
    <w:rsid w:val="0085777E"/>
    <w:rsid w:val="0086151F"/>
    <w:rsid w:val="00864B1F"/>
    <w:rsid w:val="0086745B"/>
    <w:rsid w:val="00870609"/>
    <w:rsid w:val="00870AAD"/>
    <w:rsid w:val="00874657"/>
    <w:rsid w:val="008761F5"/>
    <w:rsid w:val="00890F25"/>
    <w:rsid w:val="00893839"/>
    <w:rsid w:val="00895630"/>
    <w:rsid w:val="00896818"/>
    <w:rsid w:val="008A07C0"/>
    <w:rsid w:val="008A1FC3"/>
    <w:rsid w:val="008A22B2"/>
    <w:rsid w:val="008A37F8"/>
    <w:rsid w:val="008A3BC2"/>
    <w:rsid w:val="008A60EF"/>
    <w:rsid w:val="008B02D3"/>
    <w:rsid w:val="008B09DB"/>
    <w:rsid w:val="008B151B"/>
    <w:rsid w:val="008B2024"/>
    <w:rsid w:val="008B4E86"/>
    <w:rsid w:val="008B6192"/>
    <w:rsid w:val="008B6620"/>
    <w:rsid w:val="008C2CB5"/>
    <w:rsid w:val="008C3A00"/>
    <w:rsid w:val="008D2BFF"/>
    <w:rsid w:val="008D2C9F"/>
    <w:rsid w:val="008D3B68"/>
    <w:rsid w:val="008D5171"/>
    <w:rsid w:val="008D56EF"/>
    <w:rsid w:val="008D6688"/>
    <w:rsid w:val="008D678A"/>
    <w:rsid w:val="008E1F00"/>
    <w:rsid w:val="008E2474"/>
    <w:rsid w:val="008E25BC"/>
    <w:rsid w:val="008F0677"/>
    <w:rsid w:val="008F1A33"/>
    <w:rsid w:val="008F3C1F"/>
    <w:rsid w:val="008F4409"/>
    <w:rsid w:val="008F7691"/>
    <w:rsid w:val="008F77A2"/>
    <w:rsid w:val="00900043"/>
    <w:rsid w:val="0090132E"/>
    <w:rsid w:val="00901C9F"/>
    <w:rsid w:val="00902156"/>
    <w:rsid w:val="00904CBF"/>
    <w:rsid w:val="009056FA"/>
    <w:rsid w:val="00906BF8"/>
    <w:rsid w:val="00907605"/>
    <w:rsid w:val="0090765E"/>
    <w:rsid w:val="00911315"/>
    <w:rsid w:val="009133DA"/>
    <w:rsid w:val="00915264"/>
    <w:rsid w:val="00920AC4"/>
    <w:rsid w:val="00920E9C"/>
    <w:rsid w:val="00923054"/>
    <w:rsid w:val="00923A56"/>
    <w:rsid w:val="00931FCE"/>
    <w:rsid w:val="00940891"/>
    <w:rsid w:val="009417EC"/>
    <w:rsid w:val="00944075"/>
    <w:rsid w:val="009452AD"/>
    <w:rsid w:val="00950B96"/>
    <w:rsid w:val="00950FC0"/>
    <w:rsid w:val="009522A4"/>
    <w:rsid w:val="00952AE6"/>
    <w:rsid w:val="009530F2"/>
    <w:rsid w:val="0096092C"/>
    <w:rsid w:val="00961647"/>
    <w:rsid w:val="009633AD"/>
    <w:rsid w:val="00966640"/>
    <w:rsid w:val="009727BE"/>
    <w:rsid w:val="00975F1F"/>
    <w:rsid w:val="00976DA3"/>
    <w:rsid w:val="00981288"/>
    <w:rsid w:val="00982789"/>
    <w:rsid w:val="00983A2F"/>
    <w:rsid w:val="009847E1"/>
    <w:rsid w:val="00991954"/>
    <w:rsid w:val="00994825"/>
    <w:rsid w:val="00995DFD"/>
    <w:rsid w:val="00995FD6"/>
    <w:rsid w:val="00997FA2"/>
    <w:rsid w:val="009A01B7"/>
    <w:rsid w:val="009A14CB"/>
    <w:rsid w:val="009A168B"/>
    <w:rsid w:val="009A23F8"/>
    <w:rsid w:val="009A7796"/>
    <w:rsid w:val="009B2677"/>
    <w:rsid w:val="009B2A2C"/>
    <w:rsid w:val="009B38A6"/>
    <w:rsid w:val="009B4334"/>
    <w:rsid w:val="009B52B7"/>
    <w:rsid w:val="009B6D8A"/>
    <w:rsid w:val="009B7741"/>
    <w:rsid w:val="009C036B"/>
    <w:rsid w:val="009C0785"/>
    <w:rsid w:val="009D07A4"/>
    <w:rsid w:val="009D1F4C"/>
    <w:rsid w:val="009D7527"/>
    <w:rsid w:val="009E11D7"/>
    <w:rsid w:val="009E14AC"/>
    <w:rsid w:val="009E1779"/>
    <w:rsid w:val="009E289D"/>
    <w:rsid w:val="009E3585"/>
    <w:rsid w:val="009E77C4"/>
    <w:rsid w:val="009E7D09"/>
    <w:rsid w:val="009F07D9"/>
    <w:rsid w:val="009F2E83"/>
    <w:rsid w:val="009F4C0A"/>
    <w:rsid w:val="009F56A7"/>
    <w:rsid w:val="009F65F7"/>
    <w:rsid w:val="00A0136A"/>
    <w:rsid w:val="00A01EA1"/>
    <w:rsid w:val="00A02535"/>
    <w:rsid w:val="00A052B3"/>
    <w:rsid w:val="00A05732"/>
    <w:rsid w:val="00A075A1"/>
    <w:rsid w:val="00A1124A"/>
    <w:rsid w:val="00A23D89"/>
    <w:rsid w:val="00A24260"/>
    <w:rsid w:val="00A3218A"/>
    <w:rsid w:val="00A321BA"/>
    <w:rsid w:val="00A32E90"/>
    <w:rsid w:val="00A41B39"/>
    <w:rsid w:val="00A45386"/>
    <w:rsid w:val="00A507B9"/>
    <w:rsid w:val="00A50A5A"/>
    <w:rsid w:val="00A54776"/>
    <w:rsid w:val="00A55C23"/>
    <w:rsid w:val="00A57F59"/>
    <w:rsid w:val="00A63DC7"/>
    <w:rsid w:val="00A64F45"/>
    <w:rsid w:val="00A66289"/>
    <w:rsid w:val="00A703E1"/>
    <w:rsid w:val="00A737B0"/>
    <w:rsid w:val="00A74E98"/>
    <w:rsid w:val="00A764BC"/>
    <w:rsid w:val="00A81BF7"/>
    <w:rsid w:val="00A821C7"/>
    <w:rsid w:val="00A82B36"/>
    <w:rsid w:val="00A82E31"/>
    <w:rsid w:val="00A8311E"/>
    <w:rsid w:val="00A8666A"/>
    <w:rsid w:val="00A8760C"/>
    <w:rsid w:val="00A92676"/>
    <w:rsid w:val="00A93AD3"/>
    <w:rsid w:val="00A94A6E"/>
    <w:rsid w:val="00A97955"/>
    <w:rsid w:val="00AA009F"/>
    <w:rsid w:val="00AA1367"/>
    <w:rsid w:val="00AA1CAB"/>
    <w:rsid w:val="00AA230D"/>
    <w:rsid w:val="00AA415A"/>
    <w:rsid w:val="00AA5097"/>
    <w:rsid w:val="00AA62D1"/>
    <w:rsid w:val="00AA78AC"/>
    <w:rsid w:val="00AB113A"/>
    <w:rsid w:val="00AB1191"/>
    <w:rsid w:val="00AB3A70"/>
    <w:rsid w:val="00AB7521"/>
    <w:rsid w:val="00AC10BE"/>
    <w:rsid w:val="00AC3A9A"/>
    <w:rsid w:val="00AC478F"/>
    <w:rsid w:val="00AD15CD"/>
    <w:rsid w:val="00AD394C"/>
    <w:rsid w:val="00AD6709"/>
    <w:rsid w:val="00AD6A3E"/>
    <w:rsid w:val="00AD7537"/>
    <w:rsid w:val="00AD775C"/>
    <w:rsid w:val="00AD7DA4"/>
    <w:rsid w:val="00AE1119"/>
    <w:rsid w:val="00AE6835"/>
    <w:rsid w:val="00AF0258"/>
    <w:rsid w:val="00AF21B3"/>
    <w:rsid w:val="00AF6482"/>
    <w:rsid w:val="00B0181E"/>
    <w:rsid w:val="00B04FBA"/>
    <w:rsid w:val="00B06101"/>
    <w:rsid w:val="00B06B7D"/>
    <w:rsid w:val="00B108FC"/>
    <w:rsid w:val="00B1420E"/>
    <w:rsid w:val="00B148EF"/>
    <w:rsid w:val="00B167E3"/>
    <w:rsid w:val="00B203C0"/>
    <w:rsid w:val="00B20EC8"/>
    <w:rsid w:val="00B23211"/>
    <w:rsid w:val="00B245C3"/>
    <w:rsid w:val="00B26129"/>
    <w:rsid w:val="00B26BC6"/>
    <w:rsid w:val="00B31FDD"/>
    <w:rsid w:val="00B32744"/>
    <w:rsid w:val="00B34CBD"/>
    <w:rsid w:val="00B423DA"/>
    <w:rsid w:val="00B43D95"/>
    <w:rsid w:val="00B52BE1"/>
    <w:rsid w:val="00B56055"/>
    <w:rsid w:val="00B566AE"/>
    <w:rsid w:val="00B567CB"/>
    <w:rsid w:val="00B57461"/>
    <w:rsid w:val="00B610BD"/>
    <w:rsid w:val="00B622D5"/>
    <w:rsid w:val="00B678F8"/>
    <w:rsid w:val="00B720AE"/>
    <w:rsid w:val="00B727B4"/>
    <w:rsid w:val="00B73A55"/>
    <w:rsid w:val="00B74593"/>
    <w:rsid w:val="00B82454"/>
    <w:rsid w:val="00B824EF"/>
    <w:rsid w:val="00B8264F"/>
    <w:rsid w:val="00B839AF"/>
    <w:rsid w:val="00B847B2"/>
    <w:rsid w:val="00B86919"/>
    <w:rsid w:val="00B94DE8"/>
    <w:rsid w:val="00BA3884"/>
    <w:rsid w:val="00BA42CC"/>
    <w:rsid w:val="00BB09A9"/>
    <w:rsid w:val="00BB0E07"/>
    <w:rsid w:val="00BB1F9D"/>
    <w:rsid w:val="00BB485B"/>
    <w:rsid w:val="00BB6F1A"/>
    <w:rsid w:val="00BB7B36"/>
    <w:rsid w:val="00BC0083"/>
    <w:rsid w:val="00BC37F0"/>
    <w:rsid w:val="00BC4AA4"/>
    <w:rsid w:val="00BC740F"/>
    <w:rsid w:val="00BD1297"/>
    <w:rsid w:val="00BD1C1D"/>
    <w:rsid w:val="00BD787B"/>
    <w:rsid w:val="00BE1346"/>
    <w:rsid w:val="00BE2BB0"/>
    <w:rsid w:val="00BE3948"/>
    <w:rsid w:val="00BE62D0"/>
    <w:rsid w:val="00BE6D01"/>
    <w:rsid w:val="00BE7345"/>
    <w:rsid w:val="00BF0957"/>
    <w:rsid w:val="00BF1374"/>
    <w:rsid w:val="00BF1937"/>
    <w:rsid w:val="00BF3AE8"/>
    <w:rsid w:val="00BF468D"/>
    <w:rsid w:val="00BF5DA8"/>
    <w:rsid w:val="00BF63BA"/>
    <w:rsid w:val="00BF706B"/>
    <w:rsid w:val="00C04BCF"/>
    <w:rsid w:val="00C04CDB"/>
    <w:rsid w:val="00C0577B"/>
    <w:rsid w:val="00C05BAC"/>
    <w:rsid w:val="00C123D5"/>
    <w:rsid w:val="00C13A2B"/>
    <w:rsid w:val="00C14A81"/>
    <w:rsid w:val="00C1588C"/>
    <w:rsid w:val="00C308D8"/>
    <w:rsid w:val="00C34794"/>
    <w:rsid w:val="00C34804"/>
    <w:rsid w:val="00C436AF"/>
    <w:rsid w:val="00C50A95"/>
    <w:rsid w:val="00C50DCF"/>
    <w:rsid w:val="00C51B71"/>
    <w:rsid w:val="00C5254E"/>
    <w:rsid w:val="00C52C13"/>
    <w:rsid w:val="00C539F8"/>
    <w:rsid w:val="00C55857"/>
    <w:rsid w:val="00C55F8D"/>
    <w:rsid w:val="00C561FC"/>
    <w:rsid w:val="00C575EF"/>
    <w:rsid w:val="00C57CB6"/>
    <w:rsid w:val="00C57D82"/>
    <w:rsid w:val="00C62F80"/>
    <w:rsid w:val="00C636B9"/>
    <w:rsid w:val="00C63D50"/>
    <w:rsid w:val="00C706CB"/>
    <w:rsid w:val="00C72101"/>
    <w:rsid w:val="00C74C3C"/>
    <w:rsid w:val="00C74FB7"/>
    <w:rsid w:val="00C76CBE"/>
    <w:rsid w:val="00C82556"/>
    <w:rsid w:val="00C84282"/>
    <w:rsid w:val="00C90A09"/>
    <w:rsid w:val="00C90AE6"/>
    <w:rsid w:val="00C92657"/>
    <w:rsid w:val="00C93D68"/>
    <w:rsid w:val="00C94B1A"/>
    <w:rsid w:val="00CB0433"/>
    <w:rsid w:val="00CB6119"/>
    <w:rsid w:val="00CC3F7A"/>
    <w:rsid w:val="00CD0231"/>
    <w:rsid w:val="00CD06F0"/>
    <w:rsid w:val="00CD164D"/>
    <w:rsid w:val="00CD2992"/>
    <w:rsid w:val="00CD3137"/>
    <w:rsid w:val="00CD4F8E"/>
    <w:rsid w:val="00CD51AB"/>
    <w:rsid w:val="00CD5F15"/>
    <w:rsid w:val="00CE268E"/>
    <w:rsid w:val="00CE3B44"/>
    <w:rsid w:val="00CF0896"/>
    <w:rsid w:val="00CF2393"/>
    <w:rsid w:val="00CF2E79"/>
    <w:rsid w:val="00CF3939"/>
    <w:rsid w:val="00CF3D06"/>
    <w:rsid w:val="00CF3EE6"/>
    <w:rsid w:val="00CF43D5"/>
    <w:rsid w:val="00CF54D6"/>
    <w:rsid w:val="00CF7FC7"/>
    <w:rsid w:val="00D00378"/>
    <w:rsid w:val="00D03413"/>
    <w:rsid w:val="00D06B42"/>
    <w:rsid w:val="00D07EDE"/>
    <w:rsid w:val="00D127FD"/>
    <w:rsid w:val="00D13CD6"/>
    <w:rsid w:val="00D16E0D"/>
    <w:rsid w:val="00D20CDF"/>
    <w:rsid w:val="00D20F11"/>
    <w:rsid w:val="00D21061"/>
    <w:rsid w:val="00D21A9B"/>
    <w:rsid w:val="00D21E86"/>
    <w:rsid w:val="00D2268E"/>
    <w:rsid w:val="00D23715"/>
    <w:rsid w:val="00D23D55"/>
    <w:rsid w:val="00D26ABB"/>
    <w:rsid w:val="00D278FB"/>
    <w:rsid w:val="00D3109A"/>
    <w:rsid w:val="00D334E9"/>
    <w:rsid w:val="00D408E3"/>
    <w:rsid w:val="00D44613"/>
    <w:rsid w:val="00D44813"/>
    <w:rsid w:val="00D44A09"/>
    <w:rsid w:val="00D45D1B"/>
    <w:rsid w:val="00D46F9E"/>
    <w:rsid w:val="00D51817"/>
    <w:rsid w:val="00D52B95"/>
    <w:rsid w:val="00D54B2B"/>
    <w:rsid w:val="00D55685"/>
    <w:rsid w:val="00D5594D"/>
    <w:rsid w:val="00D564C9"/>
    <w:rsid w:val="00D5704E"/>
    <w:rsid w:val="00D609D9"/>
    <w:rsid w:val="00D67DAB"/>
    <w:rsid w:val="00D729B0"/>
    <w:rsid w:val="00D7651E"/>
    <w:rsid w:val="00D765C6"/>
    <w:rsid w:val="00D776C8"/>
    <w:rsid w:val="00D81226"/>
    <w:rsid w:val="00D82635"/>
    <w:rsid w:val="00D829DA"/>
    <w:rsid w:val="00D907F2"/>
    <w:rsid w:val="00D9091A"/>
    <w:rsid w:val="00D90F24"/>
    <w:rsid w:val="00D911A8"/>
    <w:rsid w:val="00D93246"/>
    <w:rsid w:val="00D950E7"/>
    <w:rsid w:val="00D95328"/>
    <w:rsid w:val="00D95330"/>
    <w:rsid w:val="00D970FF"/>
    <w:rsid w:val="00D97147"/>
    <w:rsid w:val="00DA5642"/>
    <w:rsid w:val="00DB0B5F"/>
    <w:rsid w:val="00DB1C4D"/>
    <w:rsid w:val="00DB2290"/>
    <w:rsid w:val="00DB32F9"/>
    <w:rsid w:val="00DB4B86"/>
    <w:rsid w:val="00DB5DCC"/>
    <w:rsid w:val="00DB6A34"/>
    <w:rsid w:val="00DB7155"/>
    <w:rsid w:val="00DC0ADE"/>
    <w:rsid w:val="00DC1742"/>
    <w:rsid w:val="00DC50D6"/>
    <w:rsid w:val="00DC657D"/>
    <w:rsid w:val="00DD07A4"/>
    <w:rsid w:val="00DD0D6A"/>
    <w:rsid w:val="00DD1A0E"/>
    <w:rsid w:val="00DD257E"/>
    <w:rsid w:val="00DD437A"/>
    <w:rsid w:val="00DD7033"/>
    <w:rsid w:val="00DE28C5"/>
    <w:rsid w:val="00DE6BE0"/>
    <w:rsid w:val="00DE6C77"/>
    <w:rsid w:val="00DE7C3A"/>
    <w:rsid w:val="00DF13A1"/>
    <w:rsid w:val="00DF1790"/>
    <w:rsid w:val="00DF24BE"/>
    <w:rsid w:val="00E02997"/>
    <w:rsid w:val="00E060F7"/>
    <w:rsid w:val="00E07BAD"/>
    <w:rsid w:val="00E10F93"/>
    <w:rsid w:val="00E16666"/>
    <w:rsid w:val="00E20F8A"/>
    <w:rsid w:val="00E2199A"/>
    <w:rsid w:val="00E22354"/>
    <w:rsid w:val="00E24B7F"/>
    <w:rsid w:val="00E254A5"/>
    <w:rsid w:val="00E25691"/>
    <w:rsid w:val="00E2636C"/>
    <w:rsid w:val="00E32319"/>
    <w:rsid w:val="00E37C8C"/>
    <w:rsid w:val="00E4497F"/>
    <w:rsid w:val="00E45822"/>
    <w:rsid w:val="00E46717"/>
    <w:rsid w:val="00E51F53"/>
    <w:rsid w:val="00E53048"/>
    <w:rsid w:val="00E53AE4"/>
    <w:rsid w:val="00E53D51"/>
    <w:rsid w:val="00E55DEA"/>
    <w:rsid w:val="00E65F32"/>
    <w:rsid w:val="00E664AA"/>
    <w:rsid w:val="00E753EC"/>
    <w:rsid w:val="00E764BA"/>
    <w:rsid w:val="00E76EE2"/>
    <w:rsid w:val="00E77F9B"/>
    <w:rsid w:val="00E811D4"/>
    <w:rsid w:val="00E8168C"/>
    <w:rsid w:val="00E83FDC"/>
    <w:rsid w:val="00E87534"/>
    <w:rsid w:val="00E878FF"/>
    <w:rsid w:val="00E87EF3"/>
    <w:rsid w:val="00E93452"/>
    <w:rsid w:val="00E97708"/>
    <w:rsid w:val="00EA3EE5"/>
    <w:rsid w:val="00EA7EFB"/>
    <w:rsid w:val="00EB1946"/>
    <w:rsid w:val="00EB37BC"/>
    <w:rsid w:val="00EB433A"/>
    <w:rsid w:val="00EB49BE"/>
    <w:rsid w:val="00EC0908"/>
    <w:rsid w:val="00EC2240"/>
    <w:rsid w:val="00EC66CC"/>
    <w:rsid w:val="00ED1817"/>
    <w:rsid w:val="00ED338F"/>
    <w:rsid w:val="00ED40E8"/>
    <w:rsid w:val="00ED5C59"/>
    <w:rsid w:val="00EE342C"/>
    <w:rsid w:val="00EE3E0D"/>
    <w:rsid w:val="00EE3F40"/>
    <w:rsid w:val="00EE529A"/>
    <w:rsid w:val="00EE5C0D"/>
    <w:rsid w:val="00EE646F"/>
    <w:rsid w:val="00EE7070"/>
    <w:rsid w:val="00EE7079"/>
    <w:rsid w:val="00EF2DB1"/>
    <w:rsid w:val="00EF47B4"/>
    <w:rsid w:val="00EF496A"/>
    <w:rsid w:val="00F028D2"/>
    <w:rsid w:val="00F041B4"/>
    <w:rsid w:val="00F04683"/>
    <w:rsid w:val="00F04B42"/>
    <w:rsid w:val="00F06686"/>
    <w:rsid w:val="00F1252E"/>
    <w:rsid w:val="00F15819"/>
    <w:rsid w:val="00F1653B"/>
    <w:rsid w:val="00F16FF0"/>
    <w:rsid w:val="00F203FA"/>
    <w:rsid w:val="00F213D5"/>
    <w:rsid w:val="00F22888"/>
    <w:rsid w:val="00F2701C"/>
    <w:rsid w:val="00F30774"/>
    <w:rsid w:val="00F311B9"/>
    <w:rsid w:val="00F31895"/>
    <w:rsid w:val="00F36286"/>
    <w:rsid w:val="00F370A8"/>
    <w:rsid w:val="00F41B5E"/>
    <w:rsid w:val="00F438B2"/>
    <w:rsid w:val="00F44F56"/>
    <w:rsid w:val="00F46579"/>
    <w:rsid w:val="00F56ABC"/>
    <w:rsid w:val="00F57BB0"/>
    <w:rsid w:val="00F6518A"/>
    <w:rsid w:val="00F70D68"/>
    <w:rsid w:val="00F718CF"/>
    <w:rsid w:val="00F72FB1"/>
    <w:rsid w:val="00F74B37"/>
    <w:rsid w:val="00F75DD5"/>
    <w:rsid w:val="00F76099"/>
    <w:rsid w:val="00F7661E"/>
    <w:rsid w:val="00F807DA"/>
    <w:rsid w:val="00F82BF9"/>
    <w:rsid w:val="00F8427E"/>
    <w:rsid w:val="00F86869"/>
    <w:rsid w:val="00F87707"/>
    <w:rsid w:val="00F917B2"/>
    <w:rsid w:val="00F96070"/>
    <w:rsid w:val="00F9760D"/>
    <w:rsid w:val="00F97B01"/>
    <w:rsid w:val="00FA4C89"/>
    <w:rsid w:val="00FA61E8"/>
    <w:rsid w:val="00FA7305"/>
    <w:rsid w:val="00FB0F21"/>
    <w:rsid w:val="00FB210F"/>
    <w:rsid w:val="00FB3DF3"/>
    <w:rsid w:val="00FC0274"/>
    <w:rsid w:val="00FC0D5C"/>
    <w:rsid w:val="00FC31BC"/>
    <w:rsid w:val="00FC4429"/>
    <w:rsid w:val="00FC7E10"/>
    <w:rsid w:val="00FD493F"/>
    <w:rsid w:val="00FD701C"/>
    <w:rsid w:val="00FE30B6"/>
    <w:rsid w:val="00FE5EF2"/>
    <w:rsid w:val="00FF2681"/>
    <w:rsid w:val="00FF357D"/>
    <w:rsid w:val="00FF5A35"/>
    <w:rsid w:val="00FF5B45"/>
    <w:rsid w:val="00FF757C"/>
    <w:rsid w:val="1DFAC8EA"/>
    <w:rsid w:val="72C514B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CAE2B5"/>
  <w15:docId w15:val="{B79D7B73-84E5-468D-9A08-64BE1A1C4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sz w:val="22"/>
        <w:szCs w:val="22"/>
        <w:lang w:val="pt-BR" w:eastAsia="pt-BR" w:bidi="ar-SA"/>
      </w:rPr>
    </w:rPrDefault>
    <w:pPrDefault>
      <w:pPr>
        <w:autoSpaceDN w:val="0"/>
        <w:spacing w:after="160"/>
        <w:textAlignment w:val="baseline"/>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67E3"/>
    <w:pPr>
      <w:autoSpaceDN/>
      <w:spacing w:after="0"/>
      <w:textAlignment w:val="auto"/>
    </w:pPr>
    <w:rPr>
      <w:rFonts w:ascii="Times New Roman" w:eastAsia="Times New Roman" w:hAnsi="Times New Roman"/>
      <w:sz w:val="24"/>
      <w:szCs w:val="24"/>
    </w:rPr>
  </w:style>
  <w:style w:type="paragraph" w:styleId="Ttulo1">
    <w:name w:val="heading 1"/>
    <w:basedOn w:val="Normal"/>
    <w:next w:val="Normal"/>
    <w:qFormat/>
    <w:pPr>
      <w:keepNext/>
      <w:keepLines/>
      <w:spacing w:before="240"/>
      <w:outlineLvl w:val="0"/>
    </w:pPr>
    <w:rPr>
      <w:rFonts w:ascii="Calibri Light" w:hAnsi="Calibri Light"/>
      <w:color w:val="2E74B5"/>
      <w:sz w:val="32"/>
      <w:szCs w:val="32"/>
    </w:rPr>
  </w:style>
  <w:style w:type="paragraph" w:styleId="Ttulo2">
    <w:name w:val="heading 2"/>
    <w:basedOn w:val="Normal"/>
    <w:next w:val="Normal"/>
    <w:uiPriority w:val="9"/>
    <w:unhideWhenUsed/>
    <w:qFormat/>
    <w:pPr>
      <w:keepNext/>
      <w:keepLines/>
      <w:spacing w:before="40"/>
      <w:outlineLvl w:val="1"/>
    </w:pPr>
    <w:rPr>
      <w:rFonts w:ascii="Calibri Light" w:hAnsi="Calibri Light"/>
      <w:color w:val="2E74B5"/>
      <w:sz w:val="26"/>
      <w:szCs w:val="26"/>
    </w:rPr>
  </w:style>
  <w:style w:type="paragraph" w:styleId="Ttulo3">
    <w:name w:val="heading 3"/>
    <w:basedOn w:val="Normal"/>
    <w:next w:val="Normal"/>
    <w:uiPriority w:val="9"/>
    <w:unhideWhenUsed/>
    <w:qFormat/>
    <w:pPr>
      <w:keepNext/>
      <w:keepLines/>
      <w:spacing w:before="40"/>
      <w:outlineLvl w:val="2"/>
    </w:pPr>
    <w:rPr>
      <w:rFonts w:ascii="Calibri Light" w:hAnsi="Calibri Light"/>
      <w:color w:val="1F4D78"/>
    </w:rPr>
  </w:style>
  <w:style w:type="paragraph" w:styleId="Ttulo4">
    <w:name w:val="heading 4"/>
    <w:basedOn w:val="Normal"/>
    <w:next w:val="Normal"/>
    <w:uiPriority w:val="9"/>
    <w:semiHidden/>
    <w:unhideWhenUsed/>
    <w:qFormat/>
    <w:pPr>
      <w:keepNext/>
      <w:keepLines/>
      <w:spacing w:before="40"/>
      <w:outlineLvl w:val="3"/>
    </w:pPr>
    <w:rPr>
      <w:rFonts w:ascii="Calibri Light" w:hAnsi="Calibri Light"/>
      <w:i/>
      <w:iCs/>
      <w:color w:val="2E74B5"/>
    </w:rPr>
  </w:style>
  <w:style w:type="paragraph" w:styleId="Ttulo5">
    <w:name w:val="heading 5"/>
    <w:basedOn w:val="Normal"/>
    <w:next w:val="Normal"/>
    <w:uiPriority w:val="9"/>
    <w:semiHidden/>
    <w:unhideWhenUsed/>
    <w:qFormat/>
    <w:pPr>
      <w:keepNext/>
      <w:keepLines/>
      <w:spacing w:before="40"/>
      <w:outlineLvl w:val="4"/>
    </w:pPr>
    <w:rPr>
      <w:rFonts w:ascii="Calibri Light" w:hAnsi="Calibri Light"/>
      <w:color w:val="2E74B5"/>
    </w:rPr>
  </w:style>
  <w:style w:type="paragraph" w:styleId="Ttulo6">
    <w:name w:val="heading 6"/>
    <w:basedOn w:val="Normal"/>
    <w:next w:val="Normal"/>
    <w:uiPriority w:val="9"/>
    <w:semiHidden/>
    <w:unhideWhenUsed/>
    <w:qFormat/>
    <w:pPr>
      <w:keepNext/>
      <w:keepLines/>
      <w:spacing w:before="40" w:line="360" w:lineRule="auto"/>
      <w:ind w:left="1436" w:hanging="1152"/>
      <w:jc w:val="both"/>
      <w:outlineLvl w:val="5"/>
    </w:pPr>
    <w:rPr>
      <w:rFonts w:ascii="Calibri Light" w:hAnsi="Calibri Light"/>
      <w:color w:val="1F4D78"/>
    </w:rPr>
  </w:style>
  <w:style w:type="paragraph" w:styleId="Ttulo7">
    <w:name w:val="heading 7"/>
    <w:basedOn w:val="Normal"/>
    <w:next w:val="Normal"/>
    <w:pPr>
      <w:keepNext/>
      <w:keepLines/>
      <w:spacing w:before="40" w:line="360" w:lineRule="auto"/>
      <w:ind w:left="1580" w:hanging="1296"/>
      <w:jc w:val="both"/>
      <w:outlineLvl w:val="6"/>
    </w:pPr>
    <w:rPr>
      <w:rFonts w:ascii="Calibri Light" w:hAnsi="Calibri Light"/>
      <w:i/>
      <w:iCs/>
      <w:color w:val="1F4D78"/>
    </w:rPr>
  </w:style>
  <w:style w:type="paragraph" w:styleId="Ttulo8">
    <w:name w:val="heading 8"/>
    <w:basedOn w:val="Normal"/>
    <w:next w:val="Normal"/>
    <w:pPr>
      <w:keepNext/>
      <w:keepLines/>
      <w:spacing w:before="40" w:line="360" w:lineRule="auto"/>
      <w:ind w:left="1724" w:hanging="1440"/>
      <w:jc w:val="both"/>
      <w:outlineLvl w:val="7"/>
    </w:pPr>
    <w:rPr>
      <w:rFonts w:ascii="Calibri Light" w:hAnsi="Calibri Light"/>
      <w:color w:val="272727"/>
      <w:sz w:val="21"/>
      <w:szCs w:val="21"/>
    </w:rPr>
  </w:style>
  <w:style w:type="paragraph" w:styleId="Ttulo9">
    <w:name w:val="heading 9"/>
    <w:basedOn w:val="Normal"/>
    <w:next w:val="Normal"/>
    <w:pPr>
      <w:keepNext/>
      <w:keepLines/>
      <w:spacing w:before="40" w:line="360" w:lineRule="auto"/>
      <w:ind w:left="1868" w:hanging="1584"/>
      <w:jc w:val="both"/>
      <w:outlineLvl w:val="8"/>
    </w:pPr>
    <w:rPr>
      <w:rFonts w:ascii="Calibri Light" w:hAnsi="Calibri Light"/>
      <w:i/>
      <w:iCs/>
      <w:color w:val="272727"/>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doSumrio">
    <w:name w:val="TOC Heading"/>
    <w:basedOn w:val="Ttulo1"/>
    <w:next w:val="Normal"/>
  </w:style>
  <w:style w:type="paragraph" w:customStyle="1" w:styleId="RelatrioNvel2">
    <w:name w:val="Relatório Nível 2"/>
    <w:basedOn w:val="Ttulo2"/>
    <w:autoRedefine/>
    <w:pPr>
      <w:keepNext w:val="0"/>
      <w:keepLines w:val="0"/>
      <w:spacing w:before="240" w:after="80" w:line="264" w:lineRule="auto"/>
      <w:ind w:left="860" w:hanging="576"/>
      <w:jc w:val="both"/>
    </w:pPr>
    <w:rPr>
      <w:rFonts w:ascii="Tahoma" w:eastAsia="Calibri" w:hAnsi="Tahoma"/>
      <w:color w:val="005051"/>
      <w:spacing w:val="20"/>
      <w:kern w:val="3"/>
      <w:sz w:val="24"/>
      <w:szCs w:val="24"/>
    </w:rPr>
  </w:style>
  <w:style w:type="paragraph" w:styleId="PargrafodaLista">
    <w:name w:val="List Paragraph"/>
    <w:aliases w:val="Parágrafo da Lista 1"/>
    <w:basedOn w:val="Normal"/>
    <w:uiPriority w:val="34"/>
    <w:qFormat/>
    <w:pPr>
      <w:ind w:left="720"/>
    </w:pPr>
  </w:style>
  <w:style w:type="character" w:customStyle="1" w:styleId="Ttulo1Char">
    <w:name w:val="Título 1 Char"/>
    <w:basedOn w:val="Fontepargpadro"/>
    <w:uiPriority w:val="9"/>
    <w:rPr>
      <w:rFonts w:ascii="Calibri Light" w:eastAsia="Times New Roman" w:hAnsi="Calibri Light" w:cs="Times New Roman"/>
      <w:color w:val="2E74B5"/>
      <w:sz w:val="32"/>
      <w:szCs w:val="32"/>
    </w:rPr>
  </w:style>
  <w:style w:type="character" w:customStyle="1" w:styleId="Ttulo2Char">
    <w:name w:val="Título 2 Char"/>
    <w:basedOn w:val="Fontepargpadro"/>
    <w:rPr>
      <w:rFonts w:ascii="Calibri Light" w:eastAsia="Times New Roman" w:hAnsi="Calibri Light" w:cs="Times New Roman"/>
      <w:color w:val="2E74B5"/>
      <w:sz w:val="26"/>
      <w:szCs w:val="26"/>
    </w:rPr>
  </w:style>
  <w:style w:type="paragraph" w:styleId="Cabealho">
    <w:name w:val="header"/>
    <w:basedOn w:val="Normal"/>
    <w:pPr>
      <w:tabs>
        <w:tab w:val="center" w:pos="4252"/>
        <w:tab w:val="right" w:pos="8504"/>
      </w:tabs>
    </w:pPr>
  </w:style>
  <w:style w:type="character" w:customStyle="1" w:styleId="CabealhoChar">
    <w:name w:val="Cabeçalho Char"/>
    <w:basedOn w:val="Fontepargpadro"/>
  </w:style>
  <w:style w:type="paragraph" w:styleId="Rodap">
    <w:name w:val="footer"/>
    <w:basedOn w:val="Normal"/>
    <w:pPr>
      <w:tabs>
        <w:tab w:val="center" w:pos="4252"/>
        <w:tab w:val="right" w:pos="8504"/>
      </w:tabs>
    </w:pPr>
  </w:style>
  <w:style w:type="character" w:customStyle="1" w:styleId="RodapChar">
    <w:name w:val="Rodapé Char"/>
    <w:basedOn w:val="Fontepargpadro"/>
  </w:style>
  <w:style w:type="paragraph" w:styleId="Sumrio1">
    <w:name w:val="toc 1"/>
    <w:basedOn w:val="Normal"/>
    <w:next w:val="Normal"/>
    <w:autoRedefine/>
    <w:uiPriority w:val="39"/>
    <w:pPr>
      <w:tabs>
        <w:tab w:val="right" w:leader="dot" w:pos="9116"/>
      </w:tabs>
      <w:spacing w:before="40"/>
    </w:pPr>
    <w:rPr>
      <w:rFonts w:ascii="Tahoma" w:hAnsi="Tahoma" w:cs="Tahoma"/>
      <w:sz w:val="19"/>
      <w:szCs w:val="19"/>
    </w:rPr>
  </w:style>
  <w:style w:type="paragraph" w:styleId="Sumrio2">
    <w:name w:val="toc 2"/>
    <w:basedOn w:val="Normal"/>
    <w:next w:val="Normal"/>
    <w:autoRedefine/>
    <w:uiPriority w:val="39"/>
    <w:rsid w:val="00254F4A"/>
    <w:pPr>
      <w:tabs>
        <w:tab w:val="right" w:leader="dot" w:pos="9116"/>
      </w:tabs>
      <w:spacing w:before="40"/>
      <w:ind w:left="221"/>
    </w:pPr>
  </w:style>
  <w:style w:type="character" w:styleId="Hyperlink">
    <w:name w:val="Hyperlink"/>
    <w:basedOn w:val="Fontepargpadro"/>
    <w:uiPriority w:val="99"/>
    <w:rPr>
      <w:color w:val="0563C1"/>
      <w:u w:val="single"/>
    </w:rPr>
  </w:style>
  <w:style w:type="paragraph" w:styleId="Sumrio3">
    <w:name w:val="toc 3"/>
    <w:basedOn w:val="Normal"/>
    <w:next w:val="Normal"/>
    <w:autoRedefine/>
    <w:uiPriority w:val="39"/>
    <w:pPr>
      <w:tabs>
        <w:tab w:val="right" w:leader="dot" w:pos="9116"/>
      </w:tabs>
      <w:ind w:left="440"/>
    </w:pPr>
  </w:style>
  <w:style w:type="character" w:customStyle="1" w:styleId="Ttulo3Char">
    <w:name w:val="Título 3 Char"/>
    <w:basedOn w:val="Fontepargpadro"/>
    <w:rPr>
      <w:rFonts w:ascii="Calibri Light" w:eastAsia="Times New Roman" w:hAnsi="Calibri Light" w:cs="Times New Roman"/>
      <w:color w:val="1F4D78"/>
      <w:sz w:val="24"/>
      <w:szCs w:val="24"/>
    </w:rPr>
  </w:style>
  <w:style w:type="paragraph" w:customStyle="1" w:styleId="corpododocumento">
    <w:name w:val="corpo do documento"/>
    <w:basedOn w:val="Normal"/>
    <w:qFormat/>
    <w:pPr>
      <w:autoSpaceDE w:val="0"/>
      <w:spacing w:after="113" w:line="360" w:lineRule="atLeast"/>
      <w:textAlignment w:val="center"/>
    </w:pPr>
    <w:rPr>
      <w:rFonts w:ascii="Tahoma" w:hAnsi="Tahoma" w:cs="Tahoma"/>
      <w:color w:val="404040"/>
      <w:sz w:val="20"/>
      <w:szCs w:val="20"/>
    </w:rPr>
  </w:style>
  <w:style w:type="paragraph" w:styleId="NormalWeb">
    <w:name w:val="Normal (Web)"/>
    <w:basedOn w:val="Normal"/>
    <w:uiPriority w:val="99"/>
    <w:pPr>
      <w:spacing w:before="100" w:after="100"/>
    </w:pPr>
  </w:style>
  <w:style w:type="character" w:styleId="Refdecomentrio">
    <w:name w:val="annotation reference"/>
    <w:basedOn w:val="Fontepargpadro"/>
    <w:uiPriority w:val="99"/>
    <w:rPr>
      <w:sz w:val="16"/>
      <w:szCs w:val="16"/>
    </w:rPr>
  </w:style>
  <w:style w:type="paragraph" w:styleId="Textodecomentrio">
    <w:name w:val="annotation text"/>
    <w:basedOn w:val="Normal"/>
    <w:uiPriority w:val="99"/>
    <w:rPr>
      <w:sz w:val="20"/>
      <w:szCs w:val="20"/>
    </w:rPr>
  </w:style>
  <w:style w:type="character" w:customStyle="1" w:styleId="TextodecomentrioChar">
    <w:name w:val="Texto de comentário Char"/>
    <w:basedOn w:val="Fontepargpadro"/>
    <w:uiPriority w:val="99"/>
    <w:rPr>
      <w:rFonts w:ascii="Calibri" w:eastAsia="Calibri" w:hAnsi="Calibri" w:cs="Times New Roman"/>
      <w:sz w:val="20"/>
      <w:szCs w:val="20"/>
    </w:rPr>
  </w:style>
  <w:style w:type="paragraph" w:styleId="Textodebalo">
    <w:name w:val="Balloon Text"/>
    <w:basedOn w:val="Normal"/>
    <w:rPr>
      <w:rFonts w:ascii="Tahoma" w:hAnsi="Tahoma" w:cs="Tahoma"/>
      <w:sz w:val="16"/>
      <w:szCs w:val="16"/>
    </w:rPr>
  </w:style>
  <w:style w:type="character" w:customStyle="1" w:styleId="TextodebaloChar">
    <w:name w:val="Texto de balão Char"/>
    <w:basedOn w:val="Fontepargpadro"/>
    <w:rPr>
      <w:rFonts w:ascii="Segoe UI" w:hAnsi="Segoe UI" w:cs="Segoe UI"/>
      <w:sz w:val="18"/>
      <w:szCs w:val="18"/>
    </w:rPr>
  </w:style>
  <w:style w:type="paragraph" w:styleId="Assuntodocomentrio">
    <w:name w:val="annotation subject"/>
    <w:basedOn w:val="Textodecomentrio"/>
    <w:next w:val="Textodecomentrio"/>
    <w:pPr>
      <w:textAlignment w:val="baseline"/>
    </w:pPr>
    <w:rPr>
      <w:b/>
      <w:bCs/>
    </w:rPr>
  </w:style>
  <w:style w:type="character" w:customStyle="1" w:styleId="AssuntodocomentrioChar">
    <w:name w:val="Assunto do comentário Char"/>
    <w:basedOn w:val="TextodecomentrioChar"/>
    <w:rPr>
      <w:rFonts w:ascii="Calibri" w:eastAsia="Calibri" w:hAnsi="Calibri" w:cs="Times New Roman"/>
      <w:b/>
      <w:bCs/>
      <w:sz w:val="20"/>
      <w:szCs w:val="20"/>
    </w:rPr>
  </w:style>
  <w:style w:type="character" w:styleId="HiperlinkVisitado">
    <w:name w:val="FollowedHyperlink"/>
    <w:basedOn w:val="Fontepargpadro"/>
    <w:rPr>
      <w:color w:val="954F72"/>
      <w:u w:val="single"/>
    </w:rPr>
  </w:style>
  <w:style w:type="paragraph" w:customStyle="1" w:styleId="PargrafodaLista1">
    <w:name w:val="Parágrafo da Lista1"/>
    <w:basedOn w:val="Normal"/>
    <w:pPr>
      <w:spacing w:after="200" w:line="276" w:lineRule="auto"/>
      <w:ind w:left="720"/>
    </w:pPr>
  </w:style>
  <w:style w:type="character" w:customStyle="1" w:styleId="Ttulo4Char">
    <w:name w:val="Título 4 Char"/>
    <w:basedOn w:val="Fontepargpadro"/>
    <w:rPr>
      <w:rFonts w:ascii="Calibri Light" w:eastAsia="Times New Roman" w:hAnsi="Calibri Light" w:cs="Times New Roman"/>
      <w:i/>
      <w:iCs/>
      <w:color w:val="2E74B5"/>
    </w:rPr>
  </w:style>
  <w:style w:type="character" w:customStyle="1" w:styleId="Ttulo5Char">
    <w:name w:val="Título 5 Char"/>
    <w:basedOn w:val="Fontepargpadro"/>
    <w:rPr>
      <w:rFonts w:ascii="Calibri Light" w:eastAsia="Times New Roman" w:hAnsi="Calibri Light" w:cs="Times New Roman"/>
      <w:color w:val="2E74B5"/>
    </w:rPr>
  </w:style>
  <w:style w:type="character" w:customStyle="1" w:styleId="PargrafodaListaChar">
    <w:name w:val="Parágrafo da Lista Char"/>
    <w:aliases w:val="Parágrafo da Lista 1 Char"/>
    <w:uiPriority w:val="34"/>
  </w:style>
  <w:style w:type="paragraph" w:customStyle="1" w:styleId="TtuloFinep3">
    <w:name w:val="Título Finep 3"/>
    <w:basedOn w:val="Normal"/>
    <w:pPr>
      <w:spacing w:before="240" w:after="120"/>
      <w:jc w:val="both"/>
    </w:pPr>
    <w:rPr>
      <w:rFonts w:ascii="Tahoma" w:hAnsi="Tahoma" w:cs="Tahoma"/>
      <w:b/>
      <w:bCs/>
      <w:color w:val="FFFFFF"/>
      <w:kern w:val="3"/>
    </w:rPr>
  </w:style>
  <w:style w:type="paragraph" w:customStyle="1" w:styleId="TtuloFinep2">
    <w:name w:val="Título Finep 2"/>
    <w:basedOn w:val="Normal"/>
    <w:pPr>
      <w:spacing w:before="240" w:after="120"/>
      <w:ind w:left="574"/>
      <w:jc w:val="both"/>
    </w:pPr>
    <w:rPr>
      <w:rFonts w:ascii="Tahoma" w:hAnsi="Tahoma" w:cs="Tahoma"/>
      <w:b/>
      <w:bCs/>
      <w:color w:val="DD4F05"/>
      <w:kern w:val="3"/>
    </w:rPr>
  </w:style>
  <w:style w:type="paragraph" w:customStyle="1" w:styleId="TtuloFinep1">
    <w:name w:val="Título Finep 1"/>
    <w:basedOn w:val="Normal"/>
    <w:pPr>
      <w:numPr>
        <w:numId w:val="9"/>
      </w:numPr>
      <w:spacing w:before="240" w:after="120"/>
      <w:jc w:val="both"/>
    </w:pPr>
    <w:rPr>
      <w:rFonts w:ascii="Tahoma" w:hAnsi="Tahoma" w:cs="Tahoma"/>
      <w:b/>
      <w:bCs/>
      <w:color w:val="DD4F05"/>
      <w:kern w:val="3"/>
    </w:rPr>
  </w:style>
  <w:style w:type="character" w:customStyle="1" w:styleId="TtuloFinep1Char">
    <w:name w:val="Título Finep 1 Char"/>
    <w:rPr>
      <w:rFonts w:ascii="Tahoma" w:eastAsia="Times New Roman" w:hAnsi="Tahoma" w:cs="Tahoma"/>
      <w:b/>
      <w:bCs/>
      <w:color w:val="DD4F05"/>
      <w:kern w:val="3"/>
    </w:rPr>
  </w:style>
  <w:style w:type="paragraph" w:styleId="Recuodecorpodetexto3">
    <w:name w:val="Body Text Indent 3"/>
    <w:basedOn w:val="Normal"/>
    <w:pPr>
      <w:spacing w:after="120"/>
      <w:ind w:left="283"/>
    </w:pPr>
    <w:rPr>
      <w:sz w:val="16"/>
      <w:szCs w:val="16"/>
    </w:rPr>
  </w:style>
  <w:style w:type="character" w:customStyle="1" w:styleId="Recuodecorpodetexto3Char">
    <w:name w:val="Recuo de corpo de texto 3 Char"/>
    <w:basedOn w:val="Fontepargpadro"/>
    <w:rPr>
      <w:rFonts w:ascii="Times New Roman" w:eastAsia="Times New Roman" w:hAnsi="Times New Roman"/>
      <w:sz w:val="16"/>
      <w:szCs w:val="16"/>
    </w:rPr>
  </w:style>
  <w:style w:type="paragraph" w:customStyle="1" w:styleId="Default">
    <w:name w:val="Default"/>
    <w:pPr>
      <w:suppressAutoHyphens/>
      <w:autoSpaceDE w:val="0"/>
      <w:spacing w:after="0"/>
      <w:textAlignment w:val="auto"/>
    </w:pPr>
    <w:rPr>
      <w:rFonts w:ascii="Verdana" w:hAnsi="Verdana" w:cs="Verdana"/>
      <w:color w:val="000000"/>
      <w:sz w:val="24"/>
      <w:szCs w:val="24"/>
    </w:rPr>
  </w:style>
  <w:style w:type="paragraph" w:styleId="SemEspaamento">
    <w:name w:val="No Spacing"/>
    <w:pPr>
      <w:suppressAutoHyphens/>
      <w:spacing w:after="0"/>
      <w:textAlignment w:val="auto"/>
    </w:pPr>
  </w:style>
  <w:style w:type="paragraph" w:styleId="Textodenotaderodap">
    <w:name w:val="footnote text"/>
    <w:basedOn w:val="Normal"/>
    <w:uiPriority w:val="99"/>
    <w:rPr>
      <w:sz w:val="20"/>
      <w:szCs w:val="20"/>
    </w:rPr>
  </w:style>
  <w:style w:type="character" w:customStyle="1" w:styleId="TextodenotaderodapChar">
    <w:name w:val="Texto de nota de rodapé Char"/>
    <w:basedOn w:val="Fontepargpadro"/>
    <w:uiPriority w:val="99"/>
    <w:rPr>
      <w:rFonts w:ascii="Calibri" w:eastAsia="Calibri" w:hAnsi="Calibri" w:cs="Times New Roman"/>
      <w:sz w:val="20"/>
      <w:szCs w:val="20"/>
    </w:rPr>
  </w:style>
  <w:style w:type="character" w:styleId="Refdenotaderodap">
    <w:name w:val="footnote reference"/>
    <w:basedOn w:val="Fontepargpadro"/>
    <w:uiPriority w:val="99"/>
    <w:rPr>
      <w:position w:val="0"/>
      <w:vertAlign w:val="superscript"/>
    </w:rPr>
  </w:style>
  <w:style w:type="paragraph" w:styleId="Reviso">
    <w:name w:val="Revision"/>
    <w:pPr>
      <w:suppressAutoHyphens/>
      <w:spacing w:after="0"/>
      <w:textAlignment w:val="auto"/>
    </w:pPr>
  </w:style>
  <w:style w:type="character" w:styleId="Forte">
    <w:name w:val="Strong"/>
    <w:uiPriority w:val="22"/>
    <w:qFormat/>
    <w:rPr>
      <w:b/>
      <w:bCs/>
    </w:rPr>
  </w:style>
  <w:style w:type="character" w:customStyle="1" w:styleId="Ttulo6Char">
    <w:name w:val="Título 6 Char"/>
    <w:basedOn w:val="Fontepargpadro"/>
    <w:rPr>
      <w:rFonts w:ascii="Calibri Light" w:eastAsia="Times New Roman" w:hAnsi="Calibri Light" w:cs="Times New Roman"/>
      <w:color w:val="1F4D78"/>
    </w:rPr>
  </w:style>
  <w:style w:type="character" w:customStyle="1" w:styleId="Ttulo7Char">
    <w:name w:val="Título 7 Char"/>
    <w:basedOn w:val="Fontepargpadro"/>
    <w:rPr>
      <w:rFonts w:ascii="Calibri Light" w:eastAsia="Times New Roman" w:hAnsi="Calibri Light" w:cs="Times New Roman"/>
      <w:i/>
      <w:iCs/>
      <w:color w:val="1F4D78"/>
    </w:rPr>
  </w:style>
  <w:style w:type="character" w:customStyle="1" w:styleId="Ttulo8Char">
    <w:name w:val="Título 8 Char"/>
    <w:basedOn w:val="Fontepargpadro"/>
    <w:rPr>
      <w:rFonts w:ascii="Calibri Light" w:eastAsia="Times New Roman" w:hAnsi="Calibri Light" w:cs="Times New Roman"/>
      <w:color w:val="272727"/>
      <w:sz w:val="21"/>
      <w:szCs w:val="21"/>
    </w:rPr>
  </w:style>
  <w:style w:type="character" w:customStyle="1" w:styleId="Ttulo9Char">
    <w:name w:val="Título 9 Char"/>
    <w:basedOn w:val="Fontepargpadro"/>
    <w:rPr>
      <w:rFonts w:ascii="Calibri Light" w:eastAsia="Times New Roman" w:hAnsi="Calibri Light" w:cs="Times New Roman"/>
      <w:i/>
      <w:iCs/>
      <w:color w:val="272727"/>
      <w:sz w:val="21"/>
      <w:szCs w:val="21"/>
    </w:rPr>
  </w:style>
  <w:style w:type="paragraph" w:customStyle="1" w:styleId="RelatrioNvel1">
    <w:name w:val="Relatório Nível 1"/>
    <w:basedOn w:val="Ttulo1"/>
    <w:autoRedefine/>
    <w:pPr>
      <w:keepNext w:val="0"/>
      <w:keepLines w:val="0"/>
      <w:numPr>
        <w:numId w:val="10"/>
      </w:numPr>
      <w:spacing w:after="120"/>
      <w:jc w:val="both"/>
    </w:pPr>
    <w:rPr>
      <w:rFonts w:ascii="Tahoma" w:eastAsia="Calibri" w:hAnsi="Tahoma" w:cs="Calibri"/>
      <w:b/>
      <w:bCs/>
      <w:color w:val="005051"/>
      <w:kern w:val="3"/>
      <w:sz w:val="22"/>
      <w:szCs w:val="22"/>
    </w:rPr>
  </w:style>
  <w:style w:type="character" w:customStyle="1" w:styleId="RelatrioNvel1Char">
    <w:name w:val="Relatório Nível 1 Char"/>
    <w:basedOn w:val="Fontepargpadro"/>
    <w:rPr>
      <w:rFonts w:ascii="Tahoma" w:eastAsia="Calibri" w:hAnsi="Tahoma" w:cs="Calibri"/>
      <w:b/>
      <w:bCs/>
      <w:color w:val="005051"/>
      <w:kern w:val="3"/>
    </w:rPr>
  </w:style>
  <w:style w:type="character" w:customStyle="1" w:styleId="corpododocumentoChar">
    <w:name w:val="corpo do documento Char"/>
    <w:basedOn w:val="Fontepargpadro"/>
    <w:rPr>
      <w:rFonts w:ascii="Tahoma" w:eastAsia="Times New Roman" w:hAnsi="Tahoma" w:cs="Tahoma"/>
      <w:color w:val="404040"/>
      <w:sz w:val="20"/>
      <w:szCs w:val="20"/>
    </w:rPr>
  </w:style>
  <w:style w:type="paragraph" w:customStyle="1" w:styleId="corpocomidentao">
    <w:name w:val="corpo com identação"/>
    <w:basedOn w:val="PargrafodaLista"/>
    <w:pPr>
      <w:numPr>
        <w:numId w:val="11"/>
      </w:numPr>
      <w:autoSpaceDE w:val="0"/>
      <w:spacing w:before="120" w:after="120" w:line="320" w:lineRule="exact"/>
    </w:pPr>
    <w:rPr>
      <w:rFonts w:ascii="Tahoma" w:hAnsi="Tahoma" w:cs="Tahoma"/>
      <w:bCs/>
      <w:color w:val="595959"/>
      <w:sz w:val="20"/>
      <w:szCs w:val="20"/>
    </w:rPr>
  </w:style>
  <w:style w:type="character" w:customStyle="1" w:styleId="corpocomidentaoChar">
    <w:name w:val="corpo com identação Char"/>
    <w:basedOn w:val="Fontepargpadro"/>
    <w:rPr>
      <w:rFonts w:ascii="Tahoma" w:eastAsia="Times New Roman" w:hAnsi="Tahoma" w:cs="Tahoma"/>
      <w:bCs/>
      <w:color w:val="595959"/>
      <w:sz w:val="20"/>
      <w:szCs w:val="20"/>
    </w:rPr>
  </w:style>
  <w:style w:type="paragraph" w:customStyle="1" w:styleId="corpodastabelas">
    <w:name w:val="corpo das tabelas"/>
    <w:basedOn w:val="corpododocumento"/>
    <w:rPr>
      <w:color w:val="000000"/>
      <w:sz w:val="18"/>
    </w:rPr>
  </w:style>
  <w:style w:type="character" w:customStyle="1" w:styleId="corpodastabelasChar">
    <w:name w:val="corpo das tabelas Char"/>
    <w:basedOn w:val="corpododocumentoChar"/>
    <w:rPr>
      <w:rFonts w:ascii="Tahoma" w:eastAsia="Times New Roman" w:hAnsi="Tahoma" w:cs="Tahoma"/>
      <w:color w:val="000000"/>
      <w:sz w:val="18"/>
      <w:szCs w:val="20"/>
    </w:rPr>
  </w:style>
  <w:style w:type="paragraph" w:customStyle="1" w:styleId="CORPOTABELALONGA">
    <w:name w:val="#CORPO TABELA LONGA"/>
    <w:basedOn w:val="Normal"/>
    <w:pPr>
      <w:spacing w:line="260" w:lineRule="exact"/>
    </w:pPr>
    <w:rPr>
      <w:rFonts w:ascii="Tahoma" w:eastAsia="Tahoma" w:hAnsi="Tahoma" w:cs="Tahoma"/>
      <w:color w:val="595959"/>
      <w:kern w:val="3"/>
      <w:sz w:val="16"/>
      <w:szCs w:val="16"/>
    </w:rPr>
  </w:style>
  <w:style w:type="character" w:customStyle="1" w:styleId="CORPOTABELALONGAChar">
    <w:name w:val="#CORPO TABELA LONGA Char"/>
    <w:basedOn w:val="Fontepargpadro"/>
    <w:rPr>
      <w:rFonts w:ascii="Tahoma" w:eastAsia="Tahoma" w:hAnsi="Tahoma" w:cs="Tahoma"/>
      <w:color w:val="595959"/>
      <w:kern w:val="3"/>
      <w:sz w:val="16"/>
      <w:szCs w:val="16"/>
    </w:rPr>
  </w:style>
  <w:style w:type="character" w:customStyle="1" w:styleId="RelatrioNvel2Char">
    <w:name w:val="Relatório Nível 2 Char"/>
    <w:basedOn w:val="Fontepargpadro"/>
    <w:rPr>
      <w:rFonts w:ascii="Tahoma" w:hAnsi="Tahoma"/>
      <w:color w:val="005051"/>
      <w:spacing w:val="20"/>
      <w:kern w:val="3"/>
      <w:sz w:val="24"/>
      <w:szCs w:val="24"/>
    </w:rPr>
  </w:style>
  <w:style w:type="paragraph" w:customStyle="1" w:styleId="Standard">
    <w:name w:val="Standard"/>
    <w:pPr>
      <w:widowControl w:val="0"/>
      <w:suppressAutoHyphens/>
      <w:spacing w:after="0"/>
    </w:pPr>
    <w:rPr>
      <w:rFonts w:ascii="Times New Roman" w:eastAsia="SimSun" w:hAnsi="Times New Roman" w:cs="Mangal"/>
      <w:kern w:val="3"/>
      <w:sz w:val="24"/>
      <w:szCs w:val="24"/>
    </w:rPr>
  </w:style>
  <w:style w:type="paragraph" w:customStyle="1" w:styleId="CABEALHOTABELALONGA">
    <w:name w:val="#CABEÇALHO TABELA LONGA"/>
    <w:basedOn w:val="CORPOTABELALONGA"/>
    <w:rPr>
      <w:color w:val="FFFFFF"/>
      <w:sz w:val="18"/>
      <w:szCs w:val="18"/>
    </w:rPr>
  </w:style>
  <w:style w:type="character" w:customStyle="1" w:styleId="CABEALHOTABELALONGAChar">
    <w:name w:val="#CABEÇALHO TABELA LONGA Char"/>
    <w:basedOn w:val="CORPOTABELALONGAChar"/>
    <w:rPr>
      <w:rFonts w:ascii="Tahoma" w:eastAsia="Tahoma" w:hAnsi="Tahoma" w:cs="Tahoma"/>
      <w:color w:val="FFFFFF"/>
      <w:kern w:val="3"/>
      <w:sz w:val="18"/>
      <w:szCs w:val="18"/>
    </w:rPr>
  </w:style>
  <w:style w:type="paragraph" w:styleId="Legenda">
    <w:name w:val="caption"/>
    <w:basedOn w:val="Normal"/>
    <w:next w:val="Normal"/>
    <w:uiPriority w:val="35"/>
    <w:qFormat/>
    <w:pPr>
      <w:spacing w:after="200"/>
      <w:jc w:val="both"/>
    </w:pPr>
    <w:rPr>
      <w:rFonts w:cs="Calibri"/>
      <w:b/>
      <w:bCs/>
      <w:color w:val="5B9BD5"/>
      <w:sz w:val="18"/>
      <w:szCs w:val="18"/>
    </w:rPr>
  </w:style>
  <w:style w:type="paragraph" w:customStyle="1" w:styleId="CorpoTexto">
    <w:name w:val="Corpo Texto"/>
    <w:basedOn w:val="Normal"/>
    <w:pPr>
      <w:spacing w:before="120"/>
      <w:ind w:firstLine="709"/>
      <w:jc w:val="both"/>
    </w:pPr>
  </w:style>
  <w:style w:type="paragraph" w:customStyle="1" w:styleId="CorpoItens">
    <w:name w:val="Corpo Itens"/>
    <w:basedOn w:val="Normal"/>
    <w:pPr>
      <w:numPr>
        <w:numId w:val="7"/>
      </w:numPr>
      <w:autoSpaceDE w:val="0"/>
      <w:spacing w:before="120"/>
      <w:jc w:val="both"/>
    </w:pPr>
  </w:style>
  <w:style w:type="character" w:customStyle="1" w:styleId="apple-converted-space">
    <w:name w:val="apple-converted-space"/>
    <w:rPr>
      <w:rFonts w:ascii="Times New Roman" w:hAnsi="Times New Roman" w:cs="Times New Roman"/>
    </w:rPr>
  </w:style>
  <w:style w:type="paragraph" w:customStyle="1" w:styleId="Laranja">
    <w:name w:val="Laranja"/>
    <w:basedOn w:val="Ttulo1"/>
    <w:pPr>
      <w:keepNext w:val="0"/>
      <w:keepLines w:val="0"/>
      <w:spacing w:after="120"/>
      <w:jc w:val="both"/>
    </w:pPr>
    <w:rPr>
      <w:rFonts w:ascii="Tahoma" w:hAnsi="Tahoma" w:cs="Tahoma"/>
      <w:b/>
      <w:bCs/>
      <w:color w:val="DD4F05"/>
      <w:kern w:val="3"/>
      <w:sz w:val="22"/>
      <w:szCs w:val="22"/>
    </w:rPr>
  </w:style>
  <w:style w:type="paragraph" w:customStyle="1" w:styleId="verde">
    <w:name w:val="verde"/>
    <w:basedOn w:val="Ttulo1"/>
    <w:pPr>
      <w:keepNext w:val="0"/>
      <w:keepLines w:val="0"/>
      <w:tabs>
        <w:tab w:val="left" w:pos="0"/>
      </w:tabs>
      <w:spacing w:after="120"/>
      <w:jc w:val="both"/>
    </w:pPr>
    <w:rPr>
      <w:rFonts w:ascii="Tahoma" w:hAnsi="Tahoma" w:cs="Tahoma"/>
      <w:b/>
      <w:bCs/>
      <w:color w:val="005051"/>
      <w:kern w:val="3"/>
      <w:sz w:val="22"/>
      <w:szCs w:val="22"/>
    </w:rPr>
  </w:style>
  <w:style w:type="paragraph" w:customStyle="1" w:styleId="laranja0">
    <w:name w:val="laranja"/>
    <w:basedOn w:val="Normal"/>
    <w:pPr>
      <w:spacing w:before="120" w:after="120" w:line="360" w:lineRule="auto"/>
      <w:jc w:val="both"/>
    </w:pPr>
    <w:rPr>
      <w:rFonts w:ascii="Tahoma" w:hAnsi="Tahoma" w:cs="Tahoma"/>
      <w:b/>
      <w:bCs/>
      <w:color w:val="DD4F05"/>
    </w:rPr>
  </w:style>
  <w:style w:type="paragraph" w:customStyle="1" w:styleId="verdebold">
    <w:name w:val="verde bold"/>
    <w:basedOn w:val="verde"/>
  </w:style>
  <w:style w:type="character" w:customStyle="1" w:styleId="laranjaChar">
    <w:name w:val="laranja Char"/>
    <w:rPr>
      <w:rFonts w:ascii="Tahoma" w:hAnsi="Tahoma" w:cs="Tahoma"/>
      <w:b/>
      <w:bCs/>
      <w:color w:val="DD4F05"/>
    </w:rPr>
  </w:style>
  <w:style w:type="paragraph" w:customStyle="1" w:styleId="verdelight">
    <w:name w:val="verde light"/>
    <w:basedOn w:val="Ttulo1"/>
    <w:pPr>
      <w:keepNext w:val="0"/>
      <w:keepLines w:val="0"/>
      <w:spacing w:after="120"/>
      <w:jc w:val="both"/>
    </w:pPr>
    <w:rPr>
      <w:rFonts w:ascii="Tahoma" w:hAnsi="Tahoma" w:cs="Tahoma"/>
      <w:color w:val="005051"/>
      <w:kern w:val="3"/>
      <w:sz w:val="22"/>
      <w:szCs w:val="22"/>
    </w:rPr>
  </w:style>
  <w:style w:type="character" w:customStyle="1" w:styleId="verdeChar">
    <w:name w:val="verde Char"/>
    <w:rPr>
      <w:rFonts w:ascii="Tahoma" w:hAnsi="Tahoma" w:cs="Tahoma"/>
      <w:b/>
      <w:bCs/>
      <w:color w:val="005051"/>
      <w:kern w:val="3"/>
      <w:sz w:val="48"/>
      <w:szCs w:val="48"/>
    </w:rPr>
  </w:style>
  <w:style w:type="character" w:customStyle="1" w:styleId="verdeboldChar">
    <w:name w:val="verde bold Char"/>
    <w:rPr>
      <w:rFonts w:ascii="Tahoma" w:hAnsi="Tahoma" w:cs="Tahoma"/>
      <w:b/>
      <w:bCs/>
      <w:color w:val="005051"/>
      <w:kern w:val="3"/>
      <w:sz w:val="48"/>
      <w:szCs w:val="48"/>
    </w:rPr>
  </w:style>
  <w:style w:type="character" w:customStyle="1" w:styleId="verdelightChar">
    <w:name w:val="verde light Char"/>
    <w:rPr>
      <w:rFonts w:ascii="Tahoma" w:hAnsi="Tahoma" w:cs="Tahoma"/>
      <w:color w:val="005051"/>
      <w:kern w:val="3"/>
      <w:sz w:val="48"/>
      <w:szCs w:val="48"/>
    </w:rPr>
  </w:style>
  <w:style w:type="paragraph" w:customStyle="1" w:styleId="Quadro">
    <w:name w:val="Quadro"/>
    <w:basedOn w:val="Normal"/>
    <w:pPr>
      <w:spacing w:before="120" w:after="120" w:line="360" w:lineRule="auto"/>
      <w:jc w:val="both"/>
    </w:pPr>
    <w:rPr>
      <w:rFonts w:ascii="Tahoma" w:hAnsi="Tahoma" w:cs="Tahoma"/>
      <w:b/>
      <w:color w:val="595959"/>
      <w:kern w:val="3"/>
      <w:sz w:val="20"/>
    </w:rPr>
  </w:style>
  <w:style w:type="paragraph" w:customStyle="1" w:styleId="Grfico">
    <w:name w:val="Gráfico"/>
    <w:basedOn w:val="Normal"/>
    <w:pPr>
      <w:spacing w:before="120" w:after="120" w:line="360" w:lineRule="auto"/>
      <w:jc w:val="both"/>
    </w:pPr>
    <w:rPr>
      <w:rFonts w:ascii="Tahoma" w:hAnsi="Tahoma" w:cs="Tahoma"/>
      <w:b/>
      <w:color w:val="595959"/>
      <w:kern w:val="3"/>
      <w:sz w:val="20"/>
    </w:rPr>
  </w:style>
  <w:style w:type="paragraph" w:customStyle="1" w:styleId="corpodetexto">
    <w:name w:val="corpo de texto"/>
    <w:basedOn w:val="Grfico"/>
    <w:rPr>
      <w:b w:val="0"/>
      <w:color w:val="auto"/>
    </w:rPr>
  </w:style>
  <w:style w:type="paragraph" w:styleId="Commarcadores">
    <w:name w:val="List Bullet"/>
    <w:basedOn w:val="Normal"/>
    <w:pPr>
      <w:numPr>
        <w:numId w:val="8"/>
      </w:numPr>
      <w:spacing w:before="120" w:after="120" w:line="360" w:lineRule="auto"/>
      <w:jc w:val="both"/>
    </w:pPr>
    <w:rPr>
      <w:rFonts w:ascii="Tahoma" w:hAnsi="Tahoma" w:cs="Tahoma"/>
      <w:kern w:val="3"/>
      <w:sz w:val="19"/>
    </w:rPr>
  </w:style>
  <w:style w:type="paragraph" w:customStyle="1" w:styleId="Estilo1">
    <w:name w:val="Estilo1"/>
    <w:basedOn w:val="Laranja"/>
    <w:pPr>
      <w:spacing w:before="120" w:line="360" w:lineRule="auto"/>
    </w:pPr>
  </w:style>
  <w:style w:type="paragraph" w:customStyle="1" w:styleId="Estilo2">
    <w:name w:val="Estilo2"/>
    <w:basedOn w:val="Laranja"/>
    <w:pPr>
      <w:numPr>
        <w:numId w:val="12"/>
      </w:numPr>
      <w:spacing w:before="120" w:line="360" w:lineRule="auto"/>
    </w:pPr>
  </w:style>
  <w:style w:type="character" w:customStyle="1" w:styleId="Ttulo1Char1">
    <w:name w:val="Título 1 Char1"/>
    <w:basedOn w:val="Fontepargpadro"/>
    <w:rPr>
      <w:rFonts w:cs="Calibri"/>
      <w:b/>
      <w:bCs/>
      <w:kern w:val="3"/>
      <w:sz w:val="22"/>
      <w:szCs w:val="22"/>
    </w:rPr>
  </w:style>
  <w:style w:type="character" w:customStyle="1" w:styleId="LaranjaChar0">
    <w:name w:val="Laranja Char"/>
    <w:basedOn w:val="Ttulo1Char1"/>
    <w:rPr>
      <w:rFonts w:ascii="Tahoma" w:eastAsia="Times New Roman" w:hAnsi="Tahoma" w:cs="Tahoma"/>
      <w:b/>
      <w:bCs/>
      <w:color w:val="DD4F05"/>
      <w:kern w:val="3"/>
      <w:sz w:val="22"/>
      <w:szCs w:val="22"/>
    </w:rPr>
  </w:style>
  <w:style w:type="character" w:customStyle="1" w:styleId="Estilo1Char">
    <w:name w:val="Estilo1 Char"/>
    <w:basedOn w:val="LaranjaChar0"/>
    <w:rPr>
      <w:rFonts w:ascii="Tahoma" w:eastAsia="Times New Roman" w:hAnsi="Tahoma" w:cs="Tahoma"/>
      <w:b/>
      <w:bCs/>
      <w:color w:val="DD4F05"/>
      <w:kern w:val="3"/>
      <w:sz w:val="22"/>
      <w:szCs w:val="22"/>
    </w:rPr>
  </w:style>
  <w:style w:type="character" w:customStyle="1" w:styleId="Estilo2Char">
    <w:name w:val="Estilo2 Char"/>
    <w:basedOn w:val="LaranjaChar0"/>
    <w:rPr>
      <w:rFonts w:ascii="Tahoma" w:eastAsia="Times New Roman" w:hAnsi="Tahoma" w:cs="Tahoma"/>
      <w:b/>
      <w:bCs/>
      <w:color w:val="DD4F05"/>
      <w:kern w:val="3"/>
      <w:sz w:val="22"/>
      <w:szCs w:val="22"/>
    </w:rPr>
  </w:style>
  <w:style w:type="paragraph" w:styleId="Ttulo">
    <w:name w:val="Title"/>
    <w:basedOn w:val="Normal"/>
    <w:uiPriority w:val="10"/>
    <w:qFormat/>
    <w:pPr>
      <w:tabs>
        <w:tab w:val="left" w:pos="284"/>
        <w:tab w:val="left" w:pos="567"/>
      </w:tabs>
      <w:spacing w:after="120"/>
      <w:jc w:val="center"/>
    </w:pPr>
    <w:rPr>
      <w:rFonts w:ascii="Arial" w:hAnsi="Arial"/>
      <w:szCs w:val="20"/>
    </w:rPr>
  </w:style>
  <w:style w:type="character" w:customStyle="1" w:styleId="TtuloChar">
    <w:name w:val="Título Char"/>
    <w:basedOn w:val="Fontepargpadro"/>
    <w:rPr>
      <w:rFonts w:ascii="Arial" w:eastAsia="Times New Roman" w:hAnsi="Arial"/>
      <w:sz w:val="24"/>
      <w:szCs w:val="20"/>
    </w:rPr>
  </w:style>
  <w:style w:type="paragraph" w:customStyle="1" w:styleId="RodapdeFigura">
    <w:name w:val="Rodapé de Figura"/>
    <w:basedOn w:val="Normal"/>
    <w:pPr>
      <w:spacing w:before="60" w:after="240"/>
      <w:ind w:left="567" w:hanging="567"/>
      <w:jc w:val="both"/>
    </w:pPr>
    <w:rPr>
      <w:rFonts w:ascii="Tahoma" w:hAnsi="Tahoma" w:cs="Tahoma"/>
      <w:color w:val="595959"/>
      <w:kern w:val="3"/>
      <w:sz w:val="16"/>
    </w:rPr>
  </w:style>
  <w:style w:type="character" w:customStyle="1" w:styleId="object">
    <w:name w:val="object"/>
    <w:basedOn w:val="Fontepargpadro"/>
  </w:style>
  <w:style w:type="character" w:customStyle="1" w:styleId="object-hover">
    <w:name w:val="object-hover"/>
    <w:basedOn w:val="Fontepargpadro"/>
  </w:style>
  <w:style w:type="character" w:customStyle="1" w:styleId="noticiatexto">
    <w:name w:val="noticia_texto"/>
    <w:basedOn w:val="Fontepargpadro"/>
  </w:style>
  <w:style w:type="character" w:styleId="nfase">
    <w:name w:val="Emphasis"/>
    <w:basedOn w:val="Fontepargpadro"/>
    <w:rPr>
      <w:i/>
      <w:iCs/>
    </w:rPr>
  </w:style>
  <w:style w:type="paragraph" w:customStyle="1" w:styleId="Pa13">
    <w:name w:val="Pa13"/>
    <w:basedOn w:val="Default"/>
    <w:next w:val="Default"/>
    <w:pPr>
      <w:spacing w:line="171" w:lineRule="atLeast"/>
    </w:pPr>
    <w:rPr>
      <w:rFonts w:ascii="KievitOT-Bold" w:hAnsi="KievitOT-Bold" w:cs="Times New Roman"/>
      <w:color w:val="auto"/>
    </w:rPr>
  </w:style>
  <w:style w:type="character" w:customStyle="1" w:styleId="A18">
    <w:name w:val="A18"/>
    <w:rPr>
      <w:rFonts w:cs="KievitOT-Medium"/>
      <w:color w:val="000000"/>
      <w:sz w:val="15"/>
      <w:szCs w:val="15"/>
    </w:rPr>
  </w:style>
  <w:style w:type="paragraph" w:styleId="Corpodetexto0">
    <w:name w:val="Body Text"/>
    <w:basedOn w:val="Normal"/>
    <w:pPr>
      <w:widowControl w:val="0"/>
      <w:autoSpaceDE w:val="0"/>
    </w:pPr>
    <w:rPr>
      <w:rFonts w:ascii="Tahoma" w:eastAsia="Tahoma" w:hAnsi="Tahoma" w:cs="Tahoma"/>
      <w:sz w:val="18"/>
      <w:szCs w:val="18"/>
    </w:rPr>
  </w:style>
  <w:style w:type="character" w:customStyle="1" w:styleId="CorpodetextoChar">
    <w:name w:val="Corpo de texto Char"/>
    <w:basedOn w:val="Fontepargpadro"/>
    <w:rPr>
      <w:rFonts w:ascii="Tahoma" w:eastAsia="Tahoma" w:hAnsi="Tahoma" w:cs="Tahoma"/>
      <w:sz w:val="18"/>
      <w:szCs w:val="18"/>
    </w:rPr>
  </w:style>
  <w:style w:type="character" w:customStyle="1" w:styleId="A1">
    <w:name w:val="A1"/>
    <w:rPr>
      <w:rFonts w:cs="Adobe Garamond Pro Bold"/>
      <w:b/>
      <w:bCs/>
      <w:color w:val="000000"/>
      <w:sz w:val="16"/>
      <w:szCs w:val="16"/>
    </w:rPr>
  </w:style>
  <w:style w:type="character" w:customStyle="1" w:styleId="MenoPendente1">
    <w:name w:val="Menção Pendente1"/>
    <w:basedOn w:val="Fontepargpadro"/>
    <w:rPr>
      <w:color w:val="605E5C"/>
      <w:shd w:val="clear" w:color="auto" w:fill="E1DFDD"/>
    </w:rPr>
  </w:style>
  <w:style w:type="character" w:customStyle="1" w:styleId="A2">
    <w:name w:val="A2"/>
    <w:rPr>
      <w:rFonts w:cs="Kievit OT"/>
      <w:b/>
      <w:bCs/>
      <w:color w:val="006260"/>
      <w:sz w:val="84"/>
      <w:szCs w:val="84"/>
    </w:rPr>
  </w:style>
  <w:style w:type="paragraph" w:customStyle="1" w:styleId="Pa0">
    <w:name w:val="Pa0"/>
    <w:basedOn w:val="Default"/>
    <w:next w:val="Default"/>
    <w:pPr>
      <w:spacing w:line="171" w:lineRule="atLeast"/>
    </w:pPr>
    <w:rPr>
      <w:rFonts w:ascii="Kievit OT" w:hAnsi="Kievit OT" w:cs="Times New Roman"/>
      <w:color w:val="auto"/>
    </w:rPr>
  </w:style>
  <w:style w:type="character" w:customStyle="1" w:styleId="A0">
    <w:name w:val="A0"/>
    <w:rPr>
      <w:rFonts w:cs="Kievit OT"/>
      <w:b/>
      <w:bCs/>
      <w:color w:val="F26420"/>
      <w:sz w:val="28"/>
      <w:szCs w:val="28"/>
    </w:rPr>
  </w:style>
  <w:style w:type="paragraph" w:customStyle="1" w:styleId="Pa1">
    <w:name w:val="Pa1"/>
    <w:basedOn w:val="Default"/>
    <w:next w:val="Default"/>
    <w:pPr>
      <w:spacing w:line="171" w:lineRule="atLeast"/>
    </w:pPr>
    <w:rPr>
      <w:rFonts w:ascii="Kievit OT" w:hAnsi="Kievit OT" w:cs="Times New Roman"/>
      <w:color w:val="auto"/>
    </w:rPr>
  </w:style>
  <w:style w:type="character" w:customStyle="1" w:styleId="A3">
    <w:name w:val="A3"/>
    <w:rPr>
      <w:rFonts w:cs="Kievit OT"/>
      <w:color w:val="006260"/>
    </w:rPr>
  </w:style>
  <w:style w:type="character" w:customStyle="1" w:styleId="TextodenotaderodapChar1">
    <w:name w:val="Texto de nota de rodapé Char1"/>
    <w:basedOn w:val="Fontepargpadro"/>
    <w:rPr>
      <w:rFonts w:ascii="Times New Roman" w:eastAsia="Times New Roman" w:hAnsi="Times New Roman"/>
      <w:sz w:val="20"/>
      <w:szCs w:val="20"/>
    </w:rPr>
  </w:style>
  <w:style w:type="character" w:customStyle="1" w:styleId="TextodecomentrioChar1">
    <w:name w:val="Texto de comentário Char1"/>
    <w:basedOn w:val="Fontepargpadro"/>
    <w:rPr>
      <w:rFonts w:ascii="Times New Roman" w:eastAsia="Times New Roman" w:hAnsi="Times New Roman"/>
      <w:sz w:val="20"/>
      <w:szCs w:val="20"/>
    </w:rPr>
  </w:style>
  <w:style w:type="character" w:customStyle="1" w:styleId="markedcontent">
    <w:name w:val="markedcontent"/>
    <w:basedOn w:val="Fontepargpadro"/>
  </w:style>
  <w:style w:type="character" w:customStyle="1" w:styleId="MenoPendente2">
    <w:name w:val="Menção Pendente2"/>
    <w:basedOn w:val="Fontepargpadro"/>
    <w:rPr>
      <w:color w:val="605E5C"/>
      <w:shd w:val="clear" w:color="auto" w:fill="E1DFDD"/>
    </w:rPr>
  </w:style>
  <w:style w:type="character" w:customStyle="1" w:styleId="cf01">
    <w:name w:val="cf01"/>
    <w:basedOn w:val="Fontepargpadro"/>
    <w:rPr>
      <w:rFonts w:ascii="Segoe UI" w:hAnsi="Segoe UI" w:cs="Segoe UI"/>
      <w:sz w:val="18"/>
      <w:szCs w:val="18"/>
    </w:rPr>
  </w:style>
  <w:style w:type="character" w:styleId="MenoPendente">
    <w:name w:val="Unresolved Mention"/>
    <w:basedOn w:val="Fontepargpadro"/>
    <w:rPr>
      <w:color w:val="605E5C"/>
      <w:shd w:val="clear" w:color="auto" w:fill="E1DFDD"/>
    </w:rPr>
  </w:style>
  <w:style w:type="paragraph" w:customStyle="1" w:styleId="pf0">
    <w:name w:val="pf0"/>
    <w:basedOn w:val="Normal"/>
    <w:pPr>
      <w:spacing w:before="100" w:after="100"/>
    </w:pPr>
  </w:style>
  <w:style w:type="character" w:styleId="Meno">
    <w:name w:val="Mention"/>
    <w:basedOn w:val="Fontepargpadro"/>
    <w:rPr>
      <w:color w:val="2B579A"/>
      <w:shd w:val="clear" w:color="auto" w:fill="E6E6E6"/>
    </w:rPr>
  </w:style>
  <w:style w:type="character" w:customStyle="1" w:styleId="BalloonTextChar">
    <w:name w:val="Balloon Text Char"/>
    <w:basedOn w:val="Fontepargpadro"/>
    <w:rPr>
      <w:rFonts w:ascii="Tahoma" w:eastAsia="Times New Roman" w:hAnsi="Tahoma" w:cs="Tahoma"/>
      <w:sz w:val="16"/>
      <w:szCs w:val="16"/>
    </w:rPr>
  </w:style>
  <w:style w:type="character" w:customStyle="1" w:styleId="ui-provider">
    <w:name w:val="ui-provider"/>
    <w:basedOn w:val="Fontepargpadro"/>
  </w:style>
  <w:style w:type="table" w:styleId="Tabelacomgrade">
    <w:name w:val="Table Grid"/>
    <w:basedOn w:val="Tabelanormal"/>
    <w:uiPriority w:val="39"/>
    <w:rsid w:val="00D911A8"/>
    <w:pPr>
      <w:autoSpaceDN/>
      <w:spacing w:after="0"/>
      <w:textAlignment w:val="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Fontepargpadro"/>
    <w:rPr>
      <w:rFonts w:ascii="Times New Roman" w:eastAsia="Times New Roman" w:hAnsi="Times New Roman"/>
      <w:sz w:val="24"/>
      <w:szCs w:val="24"/>
    </w:rPr>
  </w:style>
  <w:style w:type="character" w:customStyle="1" w:styleId="FooterChar">
    <w:name w:val="Footer Char"/>
    <w:basedOn w:val="Fontepargpadro"/>
    <w:rPr>
      <w:rFonts w:ascii="Times New Roman" w:eastAsia="Times New Roman" w:hAnsi="Times New Roman"/>
      <w:sz w:val="24"/>
      <w:szCs w:val="24"/>
    </w:rPr>
  </w:style>
  <w:style w:type="numbering" w:customStyle="1" w:styleId="WWOutlineListStyle3">
    <w:name w:val="WW_OutlineListStyle_3"/>
    <w:basedOn w:val="Semlista"/>
    <w:pPr>
      <w:numPr>
        <w:numId w:val="1"/>
      </w:numPr>
    </w:pPr>
  </w:style>
  <w:style w:type="numbering" w:customStyle="1" w:styleId="WWOutlineListStyle5">
    <w:name w:val="WW_OutlineListStyle_5"/>
    <w:basedOn w:val="Semlista"/>
    <w:pPr>
      <w:numPr>
        <w:numId w:val="2"/>
      </w:numPr>
    </w:pPr>
  </w:style>
  <w:style w:type="numbering" w:customStyle="1" w:styleId="WWOutlineListStyle4">
    <w:name w:val="WW_OutlineListStyle_4"/>
    <w:basedOn w:val="Semlista"/>
    <w:pPr>
      <w:numPr>
        <w:numId w:val="3"/>
      </w:numPr>
    </w:pPr>
  </w:style>
  <w:style w:type="numbering" w:customStyle="1" w:styleId="WWOutlineListStyle2">
    <w:name w:val="WW_OutlineListStyle_2"/>
    <w:basedOn w:val="Semlista"/>
    <w:pPr>
      <w:numPr>
        <w:numId w:val="4"/>
      </w:numPr>
    </w:pPr>
  </w:style>
  <w:style w:type="numbering" w:customStyle="1" w:styleId="WWOutlineListStyle1">
    <w:name w:val="WW_OutlineListStyle_1"/>
    <w:basedOn w:val="Semlista"/>
    <w:pPr>
      <w:numPr>
        <w:numId w:val="5"/>
      </w:numPr>
    </w:pPr>
  </w:style>
  <w:style w:type="numbering" w:customStyle="1" w:styleId="WWOutlineListStyle">
    <w:name w:val="WW_OutlineListStyle"/>
    <w:basedOn w:val="Semlista"/>
    <w:pPr>
      <w:numPr>
        <w:numId w:val="6"/>
      </w:numPr>
    </w:pPr>
  </w:style>
  <w:style w:type="numbering" w:customStyle="1" w:styleId="LFO3">
    <w:name w:val="LFO3"/>
    <w:basedOn w:val="Semlista"/>
    <w:pPr>
      <w:numPr>
        <w:numId w:val="7"/>
      </w:numPr>
    </w:pPr>
  </w:style>
  <w:style w:type="numbering" w:customStyle="1" w:styleId="LFO39">
    <w:name w:val="LFO39"/>
    <w:basedOn w:val="Semlista"/>
    <w:pPr>
      <w:numPr>
        <w:numId w:val="8"/>
      </w:numPr>
    </w:pPr>
  </w:style>
  <w:style w:type="numbering" w:customStyle="1" w:styleId="LFO10">
    <w:name w:val="LFO10"/>
    <w:basedOn w:val="Semlista"/>
    <w:pPr>
      <w:numPr>
        <w:numId w:val="9"/>
      </w:numPr>
    </w:pPr>
  </w:style>
  <w:style w:type="numbering" w:customStyle="1" w:styleId="LFO12">
    <w:name w:val="LFO12"/>
    <w:basedOn w:val="Semlista"/>
    <w:pPr>
      <w:numPr>
        <w:numId w:val="10"/>
      </w:numPr>
    </w:pPr>
  </w:style>
  <w:style w:type="numbering" w:customStyle="1" w:styleId="LFO13">
    <w:name w:val="LFO13"/>
    <w:basedOn w:val="Semlista"/>
    <w:pPr>
      <w:numPr>
        <w:numId w:val="11"/>
      </w:numPr>
    </w:pPr>
  </w:style>
  <w:style w:type="numbering" w:customStyle="1" w:styleId="LFO21">
    <w:name w:val="LFO21"/>
    <w:basedOn w:val="Semlista"/>
    <w:pPr>
      <w:numPr>
        <w:numId w:val="12"/>
      </w:numPr>
    </w:pPr>
  </w:style>
  <w:style w:type="character" w:customStyle="1" w:styleId="normaltextrun">
    <w:name w:val="normaltextrun"/>
    <w:basedOn w:val="Fontepargpadro"/>
    <w:rsid w:val="00F74B37"/>
  </w:style>
  <w:style w:type="character" w:customStyle="1" w:styleId="docspidersearchword">
    <w:name w:val="docspidersearchword"/>
    <w:basedOn w:val="Fontepargpadro"/>
    <w:rsid w:val="00067308"/>
  </w:style>
  <w:style w:type="character" w:customStyle="1" w:styleId="wacimagecontainer">
    <w:name w:val="wacimagecontainer"/>
    <w:basedOn w:val="Fontepargpadro"/>
    <w:rsid w:val="00E467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943175">
      <w:bodyDiv w:val="1"/>
      <w:marLeft w:val="0"/>
      <w:marRight w:val="0"/>
      <w:marTop w:val="0"/>
      <w:marBottom w:val="0"/>
      <w:divBdr>
        <w:top w:val="none" w:sz="0" w:space="0" w:color="auto"/>
        <w:left w:val="none" w:sz="0" w:space="0" w:color="auto"/>
        <w:bottom w:val="none" w:sz="0" w:space="0" w:color="auto"/>
        <w:right w:val="none" w:sz="0" w:space="0" w:color="auto"/>
      </w:divBdr>
    </w:div>
    <w:div w:id="28650461">
      <w:bodyDiv w:val="1"/>
      <w:marLeft w:val="0"/>
      <w:marRight w:val="0"/>
      <w:marTop w:val="0"/>
      <w:marBottom w:val="0"/>
      <w:divBdr>
        <w:top w:val="none" w:sz="0" w:space="0" w:color="auto"/>
        <w:left w:val="none" w:sz="0" w:space="0" w:color="auto"/>
        <w:bottom w:val="none" w:sz="0" w:space="0" w:color="auto"/>
        <w:right w:val="none" w:sz="0" w:space="0" w:color="auto"/>
      </w:divBdr>
    </w:div>
    <w:div w:id="44064239">
      <w:bodyDiv w:val="1"/>
      <w:marLeft w:val="0"/>
      <w:marRight w:val="0"/>
      <w:marTop w:val="0"/>
      <w:marBottom w:val="0"/>
      <w:divBdr>
        <w:top w:val="none" w:sz="0" w:space="0" w:color="auto"/>
        <w:left w:val="none" w:sz="0" w:space="0" w:color="auto"/>
        <w:bottom w:val="none" w:sz="0" w:space="0" w:color="auto"/>
        <w:right w:val="none" w:sz="0" w:space="0" w:color="auto"/>
      </w:divBdr>
    </w:div>
    <w:div w:id="44377427">
      <w:bodyDiv w:val="1"/>
      <w:marLeft w:val="0"/>
      <w:marRight w:val="0"/>
      <w:marTop w:val="0"/>
      <w:marBottom w:val="0"/>
      <w:divBdr>
        <w:top w:val="none" w:sz="0" w:space="0" w:color="auto"/>
        <w:left w:val="none" w:sz="0" w:space="0" w:color="auto"/>
        <w:bottom w:val="none" w:sz="0" w:space="0" w:color="auto"/>
        <w:right w:val="none" w:sz="0" w:space="0" w:color="auto"/>
      </w:divBdr>
    </w:div>
    <w:div w:id="98842864">
      <w:bodyDiv w:val="1"/>
      <w:marLeft w:val="0"/>
      <w:marRight w:val="0"/>
      <w:marTop w:val="0"/>
      <w:marBottom w:val="0"/>
      <w:divBdr>
        <w:top w:val="none" w:sz="0" w:space="0" w:color="auto"/>
        <w:left w:val="none" w:sz="0" w:space="0" w:color="auto"/>
        <w:bottom w:val="none" w:sz="0" w:space="0" w:color="auto"/>
        <w:right w:val="none" w:sz="0" w:space="0" w:color="auto"/>
      </w:divBdr>
    </w:div>
    <w:div w:id="141846677">
      <w:bodyDiv w:val="1"/>
      <w:marLeft w:val="0"/>
      <w:marRight w:val="0"/>
      <w:marTop w:val="0"/>
      <w:marBottom w:val="0"/>
      <w:divBdr>
        <w:top w:val="none" w:sz="0" w:space="0" w:color="auto"/>
        <w:left w:val="none" w:sz="0" w:space="0" w:color="auto"/>
        <w:bottom w:val="none" w:sz="0" w:space="0" w:color="auto"/>
        <w:right w:val="none" w:sz="0" w:space="0" w:color="auto"/>
      </w:divBdr>
    </w:div>
    <w:div w:id="143662459">
      <w:bodyDiv w:val="1"/>
      <w:marLeft w:val="0"/>
      <w:marRight w:val="0"/>
      <w:marTop w:val="0"/>
      <w:marBottom w:val="0"/>
      <w:divBdr>
        <w:top w:val="none" w:sz="0" w:space="0" w:color="auto"/>
        <w:left w:val="none" w:sz="0" w:space="0" w:color="auto"/>
        <w:bottom w:val="none" w:sz="0" w:space="0" w:color="auto"/>
        <w:right w:val="none" w:sz="0" w:space="0" w:color="auto"/>
      </w:divBdr>
    </w:div>
    <w:div w:id="146669779">
      <w:bodyDiv w:val="1"/>
      <w:marLeft w:val="0"/>
      <w:marRight w:val="0"/>
      <w:marTop w:val="0"/>
      <w:marBottom w:val="0"/>
      <w:divBdr>
        <w:top w:val="none" w:sz="0" w:space="0" w:color="auto"/>
        <w:left w:val="none" w:sz="0" w:space="0" w:color="auto"/>
        <w:bottom w:val="none" w:sz="0" w:space="0" w:color="auto"/>
        <w:right w:val="none" w:sz="0" w:space="0" w:color="auto"/>
      </w:divBdr>
    </w:div>
    <w:div w:id="177889688">
      <w:bodyDiv w:val="1"/>
      <w:marLeft w:val="0"/>
      <w:marRight w:val="0"/>
      <w:marTop w:val="0"/>
      <w:marBottom w:val="0"/>
      <w:divBdr>
        <w:top w:val="none" w:sz="0" w:space="0" w:color="auto"/>
        <w:left w:val="none" w:sz="0" w:space="0" w:color="auto"/>
        <w:bottom w:val="none" w:sz="0" w:space="0" w:color="auto"/>
        <w:right w:val="none" w:sz="0" w:space="0" w:color="auto"/>
      </w:divBdr>
    </w:div>
    <w:div w:id="203254410">
      <w:bodyDiv w:val="1"/>
      <w:marLeft w:val="0"/>
      <w:marRight w:val="0"/>
      <w:marTop w:val="0"/>
      <w:marBottom w:val="0"/>
      <w:divBdr>
        <w:top w:val="none" w:sz="0" w:space="0" w:color="auto"/>
        <w:left w:val="none" w:sz="0" w:space="0" w:color="auto"/>
        <w:bottom w:val="none" w:sz="0" w:space="0" w:color="auto"/>
        <w:right w:val="none" w:sz="0" w:space="0" w:color="auto"/>
      </w:divBdr>
    </w:div>
    <w:div w:id="216285186">
      <w:bodyDiv w:val="1"/>
      <w:marLeft w:val="0"/>
      <w:marRight w:val="0"/>
      <w:marTop w:val="0"/>
      <w:marBottom w:val="0"/>
      <w:divBdr>
        <w:top w:val="none" w:sz="0" w:space="0" w:color="auto"/>
        <w:left w:val="none" w:sz="0" w:space="0" w:color="auto"/>
        <w:bottom w:val="none" w:sz="0" w:space="0" w:color="auto"/>
        <w:right w:val="none" w:sz="0" w:space="0" w:color="auto"/>
      </w:divBdr>
    </w:div>
    <w:div w:id="243229602">
      <w:bodyDiv w:val="1"/>
      <w:marLeft w:val="0"/>
      <w:marRight w:val="0"/>
      <w:marTop w:val="0"/>
      <w:marBottom w:val="0"/>
      <w:divBdr>
        <w:top w:val="none" w:sz="0" w:space="0" w:color="auto"/>
        <w:left w:val="none" w:sz="0" w:space="0" w:color="auto"/>
        <w:bottom w:val="none" w:sz="0" w:space="0" w:color="auto"/>
        <w:right w:val="none" w:sz="0" w:space="0" w:color="auto"/>
      </w:divBdr>
    </w:div>
    <w:div w:id="250092794">
      <w:bodyDiv w:val="1"/>
      <w:marLeft w:val="0"/>
      <w:marRight w:val="0"/>
      <w:marTop w:val="0"/>
      <w:marBottom w:val="0"/>
      <w:divBdr>
        <w:top w:val="none" w:sz="0" w:space="0" w:color="auto"/>
        <w:left w:val="none" w:sz="0" w:space="0" w:color="auto"/>
        <w:bottom w:val="none" w:sz="0" w:space="0" w:color="auto"/>
        <w:right w:val="none" w:sz="0" w:space="0" w:color="auto"/>
      </w:divBdr>
    </w:div>
    <w:div w:id="255555535">
      <w:bodyDiv w:val="1"/>
      <w:marLeft w:val="0"/>
      <w:marRight w:val="0"/>
      <w:marTop w:val="0"/>
      <w:marBottom w:val="0"/>
      <w:divBdr>
        <w:top w:val="none" w:sz="0" w:space="0" w:color="auto"/>
        <w:left w:val="none" w:sz="0" w:space="0" w:color="auto"/>
        <w:bottom w:val="none" w:sz="0" w:space="0" w:color="auto"/>
        <w:right w:val="none" w:sz="0" w:space="0" w:color="auto"/>
      </w:divBdr>
    </w:div>
    <w:div w:id="303194460">
      <w:bodyDiv w:val="1"/>
      <w:marLeft w:val="0"/>
      <w:marRight w:val="0"/>
      <w:marTop w:val="0"/>
      <w:marBottom w:val="0"/>
      <w:divBdr>
        <w:top w:val="none" w:sz="0" w:space="0" w:color="auto"/>
        <w:left w:val="none" w:sz="0" w:space="0" w:color="auto"/>
        <w:bottom w:val="none" w:sz="0" w:space="0" w:color="auto"/>
        <w:right w:val="none" w:sz="0" w:space="0" w:color="auto"/>
      </w:divBdr>
    </w:div>
    <w:div w:id="385031872">
      <w:bodyDiv w:val="1"/>
      <w:marLeft w:val="0"/>
      <w:marRight w:val="0"/>
      <w:marTop w:val="0"/>
      <w:marBottom w:val="0"/>
      <w:divBdr>
        <w:top w:val="none" w:sz="0" w:space="0" w:color="auto"/>
        <w:left w:val="none" w:sz="0" w:space="0" w:color="auto"/>
        <w:bottom w:val="none" w:sz="0" w:space="0" w:color="auto"/>
        <w:right w:val="none" w:sz="0" w:space="0" w:color="auto"/>
      </w:divBdr>
    </w:div>
    <w:div w:id="416445462">
      <w:bodyDiv w:val="1"/>
      <w:marLeft w:val="0"/>
      <w:marRight w:val="0"/>
      <w:marTop w:val="0"/>
      <w:marBottom w:val="0"/>
      <w:divBdr>
        <w:top w:val="none" w:sz="0" w:space="0" w:color="auto"/>
        <w:left w:val="none" w:sz="0" w:space="0" w:color="auto"/>
        <w:bottom w:val="none" w:sz="0" w:space="0" w:color="auto"/>
        <w:right w:val="none" w:sz="0" w:space="0" w:color="auto"/>
      </w:divBdr>
    </w:div>
    <w:div w:id="490828272">
      <w:bodyDiv w:val="1"/>
      <w:marLeft w:val="0"/>
      <w:marRight w:val="0"/>
      <w:marTop w:val="0"/>
      <w:marBottom w:val="0"/>
      <w:divBdr>
        <w:top w:val="none" w:sz="0" w:space="0" w:color="auto"/>
        <w:left w:val="none" w:sz="0" w:space="0" w:color="auto"/>
        <w:bottom w:val="none" w:sz="0" w:space="0" w:color="auto"/>
        <w:right w:val="none" w:sz="0" w:space="0" w:color="auto"/>
      </w:divBdr>
    </w:div>
    <w:div w:id="524445445">
      <w:bodyDiv w:val="1"/>
      <w:marLeft w:val="0"/>
      <w:marRight w:val="0"/>
      <w:marTop w:val="0"/>
      <w:marBottom w:val="0"/>
      <w:divBdr>
        <w:top w:val="none" w:sz="0" w:space="0" w:color="auto"/>
        <w:left w:val="none" w:sz="0" w:space="0" w:color="auto"/>
        <w:bottom w:val="none" w:sz="0" w:space="0" w:color="auto"/>
        <w:right w:val="none" w:sz="0" w:space="0" w:color="auto"/>
      </w:divBdr>
    </w:div>
    <w:div w:id="546795573">
      <w:bodyDiv w:val="1"/>
      <w:marLeft w:val="0"/>
      <w:marRight w:val="0"/>
      <w:marTop w:val="0"/>
      <w:marBottom w:val="0"/>
      <w:divBdr>
        <w:top w:val="none" w:sz="0" w:space="0" w:color="auto"/>
        <w:left w:val="none" w:sz="0" w:space="0" w:color="auto"/>
        <w:bottom w:val="none" w:sz="0" w:space="0" w:color="auto"/>
        <w:right w:val="none" w:sz="0" w:space="0" w:color="auto"/>
      </w:divBdr>
    </w:div>
    <w:div w:id="616647187">
      <w:bodyDiv w:val="1"/>
      <w:marLeft w:val="0"/>
      <w:marRight w:val="0"/>
      <w:marTop w:val="0"/>
      <w:marBottom w:val="0"/>
      <w:divBdr>
        <w:top w:val="none" w:sz="0" w:space="0" w:color="auto"/>
        <w:left w:val="none" w:sz="0" w:space="0" w:color="auto"/>
        <w:bottom w:val="none" w:sz="0" w:space="0" w:color="auto"/>
        <w:right w:val="none" w:sz="0" w:space="0" w:color="auto"/>
      </w:divBdr>
    </w:div>
    <w:div w:id="619653263">
      <w:bodyDiv w:val="1"/>
      <w:marLeft w:val="0"/>
      <w:marRight w:val="0"/>
      <w:marTop w:val="0"/>
      <w:marBottom w:val="0"/>
      <w:divBdr>
        <w:top w:val="none" w:sz="0" w:space="0" w:color="auto"/>
        <w:left w:val="none" w:sz="0" w:space="0" w:color="auto"/>
        <w:bottom w:val="none" w:sz="0" w:space="0" w:color="auto"/>
        <w:right w:val="none" w:sz="0" w:space="0" w:color="auto"/>
      </w:divBdr>
    </w:div>
    <w:div w:id="627708912">
      <w:bodyDiv w:val="1"/>
      <w:marLeft w:val="0"/>
      <w:marRight w:val="0"/>
      <w:marTop w:val="0"/>
      <w:marBottom w:val="0"/>
      <w:divBdr>
        <w:top w:val="none" w:sz="0" w:space="0" w:color="auto"/>
        <w:left w:val="none" w:sz="0" w:space="0" w:color="auto"/>
        <w:bottom w:val="none" w:sz="0" w:space="0" w:color="auto"/>
        <w:right w:val="none" w:sz="0" w:space="0" w:color="auto"/>
      </w:divBdr>
    </w:div>
    <w:div w:id="649675039">
      <w:bodyDiv w:val="1"/>
      <w:marLeft w:val="0"/>
      <w:marRight w:val="0"/>
      <w:marTop w:val="0"/>
      <w:marBottom w:val="0"/>
      <w:divBdr>
        <w:top w:val="none" w:sz="0" w:space="0" w:color="auto"/>
        <w:left w:val="none" w:sz="0" w:space="0" w:color="auto"/>
        <w:bottom w:val="none" w:sz="0" w:space="0" w:color="auto"/>
        <w:right w:val="none" w:sz="0" w:space="0" w:color="auto"/>
      </w:divBdr>
    </w:div>
    <w:div w:id="650601576">
      <w:bodyDiv w:val="1"/>
      <w:marLeft w:val="0"/>
      <w:marRight w:val="0"/>
      <w:marTop w:val="0"/>
      <w:marBottom w:val="0"/>
      <w:divBdr>
        <w:top w:val="none" w:sz="0" w:space="0" w:color="auto"/>
        <w:left w:val="none" w:sz="0" w:space="0" w:color="auto"/>
        <w:bottom w:val="none" w:sz="0" w:space="0" w:color="auto"/>
        <w:right w:val="none" w:sz="0" w:space="0" w:color="auto"/>
      </w:divBdr>
    </w:div>
    <w:div w:id="751239636">
      <w:bodyDiv w:val="1"/>
      <w:marLeft w:val="0"/>
      <w:marRight w:val="0"/>
      <w:marTop w:val="0"/>
      <w:marBottom w:val="0"/>
      <w:divBdr>
        <w:top w:val="none" w:sz="0" w:space="0" w:color="auto"/>
        <w:left w:val="none" w:sz="0" w:space="0" w:color="auto"/>
        <w:bottom w:val="none" w:sz="0" w:space="0" w:color="auto"/>
        <w:right w:val="none" w:sz="0" w:space="0" w:color="auto"/>
      </w:divBdr>
    </w:div>
    <w:div w:id="772360530">
      <w:bodyDiv w:val="1"/>
      <w:marLeft w:val="0"/>
      <w:marRight w:val="0"/>
      <w:marTop w:val="0"/>
      <w:marBottom w:val="0"/>
      <w:divBdr>
        <w:top w:val="none" w:sz="0" w:space="0" w:color="auto"/>
        <w:left w:val="none" w:sz="0" w:space="0" w:color="auto"/>
        <w:bottom w:val="none" w:sz="0" w:space="0" w:color="auto"/>
        <w:right w:val="none" w:sz="0" w:space="0" w:color="auto"/>
      </w:divBdr>
    </w:div>
    <w:div w:id="780884237">
      <w:bodyDiv w:val="1"/>
      <w:marLeft w:val="0"/>
      <w:marRight w:val="0"/>
      <w:marTop w:val="0"/>
      <w:marBottom w:val="0"/>
      <w:divBdr>
        <w:top w:val="none" w:sz="0" w:space="0" w:color="auto"/>
        <w:left w:val="none" w:sz="0" w:space="0" w:color="auto"/>
        <w:bottom w:val="none" w:sz="0" w:space="0" w:color="auto"/>
        <w:right w:val="none" w:sz="0" w:space="0" w:color="auto"/>
      </w:divBdr>
    </w:div>
    <w:div w:id="843057570">
      <w:bodyDiv w:val="1"/>
      <w:marLeft w:val="0"/>
      <w:marRight w:val="0"/>
      <w:marTop w:val="0"/>
      <w:marBottom w:val="0"/>
      <w:divBdr>
        <w:top w:val="none" w:sz="0" w:space="0" w:color="auto"/>
        <w:left w:val="none" w:sz="0" w:space="0" w:color="auto"/>
        <w:bottom w:val="none" w:sz="0" w:space="0" w:color="auto"/>
        <w:right w:val="none" w:sz="0" w:space="0" w:color="auto"/>
      </w:divBdr>
    </w:div>
    <w:div w:id="888297882">
      <w:bodyDiv w:val="1"/>
      <w:marLeft w:val="0"/>
      <w:marRight w:val="0"/>
      <w:marTop w:val="0"/>
      <w:marBottom w:val="0"/>
      <w:divBdr>
        <w:top w:val="none" w:sz="0" w:space="0" w:color="auto"/>
        <w:left w:val="none" w:sz="0" w:space="0" w:color="auto"/>
        <w:bottom w:val="none" w:sz="0" w:space="0" w:color="auto"/>
        <w:right w:val="none" w:sz="0" w:space="0" w:color="auto"/>
      </w:divBdr>
    </w:div>
    <w:div w:id="1030835798">
      <w:bodyDiv w:val="1"/>
      <w:marLeft w:val="0"/>
      <w:marRight w:val="0"/>
      <w:marTop w:val="0"/>
      <w:marBottom w:val="0"/>
      <w:divBdr>
        <w:top w:val="none" w:sz="0" w:space="0" w:color="auto"/>
        <w:left w:val="none" w:sz="0" w:space="0" w:color="auto"/>
        <w:bottom w:val="none" w:sz="0" w:space="0" w:color="auto"/>
        <w:right w:val="none" w:sz="0" w:space="0" w:color="auto"/>
      </w:divBdr>
    </w:div>
    <w:div w:id="1071735491">
      <w:bodyDiv w:val="1"/>
      <w:marLeft w:val="0"/>
      <w:marRight w:val="0"/>
      <w:marTop w:val="0"/>
      <w:marBottom w:val="0"/>
      <w:divBdr>
        <w:top w:val="none" w:sz="0" w:space="0" w:color="auto"/>
        <w:left w:val="none" w:sz="0" w:space="0" w:color="auto"/>
        <w:bottom w:val="none" w:sz="0" w:space="0" w:color="auto"/>
        <w:right w:val="none" w:sz="0" w:space="0" w:color="auto"/>
      </w:divBdr>
    </w:div>
    <w:div w:id="1173489972">
      <w:bodyDiv w:val="1"/>
      <w:marLeft w:val="0"/>
      <w:marRight w:val="0"/>
      <w:marTop w:val="0"/>
      <w:marBottom w:val="0"/>
      <w:divBdr>
        <w:top w:val="none" w:sz="0" w:space="0" w:color="auto"/>
        <w:left w:val="none" w:sz="0" w:space="0" w:color="auto"/>
        <w:bottom w:val="none" w:sz="0" w:space="0" w:color="auto"/>
        <w:right w:val="none" w:sz="0" w:space="0" w:color="auto"/>
      </w:divBdr>
    </w:div>
    <w:div w:id="1195079407">
      <w:bodyDiv w:val="1"/>
      <w:marLeft w:val="0"/>
      <w:marRight w:val="0"/>
      <w:marTop w:val="0"/>
      <w:marBottom w:val="0"/>
      <w:divBdr>
        <w:top w:val="none" w:sz="0" w:space="0" w:color="auto"/>
        <w:left w:val="none" w:sz="0" w:space="0" w:color="auto"/>
        <w:bottom w:val="none" w:sz="0" w:space="0" w:color="auto"/>
        <w:right w:val="none" w:sz="0" w:space="0" w:color="auto"/>
      </w:divBdr>
    </w:div>
    <w:div w:id="1198549436">
      <w:bodyDiv w:val="1"/>
      <w:marLeft w:val="0"/>
      <w:marRight w:val="0"/>
      <w:marTop w:val="0"/>
      <w:marBottom w:val="0"/>
      <w:divBdr>
        <w:top w:val="none" w:sz="0" w:space="0" w:color="auto"/>
        <w:left w:val="none" w:sz="0" w:space="0" w:color="auto"/>
        <w:bottom w:val="none" w:sz="0" w:space="0" w:color="auto"/>
        <w:right w:val="none" w:sz="0" w:space="0" w:color="auto"/>
      </w:divBdr>
    </w:div>
    <w:div w:id="1288076131">
      <w:bodyDiv w:val="1"/>
      <w:marLeft w:val="0"/>
      <w:marRight w:val="0"/>
      <w:marTop w:val="0"/>
      <w:marBottom w:val="0"/>
      <w:divBdr>
        <w:top w:val="none" w:sz="0" w:space="0" w:color="auto"/>
        <w:left w:val="none" w:sz="0" w:space="0" w:color="auto"/>
        <w:bottom w:val="none" w:sz="0" w:space="0" w:color="auto"/>
        <w:right w:val="none" w:sz="0" w:space="0" w:color="auto"/>
      </w:divBdr>
    </w:div>
    <w:div w:id="1298300381">
      <w:bodyDiv w:val="1"/>
      <w:marLeft w:val="0"/>
      <w:marRight w:val="0"/>
      <w:marTop w:val="0"/>
      <w:marBottom w:val="0"/>
      <w:divBdr>
        <w:top w:val="none" w:sz="0" w:space="0" w:color="auto"/>
        <w:left w:val="none" w:sz="0" w:space="0" w:color="auto"/>
        <w:bottom w:val="none" w:sz="0" w:space="0" w:color="auto"/>
        <w:right w:val="none" w:sz="0" w:space="0" w:color="auto"/>
      </w:divBdr>
    </w:div>
    <w:div w:id="1333952162">
      <w:bodyDiv w:val="1"/>
      <w:marLeft w:val="0"/>
      <w:marRight w:val="0"/>
      <w:marTop w:val="0"/>
      <w:marBottom w:val="0"/>
      <w:divBdr>
        <w:top w:val="none" w:sz="0" w:space="0" w:color="auto"/>
        <w:left w:val="none" w:sz="0" w:space="0" w:color="auto"/>
        <w:bottom w:val="none" w:sz="0" w:space="0" w:color="auto"/>
        <w:right w:val="none" w:sz="0" w:space="0" w:color="auto"/>
      </w:divBdr>
    </w:div>
    <w:div w:id="1340499823">
      <w:bodyDiv w:val="1"/>
      <w:marLeft w:val="0"/>
      <w:marRight w:val="0"/>
      <w:marTop w:val="0"/>
      <w:marBottom w:val="0"/>
      <w:divBdr>
        <w:top w:val="none" w:sz="0" w:space="0" w:color="auto"/>
        <w:left w:val="none" w:sz="0" w:space="0" w:color="auto"/>
        <w:bottom w:val="none" w:sz="0" w:space="0" w:color="auto"/>
        <w:right w:val="none" w:sz="0" w:space="0" w:color="auto"/>
      </w:divBdr>
    </w:div>
    <w:div w:id="1388065767">
      <w:bodyDiv w:val="1"/>
      <w:marLeft w:val="0"/>
      <w:marRight w:val="0"/>
      <w:marTop w:val="0"/>
      <w:marBottom w:val="0"/>
      <w:divBdr>
        <w:top w:val="none" w:sz="0" w:space="0" w:color="auto"/>
        <w:left w:val="none" w:sz="0" w:space="0" w:color="auto"/>
        <w:bottom w:val="none" w:sz="0" w:space="0" w:color="auto"/>
        <w:right w:val="none" w:sz="0" w:space="0" w:color="auto"/>
      </w:divBdr>
    </w:div>
    <w:div w:id="1389769361">
      <w:bodyDiv w:val="1"/>
      <w:marLeft w:val="0"/>
      <w:marRight w:val="0"/>
      <w:marTop w:val="0"/>
      <w:marBottom w:val="0"/>
      <w:divBdr>
        <w:top w:val="none" w:sz="0" w:space="0" w:color="auto"/>
        <w:left w:val="none" w:sz="0" w:space="0" w:color="auto"/>
        <w:bottom w:val="none" w:sz="0" w:space="0" w:color="auto"/>
        <w:right w:val="none" w:sz="0" w:space="0" w:color="auto"/>
      </w:divBdr>
    </w:div>
    <w:div w:id="1501580174">
      <w:bodyDiv w:val="1"/>
      <w:marLeft w:val="0"/>
      <w:marRight w:val="0"/>
      <w:marTop w:val="0"/>
      <w:marBottom w:val="0"/>
      <w:divBdr>
        <w:top w:val="none" w:sz="0" w:space="0" w:color="auto"/>
        <w:left w:val="none" w:sz="0" w:space="0" w:color="auto"/>
        <w:bottom w:val="none" w:sz="0" w:space="0" w:color="auto"/>
        <w:right w:val="none" w:sz="0" w:space="0" w:color="auto"/>
      </w:divBdr>
    </w:div>
    <w:div w:id="1522552849">
      <w:bodyDiv w:val="1"/>
      <w:marLeft w:val="0"/>
      <w:marRight w:val="0"/>
      <w:marTop w:val="0"/>
      <w:marBottom w:val="0"/>
      <w:divBdr>
        <w:top w:val="none" w:sz="0" w:space="0" w:color="auto"/>
        <w:left w:val="none" w:sz="0" w:space="0" w:color="auto"/>
        <w:bottom w:val="none" w:sz="0" w:space="0" w:color="auto"/>
        <w:right w:val="none" w:sz="0" w:space="0" w:color="auto"/>
      </w:divBdr>
    </w:div>
    <w:div w:id="1565681828">
      <w:bodyDiv w:val="1"/>
      <w:marLeft w:val="0"/>
      <w:marRight w:val="0"/>
      <w:marTop w:val="0"/>
      <w:marBottom w:val="0"/>
      <w:divBdr>
        <w:top w:val="none" w:sz="0" w:space="0" w:color="auto"/>
        <w:left w:val="none" w:sz="0" w:space="0" w:color="auto"/>
        <w:bottom w:val="none" w:sz="0" w:space="0" w:color="auto"/>
        <w:right w:val="none" w:sz="0" w:space="0" w:color="auto"/>
      </w:divBdr>
    </w:div>
    <w:div w:id="1588347385">
      <w:bodyDiv w:val="1"/>
      <w:marLeft w:val="0"/>
      <w:marRight w:val="0"/>
      <w:marTop w:val="0"/>
      <w:marBottom w:val="0"/>
      <w:divBdr>
        <w:top w:val="none" w:sz="0" w:space="0" w:color="auto"/>
        <w:left w:val="none" w:sz="0" w:space="0" w:color="auto"/>
        <w:bottom w:val="none" w:sz="0" w:space="0" w:color="auto"/>
        <w:right w:val="none" w:sz="0" w:space="0" w:color="auto"/>
      </w:divBdr>
    </w:div>
    <w:div w:id="1654875313">
      <w:bodyDiv w:val="1"/>
      <w:marLeft w:val="0"/>
      <w:marRight w:val="0"/>
      <w:marTop w:val="0"/>
      <w:marBottom w:val="0"/>
      <w:divBdr>
        <w:top w:val="none" w:sz="0" w:space="0" w:color="auto"/>
        <w:left w:val="none" w:sz="0" w:space="0" w:color="auto"/>
        <w:bottom w:val="none" w:sz="0" w:space="0" w:color="auto"/>
        <w:right w:val="none" w:sz="0" w:space="0" w:color="auto"/>
      </w:divBdr>
    </w:div>
    <w:div w:id="1661616297">
      <w:bodyDiv w:val="1"/>
      <w:marLeft w:val="0"/>
      <w:marRight w:val="0"/>
      <w:marTop w:val="0"/>
      <w:marBottom w:val="0"/>
      <w:divBdr>
        <w:top w:val="none" w:sz="0" w:space="0" w:color="auto"/>
        <w:left w:val="none" w:sz="0" w:space="0" w:color="auto"/>
        <w:bottom w:val="none" w:sz="0" w:space="0" w:color="auto"/>
        <w:right w:val="none" w:sz="0" w:space="0" w:color="auto"/>
      </w:divBdr>
    </w:div>
    <w:div w:id="1808158252">
      <w:bodyDiv w:val="1"/>
      <w:marLeft w:val="0"/>
      <w:marRight w:val="0"/>
      <w:marTop w:val="0"/>
      <w:marBottom w:val="0"/>
      <w:divBdr>
        <w:top w:val="none" w:sz="0" w:space="0" w:color="auto"/>
        <w:left w:val="none" w:sz="0" w:space="0" w:color="auto"/>
        <w:bottom w:val="none" w:sz="0" w:space="0" w:color="auto"/>
        <w:right w:val="none" w:sz="0" w:space="0" w:color="auto"/>
      </w:divBdr>
    </w:div>
    <w:div w:id="1819610950">
      <w:bodyDiv w:val="1"/>
      <w:marLeft w:val="0"/>
      <w:marRight w:val="0"/>
      <w:marTop w:val="0"/>
      <w:marBottom w:val="0"/>
      <w:divBdr>
        <w:top w:val="none" w:sz="0" w:space="0" w:color="auto"/>
        <w:left w:val="none" w:sz="0" w:space="0" w:color="auto"/>
        <w:bottom w:val="none" w:sz="0" w:space="0" w:color="auto"/>
        <w:right w:val="none" w:sz="0" w:space="0" w:color="auto"/>
      </w:divBdr>
    </w:div>
    <w:div w:id="1835562304">
      <w:bodyDiv w:val="1"/>
      <w:marLeft w:val="0"/>
      <w:marRight w:val="0"/>
      <w:marTop w:val="0"/>
      <w:marBottom w:val="0"/>
      <w:divBdr>
        <w:top w:val="none" w:sz="0" w:space="0" w:color="auto"/>
        <w:left w:val="none" w:sz="0" w:space="0" w:color="auto"/>
        <w:bottom w:val="none" w:sz="0" w:space="0" w:color="auto"/>
        <w:right w:val="none" w:sz="0" w:space="0" w:color="auto"/>
      </w:divBdr>
    </w:div>
    <w:div w:id="1904296653">
      <w:bodyDiv w:val="1"/>
      <w:marLeft w:val="0"/>
      <w:marRight w:val="0"/>
      <w:marTop w:val="0"/>
      <w:marBottom w:val="0"/>
      <w:divBdr>
        <w:top w:val="none" w:sz="0" w:space="0" w:color="auto"/>
        <w:left w:val="none" w:sz="0" w:space="0" w:color="auto"/>
        <w:bottom w:val="none" w:sz="0" w:space="0" w:color="auto"/>
        <w:right w:val="none" w:sz="0" w:space="0" w:color="auto"/>
      </w:divBdr>
    </w:div>
    <w:div w:id="2050566950">
      <w:bodyDiv w:val="1"/>
      <w:marLeft w:val="0"/>
      <w:marRight w:val="0"/>
      <w:marTop w:val="0"/>
      <w:marBottom w:val="0"/>
      <w:divBdr>
        <w:top w:val="none" w:sz="0" w:space="0" w:color="auto"/>
        <w:left w:val="none" w:sz="0" w:space="0" w:color="auto"/>
        <w:bottom w:val="none" w:sz="0" w:space="0" w:color="auto"/>
        <w:right w:val="none" w:sz="0" w:space="0" w:color="auto"/>
      </w:divBdr>
    </w:div>
    <w:div w:id="2059355898">
      <w:bodyDiv w:val="1"/>
      <w:marLeft w:val="0"/>
      <w:marRight w:val="0"/>
      <w:marTop w:val="0"/>
      <w:marBottom w:val="0"/>
      <w:divBdr>
        <w:top w:val="none" w:sz="0" w:space="0" w:color="auto"/>
        <w:left w:val="none" w:sz="0" w:space="0" w:color="auto"/>
        <w:bottom w:val="none" w:sz="0" w:space="0" w:color="auto"/>
        <w:right w:val="none" w:sz="0" w:space="0" w:color="auto"/>
      </w:divBdr>
    </w:div>
    <w:div w:id="20782425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8.svg"/><Relationship Id="rId21" Type="http://schemas.openxmlformats.org/officeDocument/2006/relationships/hyperlink" Target="http://www.finep.gov.br/images/chamadas-publicas/2023/etapa-MI_2023-4a_Edicao.pdf" TargetMode="External"/><Relationship Id="rId63" Type="http://schemas.openxmlformats.org/officeDocument/2006/relationships/hyperlink" Target="http://www.finep.gov.br/chamadas-publicas" TargetMode="External"/><Relationship Id="rId159" Type="http://schemas.openxmlformats.org/officeDocument/2006/relationships/hyperlink" Target="http://www.finep.gov.br/apoio-e-financiamento-externa/programas-e-linhas/tecnova" TargetMode="External"/><Relationship Id="rId170" Type="http://schemas.openxmlformats.org/officeDocument/2006/relationships/image" Target="media/image57.png"/><Relationship Id="rId226" Type="http://schemas.openxmlformats.org/officeDocument/2006/relationships/image" Target="media/image81.png"/><Relationship Id="rId268" Type="http://schemas.openxmlformats.org/officeDocument/2006/relationships/chart" Target="charts/chart14.xml"/><Relationship Id="rId32" Type="http://schemas.openxmlformats.org/officeDocument/2006/relationships/hyperlink" Target="https://portal.tcu.gov.br/contas/" TargetMode="External"/><Relationship Id="rId74" Type="http://schemas.openxmlformats.org/officeDocument/2006/relationships/hyperlink" Target="https://planejamentoestrategico.mcti.gov.br/arquivos/mapa_oficial.pdf" TargetMode="External"/><Relationship Id="rId128" Type="http://schemas.openxmlformats.org/officeDocument/2006/relationships/image" Target="media/image29.png"/><Relationship Id="rId5" Type="http://schemas.openxmlformats.org/officeDocument/2006/relationships/numbering" Target="numbering.xml"/><Relationship Id="rId181" Type="http://schemas.openxmlformats.org/officeDocument/2006/relationships/hyperlink" Target="http://www.finep.gov.br/images/chamadas-publicas/2023/21_06_2023_Edital_4a_Edicao_do_Programa_Mulheres_Inovadoras.pdf" TargetMode="External"/><Relationship Id="rId237" Type="http://schemas.openxmlformats.org/officeDocument/2006/relationships/hyperlink" Target="http://www.finep.gov.br/aviso-de-privacidade-lei-geral-de-protecao-de-dados-lgpd" TargetMode="External"/><Relationship Id="rId258" Type="http://schemas.openxmlformats.org/officeDocument/2006/relationships/hyperlink" Target="http://www.finep.gov.br/images/a-finep/Politica/16_11_2021_POSIN_-_Politica_de_Seguranca_da_Informacao.pdf" TargetMode="External"/><Relationship Id="rId279" Type="http://schemas.openxmlformats.org/officeDocument/2006/relationships/theme" Target="theme/theme1.xml"/><Relationship Id="rId22" Type="http://schemas.openxmlformats.org/officeDocument/2006/relationships/hyperlink" Target="https://lnls.cnpem.br/sirius/" TargetMode="External"/><Relationship Id="rId43" Type="http://schemas.openxmlformats.org/officeDocument/2006/relationships/image" Target="media/image8.png"/><Relationship Id="rId64" Type="http://schemas.openxmlformats.org/officeDocument/2006/relationships/hyperlink" Target="http://www.finep.gov.br/apoio-e-financiamento-externa/o-que-apoiamos" TargetMode="External"/><Relationship Id="rId118" Type="http://schemas.openxmlformats.org/officeDocument/2006/relationships/image" Target="media/image19.png"/><Relationship Id="rId139" Type="http://schemas.openxmlformats.org/officeDocument/2006/relationships/image" Target="media/image40.png"/><Relationship Id="rId85" Type="http://schemas.openxmlformats.org/officeDocument/2006/relationships/hyperlink" Target="https://www.planalto.gov.br/ccivil_03/_ato2007-2010/2007/lei/l11540.htm" TargetMode="External"/><Relationship Id="rId150" Type="http://schemas.openxmlformats.org/officeDocument/2006/relationships/image" Target="media/image44.png"/><Relationship Id="rId171" Type="http://schemas.openxmlformats.org/officeDocument/2006/relationships/image" Target="media/image58.svg"/><Relationship Id="rId192" Type="http://schemas.openxmlformats.org/officeDocument/2006/relationships/image" Target="media/image71.emf"/><Relationship Id="rId206" Type="http://schemas.openxmlformats.org/officeDocument/2006/relationships/hyperlink" Target="http://www.finep.gov.br/a-finep-externo/governanca/politicas" TargetMode="External"/><Relationship Id="rId227" Type="http://schemas.openxmlformats.org/officeDocument/2006/relationships/image" Target="media/image82.png"/><Relationship Id="rId248" Type="http://schemas.openxmlformats.org/officeDocument/2006/relationships/hyperlink" Target="http://www.finep.gov.br/a-finep-externo/governanca/politicas" TargetMode="External"/><Relationship Id="rId269" Type="http://schemas.openxmlformats.org/officeDocument/2006/relationships/chart" Target="charts/chart15.xml"/><Relationship Id="rId12" Type="http://schemas.openxmlformats.org/officeDocument/2006/relationships/footer" Target="footer1.xml"/><Relationship Id="rId33" Type="http://schemas.openxmlformats.org/officeDocument/2006/relationships/hyperlink" Target="https://integratedreporting.ifrs.org/wp-content/uploads/2015/03/13-12-08-THE-INTERNATIONAL-IR-FRAMEWORK-Portugese-final-1.pdf" TargetMode="External"/><Relationship Id="rId108" Type="http://schemas.openxmlformats.org/officeDocument/2006/relationships/hyperlink" Target="https://meitools.com.br/casos-de-sucesso/" TargetMode="External"/><Relationship Id="rId129" Type="http://schemas.openxmlformats.org/officeDocument/2006/relationships/image" Target="media/image30.svg"/><Relationship Id="rId54" Type="http://schemas.openxmlformats.org/officeDocument/2006/relationships/hyperlink" Target="http://www.finep.gov.br/a-finep-externo/fontes-de-recurso/outras-fontes/o-que-e-funttel" TargetMode="External"/><Relationship Id="rId75" Type="http://schemas.openxmlformats.org/officeDocument/2006/relationships/hyperlink" Target="https://antigo.mctic.gov.br/mctic/opencms/legislacao/portarias/Portaria_MCTI_n_6998_de_10052023.html" TargetMode="External"/><Relationship Id="rId96" Type="http://schemas.openxmlformats.org/officeDocument/2006/relationships/hyperlink" Target="http://www.finep.gov.br/apoio-e-financiamento-externa/programas-e-linhas/finep-mais-inovacao" TargetMode="External"/><Relationship Id="rId140" Type="http://schemas.openxmlformats.org/officeDocument/2006/relationships/image" Target="media/image41.svg"/><Relationship Id="rId161" Type="http://schemas.openxmlformats.org/officeDocument/2006/relationships/hyperlink" Target="http://www.finep.gov.br/apoio-e-financiamento-externa/programas-e-linhas/centelha" TargetMode="External"/><Relationship Id="rId182" Type="http://schemas.openxmlformats.org/officeDocument/2006/relationships/hyperlink" Target="http://www.finep.gov.br/images/chamadas-publicas/2023/etapa-MI_2023-4a_Edicao.pdf" TargetMode="External"/><Relationship Id="rId217" Type="http://schemas.openxmlformats.org/officeDocument/2006/relationships/hyperlink" Target="http://www.finep.gov.br/auditoria" TargetMode="External"/><Relationship Id="rId6" Type="http://schemas.openxmlformats.org/officeDocument/2006/relationships/styles" Target="styles.xml"/><Relationship Id="rId238" Type="http://schemas.openxmlformats.org/officeDocument/2006/relationships/hyperlink" Target="http://www.finep.gov.br/images/contratos-Adm/2021/13_12_2021_Aviso_de_Privacidade_v01.pdf" TargetMode="External"/><Relationship Id="rId259" Type="http://schemas.openxmlformats.org/officeDocument/2006/relationships/image" Target="media/image89.emf"/><Relationship Id="rId23" Type="http://schemas.openxmlformats.org/officeDocument/2006/relationships/hyperlink" Target="https://cnpem.br/orion/" TargetMode="External"/><Relationship Id="rId119" Type="http://schemas.openxmlformats.org/officeDocument/2006/relationships/image" Target="media/image20.svg"/><Relationship Id="rId270" Type="http://schemas.openxmlformats.org/officeDocument/2006/relationships/chart" Target="charts/chart16.xml"/><Relationship Id="rId44" Type="http://schemas.openxmlformats.org/officeDocument/2006/relationships/hyperlink" Target="http://www.finep.gov.br/a-finep-externo/governanca/governanca" TargetMode="External"/><Relationship Id="rId65" Type="http://schemas.openxmlformats.org/officeDocument/2006/relationships/hyperlink" Target="http://www.finep.gov.br/images/a-finep/Condicoes_Operacionais/CondicoesOperacionais.pdf" TargetMode="External"/><Relationship Id="rId86" Type="http://schemas.openxmlformats.org/officeDocument/2006/relationships/hyperlink" Target="https://www.planalto.gov.br/ccivil_03/leis/lcp/lcp177.htm" TargetMode="External"/><Relationship Id="rId130" Type="http://schemas.openxmlformats.org/officeDocument/2006/relationships/image" Target="media/image31.png"/><Relationship Id="rId151" Type="http://schemas.openxmlformats.org/officeDocument/2006/relationships/image" Target="media/image45.svg"/><Relationship Id="rId172" Type="http://schemas.openxmlformats.org/officeDocument/2006/relationships/hyperlink" Target="http://www.finep.gov.br/apoio-e-financiamento-externa/programas-e-linhas/finep-startup" TargetMode="External"/><Relationship Id="rId193" Type="http://schemas.openxmlformats.org/officeDocument/2006/relationships/hyperlink" Target="http://www.finep.gov.br/acesso-informacao/116-transparencia/balanco-finep/6580-balanco-finep-2023" TargetMode="External"/><Relationship Id="rId207" Type="http://schemas.openxmlformats.org/officeDocument/2006/relationships/hyperlink" Target="http://www.finep.gov.br/a-finep-externo/governanca/politicas" TargetMode="External"/><Relationship Id="rId228" Type="http://schemas.openxmlformats.org/officeDocument/2006/relationships/hyperlink" Target="https://www.youtube.com/user/FINEPcomunica" TargetMode="External"/><Relationship Id="rId249" Type="http://schemas.openxmlformats.org/officeDocument/2006/relationships/hyperlink" Target="http://www.finep.gov.br/images/a-finep/codigo-de-etica-e-conduta/30_04_2019_CodigoEticaCondutaIntegridade_da_Finep.pdf" TargetMode="External"/><Relationship Id="rId13" Type="http://schemas.openxmlformats.org/officeDocument/2006/relationships/image" Target="media/image1.png"/><Relationship Id="rId109" Type="http://schemas.openxmlformats.org/officeDocument/2006/relationships/hyperlink" Target="http://www.finep.gov.br/transparencia-finep/projetos-contratados-e-valores-liberados" TargetMode="External"/><Relationship Id="rId260" Type="http://schemas.openxmlformats.org/officeDocument/2006/relationships/hyperlink" Target="http://www.finep.gov.br/menulicitcontr" TargetMode="External"/><Relationship Id="rId34" Type="http://schemas.openxmlformats.org/officeDocument/2006/relationships/hyperlink" Target="https://www.globalreporting.org/how-to-use-the-gri-standards/gri-standards-portuguese-translations/" TargetMode="External"/><Relationship Id="rId55" Type="http://schemas.openxmlformats.org/officeDocument/2006/relationships/hyperlink" Target="http://www.finep.gov.br/apoio-e-financiamento-externa/o-que-apoiamos" TargetMode="External"/><Relationship Id="rId76" Type="http://schemas.openxmlformats.org/officeDocument/2006/relationships/hyperlink" Target="http://www.finep.gov.br/a-finep-externo/fndct/governanca-e-planejamento" TargetMode="External"/><Relationship Id="rId97" Type="http://schemas.openxmlformats.org/officeDocument/2006/relationships/hyperlink" Target="http://www.finep.gov.br/a-finep-externo/5-cncti" TargetMode="External"/><Relationship Id="rId120" Type="http://schemas.openxmlformats.org/officeDocument/2006/relationships/image" Target="media/image21.png"/><Relationship Id="rId141" Type="http://schemas.openxmlformats.org/officeDocument/2006/relationships/chart" Target="charts/chart6.xml"/><Relationship Id="rId7" Type="http://schemas.openxmlformats.org/officeDocument/2006/relationships/settings" Target="settings.xml"/><Relationship Id="rId162" Type="http://schemas.openxmlformats.org/officeDocument/2006/relationships/hyperlink" Target="https://programacentelha.com.br/" TargetMode="External"/><Relationship Id="rId183" Type="http://schemas.openxmlformats.org/officeDocument/2006/relationships/hyperlink" Target="http://www.finep.gov.br/apoio-e-financiamento-externa/programas-e-linhas/programa-espaco-finep" TargetMode="External"/><Relationship Id="rId218" Type="http://schemas.openxmlformats.org/officeDocument/2006/relationships/chart" Target="charts/chart8.xml"/><Relationship Id="rId239" Type="http://schemas.openxmlformats.org/officeDocument/2006/relationships/hyperlink" Target="http://www.finep.gov.br/aviso-de-privacidade-lei-geral-de-protecao-de-dados-lgpd" TargetMode="External"/><Relationship Id="rId250" Type="http://schemas.openxmlformats.org/officeDocument/2006/relationships/hyperlink" Target="http://finep.gov.br/a-finep-externo/ouvidoria" TargetMode="External"/><Relationship Id="rId271" Type="http://schemas.openxmlformats.org/officeDocument/2006/relationships/chart" Target="charts/chart17.xml"/><Relationship Id="rId24" Type="http://schemas.openxmlformats.org/officeDocument/2006/relationships/chart" Target="charts/chart1.xml"/><Relationship Id="rId45" Type="http://schemas.openxmlformats.org/officeDocument/2006/relationships/image" Target="media/image9.jpeg"/><Relationship Id="rId66" Type="http://schemas.openxmlformats.org/officeDocument/2006/relationships/image" Target="media/image10.png"/><Relationship Id="rId87" Type="http://schemas.openxmlformats.org/officeDocument/2006/relationships/hyperlink" Target="https://www.planalto.gov.br/ccivil_03/_Ato2023-2026/2023/Lei/L14554.htm" TargetMode="External"/><Relationship Id="rId110" Type="http://schemas.openxmlformats.org/officeDocument/2006/relationships/hyperlink" Target="http://www.finep.gov.br/chamadas-publicas" TargetMode="External"/><Relationship Id="rId131" Type="http://schemas.openxmlformats.org/officeDocument/2006/relationships/image" Target="media/image32.svg"/><Relationship Id="rId152" Type="http://schemas.openxmlformats.org/officeDocument/2006/relationships/image" Target="media/image46.png"/><Relationship Id="rId173" Type="http://schemas.openxmlformats.org/officeDocument/2006/relationships/hyperlink" Target="http://www.finep.gov.br/images/apoio-e-financiamento/programas-e-linhas/Finep_Startup/02_01_2024_Regulamento_do_Programa_Finep_Startup.pdf" TargetMode="External"/><Relationship Id="rId194" Type="http://schemas.openxmlformats.org/officeDocument/2006/relationships/hyperlink" Target="http://www.finep.gov.br/transparencia-finep/relatorios-do-fndct/relatorio-da-administracao" TargetMode="External"/><Relationship Id="rId208" Type="http://schemas.openxmlformats.org/officeDocument/2006/relationships/hyperlink" Target="http://www.finep.gov.br/a-finep-externo/governanca/politicas" TargetMode="External"/><Relationship Id="rId229" Type="http://schemas.openxmlformats.org/officeDocument/2006/relationships/hyperlink" Target="http://www.finep.gov.br/images/noticias/2024/23_03_2024_Relatorio_FInal_Neoindustrializacao.pdf" TargetMode="External"/><Relationship Id="rId240" Type="http://schemas.openxmlformats.org/officeDocument/2006/relationships/hyperlink" Target="http://www.finep.gov.br/images/contratos-Adm/2021/13_12_2021_Aviso_de_Privacidade_v01.pdf" TargetMode="External"/><Relationship Id="rId261" Type="http://schemas.openxmlformats.org/officeDocument/2006/relationships/hyperlink" Target="http://www.finep.gov.br/menulicitcontr" TargetMode="External"/><Relationship Id="rId14" Type="http://schemas.openxmlformats.org/officeDocument/2006/relationships/header" Target="header2.xml"/><Relationship Id="rId35" Type="http://schemas.openxmlformats.org/officeDocument/2006/relationships/image" Target="media/image6.emf"/><Relationship Id="rId56" Type="http://schemas.openxmlformats.org/officeDocument/2006/relationships/hyperlink" Target="http://www.finep.gov.br/a-finep-externo/fndct/fndct" TargetMode="External"/><Relationship Id="rId77" Type="http://schemas.openxmlformats.org/officeDocument/2006/relationships/hyperlink" Target="https://www.gov.br/mcti/pt-br/acompanhe-o-mcti/fndct/arquivos/pdf/conselho-diretor/resolucoes/2023ResoluoAprov.doPAINoReemb..pdf" TargetMode="External"/><Relationship Id="rId100" Type="http://schemas.openxmlformats.org/officeDocument/2006/relationships/image" Target="media/image13.jpeg"/><Relationship Id="rId8" Type="http://schemas.openxmlformats.org/officeDocument/2006/relationships/webSettings" Target="webSettings.xml"/><Relationship Id="rId98" Type="http://schemas.openxmlformats.org/officeDocument/2006/relationships/hyperlink" Target="http://www.finep.gov.br/images/noticias/2024/23_03_2024_Relatorio_FInal_Neoindustrializacao.pdf" TargetMode="External"/><Relationship Id="rId121" Type="http://schemas.openxmlformats.org/officeDocument/2006/relationships/image" Target="media/image22.svg"/><Relationship Id="rId142" Type="http://schemas.openxmlformats.org/officeDocument/2006/relationships/image" Target="media/image42.png"/><Relationship Id="rId163" Type="http://schemas.openxmlformats.org/officeDocument/2006/relationships/hyperlink" Target="http://www.finep.gov.br/apoio-e-financiamento-externa/programas-e-linhas/centelha" TargetMode="External"/><Relationship Id="rId184" Type="http://schemas.openxmlformats.org/officeDocument/2006/relationships/image" Target="media/image65.png"/><Relationship Id="rId219" Type="http://schemas.openxmlformats.org/officeDocument/2006/relationships/hyperlink" Target="http://www.finep.gov.br/servidores" TargetMode="External"/><Relationship Id="rId230" Type="http://schemas.openxmlformats.org/officeDocument/2006/relationships/image" Target="media/image83.png"/><Relationship Id="rId251" Type="http://schemas.openxmlformats.org/officeDocument/2006/relationships/image" Target="media/image85.png"/><Relationship Id="rId25" Type="http://schemas.openxmlformats.org/officeDocument/2006/relationships/chart" Target="charts/chart2.xml"/><Relationship Id="rId46" Type="http://schemas.openxmlformats.org/officeDocument/2006/relationships/hyperlink" Target="http://www.finep.gov.br/transparencia-finep/relatorios-do-fndct/relatorio-da-administracao" TargetMode="External"/><Relationship Id="rId67" Type="http://schemas.openxmlformats.org/officeDocument/2006/relationships/hyperlink" Target="http://www.finep.gov.br/a-finep-externo/cadeia-de-valor" TargetMode="External"/><Relationship Id="rId272" Type="http://schemas.openxmlformats.org/officeDocument/2006/relationships/chart" Target="charts/chart18.xml"/><Relationship Id="rId88" Type="http://schemas.openxmlformats.org/officeDocument/2006/relationships/hyperlink" Target="http://www.finep.gov.br/images/a-finep/Condicoes_Operacionais/CondicoesOperacionais.pdf" TargetMode="External"/><Relationship Id="rId111" Type="http://schemas.openxmlformats.org/officeDocument/2006/relationships/hyperlink" Target="http://www.finep.gov.br/transparencia-finep/projetos-contratados-e-valores-liberados" TargetMode="External"/><Relationship Id="rId132" Type="http://schemas.openxmlformats.org/officeDocument/2006/relationships/image" Target="media/image33.png"/><Relationship Id="rId153" Type="http://schemas.openxmlformats.org/officeDocument/2006/relationships/image" Target="media/image47.svg"/><Relationship Id="rId174" Type="http://schemas.openxmlformats.org/officeDocument/2006/relationships/image" Target="media/image59.png"/><Relationship Id="rId195" Type="http://schemas.openxmlformats.org/officeDocument/2006/relationships/image" Target="media/image72.png"/><Relationship Id="rId209" Type="http://schemas.openxmlformats.org/officeDocument/2006/relationships/hyperlink" Target="http://www.finep.gov.br/a-finep-externo/programa-de-integridade/o-programa-de-integridade" TargetMode="External"/><Relationship Id="rId220" Type="http://schemas.openxmlformats.org/officeDocument/2006/relationships/hyperlink" Target="http://www.finep.gov.br/servidores" TargetMode="External"/><Relationship Id="rId241" Type="http://schemas.openxmlformats.org/officeDocument/2006/relationships/hyperlink" Target="http://www.finep.gov.br/fale-conosco" TargetMode="External"/><Relationship Id="rId15" Type="http://schemas.openxmlformats.org/officeDocument/2006/relationships/footer" Target="footer2.xml"/><Relationship Id="rId36" Type="http://schemas.openxmlformats.org/officeDocument/2006/relationships/image" Target="media/image7.png"/><Relationship Id="rId57" Type="http://schemas.openxmlformats.org/officeDocument/2006/relationships/hyperlink" Target="http://www.finep.gov.br/a-finep-externo/fontes-de-recurso/outras-fontes/o-que-e-funttel" TargetMode="External"/><Relationship Id="rId262" Type="http://schemas.openxmlformats.org/officeDocument/2006/relationships/image" Target="media/image90.png"/><Relationship Id="rId78" Type="http://schemas.openxmlformats.org/officeDocument/2006/relationships/hyperlink" Target="https://www.in.gov.br/web/dou/-/resolucao-cndi/mdic-n-1-de-6-de-julho-de-2023-*-497534395" TargetMode="External"/><Relationship Id="rId99" Type="http://schemas.openxmlformats.org/officeDocument/2006/relationships/hyperlink" Target="http://www.finep.gov.br/transparencia-finep/objetivos-metas-e-resultados" TargetMode="External"/><Relationship Id="rId101" Type="http://schemas.openxmlformats.org/officeDocument/2006/relationships/image" Target="media/image14.png"/><Relationship Id="rId122" Type="http://schemas.openxmlformats.org/officeDocument/2006/relationships/image" Target="media/image23.png"/><Relationship Id="rId143" Type="http://schemas.openxmlformats.org/officeDocument/2006/relationships/chart" Target="charts/chart7.xml"/><Relationship Id="rId164" Type="http://schemas.openxmlformats.org/officeDocument/2006/relationships/hyperlink" Target="https://programacentelha.com.br/" TargetMode="External"/><Relationship Id="rId185" Type="http://schemas.openxmlformats.org/officeDocument/2006/relationships/image" Target="media/image66.svg"/><Relationship Id="rId9" Type="http://schemas.openxmlformats.org/officeDocument/2006/relationships/footnotes" Target="footnotes.xml"/><Relationship Id="rId210" Type="http://schemas.openxmlformats.org/officeDocument/2006/relationships/hyperlink" Target="http://www.finep.gov.br/a-finep-externo/codigo-de-etica-e-de-conduta-da-finep" TargetMode="External"/><Relationship Id="rId26" Type="http://schemas.openxmlformats.org/officeDocument/2006/relationships/chart" Target="charts/chart3.xml"/><Relationship Id="rId231" Type="http://schemas.openxmlformats.org/officeDocument/2006/relationships/hyperlink" Target="https://falabr.cgu.gov.br/" TargetMode="External"/><Relationship Id="rId252" Type="http://schemas.openxmlformats.org/officeDocument/2006/relationships/image" Target="media/image86.png"/><Relationship Id="rId273" Type="http://schemas.openxmlformats.org/officeDocument/2006/relationships/chart" Target="charts/chart19.xml"/><Relationship Id="rId47" Type="http://schemas.openxmlformats.org/officeDocument/2006/relationships/hyperlink" Target="http://www.finep.gov.br/images/acesso-a-informacao/Tranparencia_P_Contas/2023/23_01_2023_CARTLHA_ELPPN_2023.pdf" TargetMode="External"/><Relationship Id="rId68" Type="http://schemas.openxmlformats.org/officeDocument/2006/relationships/hyperlink" Target="http://www.finep.gov.br/a-finep-externo/cadeia-de-valor" TargetMode="External"/><Relationship Id="rId89" Type="http://schemas.openxmlformats.org/officeDocument/2006/relationships/hyperlink" Target="http://www.finep.gov.br/images/a-finep/Condicoes_Operacionais/CondicoesOperacionais.pdf" TargetMode="External"/><Relationship Id="rId112" Type="http://schemas.openxmlformats.org/officeDocument/2006/relationships/hyperlink" Target="http://www.finep.gov.br/chamadas-publicas" TargetMode="External"/><Relationship Id="rId133" Type="http://schemas.openxmlformats.org/officeDocument/2006/relationships/image" Target="media/image34.svg"/><Relationship Id="rId154" Type="http://schemas.openxmlformats.org/officeDocument/2006/relationships/image" Target="media/image48.png"/><Relationship Id="rId175" Type="http://schemas.openxmlformats.org/officeDocument/2006/relationships/image" Target="media/image60.svg"/><Relationship Id="rId196" Type="http://schemas.openxmlformats.org/officeDocument/2006/relationships/hyperlink" Target="http://www.finep.gov.br/a-finep-externo/organograma" TargetMode="External"/><Relationship Id="rId200" Type="http://schemas.openxmlformats.org/officeDocument/2006/relationships/hyperlink" Target="http://download.finep.gov.br/quadroCargosFuncoesComissionadas.pdf" TargetMode="External"/><Relationship Id="rId16" Type="http://schemas.openxmlformats.org/officeDocument/2006/relationships/header" Target="header3.xml"/><Relationship Id="rId221" Type="http://schemas.openxmlformats.org/officeDocument/2006/relationships/image" Target="media/image77.png"/><Relationship Id="rId242" Type="http://schemas.openxmlformats.org/officeDocument/2006/relationships/hyperlink" Target="https://www.google.com/url?q=https://www.openstartups.net/site/ranking/index.html&amp;sa=D&amp;source=docs&amp;ust=1711504928597743&amp;usg=AOvVaw1Sps5rCrn8nAyMLMydHtdR" TargetMode="External"/><Relationship Id="rId263" Type="http://schemas.openxmlformats.org/officeDocument/2006/relationships/image" Target="media/image91.png"/><Relationship Id="rId37" Type="http://schemas.openxmlformats.org/officeDocument/2006/relationships/hyperlink" Target="https://impactmanagementplatform.org/wp-content/uploads/2021/11/Impact-Management-Platform-2-pager-simplified-Nov-2021-final.pdf" TargetMode="External"/><Relationship Id="rId58" Type="http://schemas.openxmlformats.org/officeDocument/2006/relationships/hyperlink" Target="http://www.finep.gov.br/apoio-e-financiamento-externa/o-que-apoiamos" TargetMode="External"/><Relationship Id="rId79" Type="http://schemas.openxmlformats.org/officeDocument/2006/relationships/hyperlink" Target="https://green-coalition.com/pt/coalizao-verde/" TargetMode="External"/><Relationship Id="rId102" Type="http://schemas.openxmlformats.org/officeDocument/2006/relationships/hyperlink" Target="http://www.finep.gov.br/a-finep-externo/governanca/conselho-de-administracao-ca/conselho-de-administracao" TargetMode="External"/><Relationship Id="rId123" Type="http://schemas.openxmlformats.org/officeDocument/2006/relationships/image" Target="media/image24.svg"/><Relationship Id="rId144" Type="http://schemas.openxmlformats.org/officeDocument/2006/relationships/hyperlink" Target="http://www.finep.gov.br/apoio-e-financiamento-externa/programas-e-linhas/finep-mais-inovacao" TargetMode="External"/><Relationship Id="rId90" Type="http://schemas.openxmlformats.org/officeDocument/2006/relationships/hyperlink" Target="https://abde.org.br/sistema-nacional-de-fomento/" TargetMode="External"/><Relationship Id="rId165" Type="http://schemas.openxmlformats.org/officeDocument/2006/relationships/image" Target="media/image52.png"/><Relationship Id="rId186" Type="http://schemas.openxmlformats.org/officeDocument/2006/relationships/hyperlink" Target="https://antigo.mctic.gov.br/mctic/opencms/legislacao/outros_atos/resolucoes/Resolucao_FNDCT_n_845_de_05032024.html" TargetMode="External"/><Relationship Id="rId211" Type="http://schemas.openxmlformats.org/officeDocument/2006/relationships/hyperlink" Target="http://www.finep.gov.br/afinep/16-comissao-de-etica" TargetMode="External"/><Relationship Id="rId232" Type="http://schemas.openxmlformats.org/officeDocument/2006/relationships/chart" Target="charts/chart10.xml"/><Relationship Id="rId253" Type="http://schemas.openxmlformats.org/officeDocument/2006/relationships/chart" Target="charts/chart12.xml"/><Relationship Id="rId274" Type="http://schemas.openxmlformats.org/officeDocument/2006/relationships/chart" Target="charts/chart20.xml"/><Relationship Id="rId27" Type="http://schemas.openxmlformats.org/officeDocument/2006/relationships/chart" Target="charts/chart4.xml"/><Relationship Id="rId48" Type="http://schemas.openxmlformats.org/officeDocument/2006/relationships/hyperlink" Target="http://www.finep.gov.br/transparencia-finep/objetivos-metas-e-resultados" TargetMode="External"/><Relationship Id="rId69" Type="http://schemas.openxmlformats.org/officeDocument/2006/relationships/hyperlink" Target="https://antigo.mctic.gov.br/mctic/opencms/ciencia/SEPED/Publicacoes/ENCTI/PlanosDeAcao.html" TargetMode="External"/><Relationship Id="rId113" Type="http://schemas.openxmlformats.org/officeDocument/2006/relationships/hyperlink" Target="http://www.finep.gov.br/apoio-e-financiamento-externa/programas-e-linhas/prh-anp-finep-gestora" TargetMode="External"/><Relationship Id="rId134" Type="http://schemas.openxmlformats.org/officeDocument/2006/relationships/image" Target="media/image35.png"/><Relationship Id="rId80" Type="http://schemas.openxmlformats.org/officeDocument/2006/relationships/hyperlink" Target="https://www.eurekanetwork.org/" TargetMode="External"/><Relationship Id="rId155" Type="http://schemas.openxmlformats.org/officeDocument/2006/relationships/image" Target="media/image49.svg"/><Relationship Id="rId176" Type="http://schemas.openxmlformats.org/officeDocument/2006/relationships/image" Target="media/image61.png"/><Relationship Id="rId197" Type="http://schemas.openxmlformats.org/officeDocument/2006/relationships/hyperlink" Target="http://www.finep.gov.br/a-finep-externo/governanca/governanca" TargetMode="External"/><Relationship Id="rId201" Type="http://schemas.openxmlformats.org/officeDocument/2006/relationships/hyperlink" Target="http://www.finep.gov.br/auditoria" TargetMode="External"/><Relationship Id="rId222" Type="http://schemas.openxmlformats.org/officeDocument/2006/relationships/chart" Target="charts/chart9.xml"/><Relationship Id="rId243" Type="http://schemas.openxmlformats.org/officeDocument/2006/relationships/hyperlink" Target="https://www.google.com/url?q=https://www.openstartups.net/site/ranking/index.html&amp;sa=D&amp;source=docs&amp;ust=1711504928597743&amp;usg=AOvVaw1Sps5rCrn8nAyMLMydHtdR" TargetMode="External"/><Relationship Id="rId264" Type="http://schemas.openxmlformats.org/officeDocument/2006/relationships/image" Target="media/image92.png"/><Relationship Id="rId17" Type="http://schemas.openxmlformats.org/officeDocument/2006/relationships/footer" Target="footer3.xml"/><Relationship Id="rId38" Type="http://schemas.openxmlformats.org/officeDocument/2006/relationships/hyperlink" Target="https://www.globalreporting.org/how-to-use-the-gri-standards/gri-standards-portuguese-translations/" TargetMode="External"/><Relationship Id="rId59" Type="http://schemas.openxmlformats.org/officeDocument/2006/relationships/hyperlink" Target="https://www.gov.br/mdic/pt-br/assuntos/competitividade-industrial/setor-automotivo/rota-2030-mobilidade-e-logistica" TargetMode="External"/><Relationship Id="rId103" Type="http://schemas.openxmlformats.org/officeDocument/2006/relationships/hyperlink" Target="http://www.finep.gov.br/images/acesso-a-informacao/Tranparencia_P_Contas/2023/23_01_2023_CARTLHA_ELPPN_2023.pdf" TargetMode="External"/><Relationship Id="rId124" Type="http://schemas.openxmlformats.org/officeDocument/2006/relationships/image" Target="media/image25.png"/><Relationship Id="rId70" Type="http://schemas.openxmlformats.org/officeDocument/2006/relationships/hyperlink" Target="https://www.gov.br/planejamento/pt-br/assuntos/plano-plurianual/paginas/ppa-2020-2023" TargetMode="External"/><Relationship Id="rId91" Type="http://schemas.openxmlformats.org/officeDocument/2006/relationships/hyperlink" Target="https://abde.org.br/wp-content/uploads/2023/09/Metodologia_ABDE_PNUD_de_Alinhamento_do_Sistema-Nacional.pdf" TargetMode="External"/><Relationship Id="rId145" Type="http://schemas.openxmlformats.org/officeDocument/2006/relationships/hyperlink" Target="http://www.finep.gov.br/images/a-finep/Condicoes_Operacionais/CondicoesOperacionais.pdf" TargetMode="External"/><Relationship Id="rId166" Type="http://schemas.openxmlformats.org/officeDocument/2006/relationships/image" Target="media/image53.png"/><Relationship Id="rId187" Type="http://schemas.openxmlformats.org/officeDocument/2006/relationships/hyperlink" Target="https://200.130.9.59/mctic/opencms/legislacao/portarias/Portaria_MCTIC_n_7252_de_30122019.html?searchRef=plano&amp;tipoBusca=expressaoExata" TargetMode="External"/><Relationship Id="rId1" Type="http://schemas.openxmlformats.org/officeDocument/2006/relationships/customXml" Target="../customXml/item1.xml"/><Relationship Id="rId212" Type="http://schemas.openxmlformats.org/officeDocument/2006/relationships/image" Target="media/image75.jpeg"/><Relationship Id="rId233" Type="http://schemas.openxmlformats.org/officeDocument/2006/relationships/chart" Target="charts/chart11.xml"/><Relationship Id="rId254" Type="http://schemas.openxmlformats.org/officeDocument/2006/relationships/image" Target="media/image87.png"/><Relationship Id="rId28" Type="http://schemas.openxmlformats.org/officeDocument/2006/relationships/chart" Target="charts/chart5.xml"/><Relationship Id="rId49" Type="http://schemas.openxmlformats.org/officeDocument/2006/relationships/hyperlink" Target="http://www.finep.gov.br/transparencia-finep/relatorios-do-fndct/relatorio-da-administracao" TargetMode="External"/><Relationship Id="rId114" Type="http://schemas.openxmlformats.org/officeDocument/2006/relationships/image" Target="media/image16.png"/><Relationship Id="rId275" Type="http://schemas.openxmlformats.org/officeDocument/2006/relationships/hyperlink" Target="http://www.finep.gov.br/licitacoes-e-contratos2/regulamento-de-licitacoes-contratacoes-e-contratos" TargetMode="External"/><Relationship Id="rId60" Type="http://schemas.openxmlformats.org/officeDocument/2006/relationships/hyperlink" Target="https://www.gov.br/anp/pt-br/assuntos/pesquisa-desenvolvimento-e-inovacao/prh-anp-programa-de-formacao-de-recursos-humanos-1" TargetMode="External"/><Relationship Id="rId81" Type="http://schemas.openxmlformats.org/officeDocument/2006/relationships/hyperlink" Target="https://antigo.mctic.gov.br/mctic/opencms/ciencia/SEPED/Publicacoes/ENCTI/PlanosDeAcao.html" TargetMode="External"/><Relationship Id="rId135" Type="http://schemas.openxmlformats.org/officeDocument/2006/relationships/image" Target="media/image36.svg"/><Relationship Id="rId156" Type="http://schemas.openxmlformats.org/officeDocument/2006/relationships/image" Target="media/image50.png"/><Relationship Id="rId177" Type="http://schemas.openxmlformats.org/officeDocument/2006/relationships/image" Target="media/image62.svg"/><Relationship Id="rId198" Type="http://schemas.openxmlformats.org/officeDocument/2006/relationships/hyperlink" Target="http://www.finep.gov.br/a-finep-externo/governanca/governanca" TargetMode="External"/><Relationship Id="rId202" Type="http://schemas.openxmlformats.org/officeDocument/2006/relationships/image" Target="media/image74.png"/><Relationship Id="rId223" Type="http://schemas.openxmlformats.org/officeDocument/2006/relationships/image" Target="media/image78.png"/><Relationship Id="rId244" Type="http://schemas.openxmlformats.org/officeDocument/2006/relationships/hyperlink" Target="http://www.finep.gov.br/chamadas-publicas/chamadapublica/735" TargetMode="External"/><Relationship Id="rId18" Type="http://schemas.openxmlformats.org/officeDocument/2006/relationships/image" Target="media/image3.jpeg"/><Relationship Id="rId39" Type="http://schemas.openxmlformats.org/officeDocument/2006/relationships/hyperlink" Target="http://www.finep.gov.br/transparencia-finep/relatorios-do-fndct/relatorio-da-administracao" TargetMode="External"/><Relationship Id="rId265" Type="http://schemas.openxmlformats.org/officeDocument/2006/relationships/image" Target="media/image93.png"/><Relationship Id="rId50" Type="http://schemas.openxmlformats.org/officeDocument/2006/relationships/hyperlink" Target="http://www.finep.gov.br/images/acesso-a-informacao/Tranparencia_P_Contas/2023/23_01_2023_CARTLHA_ELPPN_2023.pdf" TargetMode="External"/><Relationship Id="rId104" Type="http://schemas.openxmlformats.org/officeDocument/2006/relationships/image" Target="media/image15.png"/><Relationship Id="rId125" Type="http://schemas.openxmlformats.org/officeDocument/2006/relationships/image" Target="media/image26.svg"/><Relationship Id="rId146" Type="http://schemas.openxmlformats.org/officeDocument/2006/relationships/hyperlink" Target="https://www.gov.br/mdic/pt-br/composicao/se/cndi/plano-de-acao/nova-industria-brasil-plano-de-acao.pdf" TargetMode="External"/><Relationship Id="rId167" Type="http://schemas.openxmlformats.org/officeDocument/2006/relationships/image" Target="media/image54.svg"/><Relationship Id="rId188" Type="http://schemas.openxmlformats.org/officeDocument/2006/relationships/image" Target="media/image67.emf"/><Relationship Id="rId71" Type="http://schemas.openxmlformats.org/officeDocument/2006/relationships/hyperlink" Target="http://www.planalto.gov.br/ccivil_03/_ato2019-2022/2019/lei/L13971.htm" TargetMode="External"/><Relationship Id="rId92" Type="http://schemas.openxmlformats.org/officeDocument/2006/relationships/hyperlink" Target="https://www.gov.br/mdic/pt-br/composicao/se/cndi/arquivos/decretos-e-portarias/arquivos/dou_2023-07-20-resolucao-cndi-mdic-no-1-de-6-de-julho-de-2023-missoes-republicacao/view" TargetMode="External"/><Relationship Id="rId213" Type="http://schemas.openxmlformats.org/officeDocument/2006/relationships/image" Target="media/image76.png"/><Relationship Id="rId234" Type="http://schemas.openxmlformats.org/officeDocument/2006/relationships/hyperlink" Target="http://finep.gov.br/a-finep-externo/governanca/governanca" TargetMode="External"/><Relationship Id="rId2" Type="http://schemas.openxmlformats.org/officeDocument/2006/relationships/customXml" Target="../customXml/item2.xml"/><Relationship Id="rId29" Type="http://schemas.openxmlformats.org/officeDocument/2006/relationships/image" Target="media/image5.jpeg"/><Relationship Id="rId255" Type="http://schemas.openxmlformats.org/officeDocument/2006/relationships/hyperlink" Target="http://www.finep.gov.br/images/a-finep/Politica/29_04_2020_politica_de_gestao_integrada_de_riscos.pdf" TargetMode="External"/><Relationship Id="rId276" Type="http://schemas.openxmlformats.org/officeDocument/2006/relationships/header" Target="header4.xml"/><Relationship Id="rId40" Type="http://schemas.openxmlformats.org/officeDocument/2006/relationships/hyperlink" Target="http://www.finep.gov.br/fale-conosco" TargetMode="External"/><Relationship Id="rId115" Type="http://schemas.openxmlformats.org/officeDocument/2006/relationships/hyperlink" Target="http://www.finep.gov.br/apoio-e-financiamento-externa/programas-e-linhas/finep-rota-2030" TargetMode="External"/><Relationship Id="rId136" Type="http://schemas.openxmlformats.org/officeDocument/2006/relationships/image" Target="media/image37.png"/><Relationship Id="rId157" Type="http://schemas.openxmlformats.org/officeDocument/2006/relationships/image" Target="media/image51.svg"/><Relationship Id="rId178" Type="http://schemas.openxmlformats.org/officeDocument/2006/relationships/image" Target="media/image63.png"/><Relationship Id="rId61" Type="http://schemas.openxmlformats.org/officeDocument/2006/relationships/hyperlink" Target="http://www.finep.gov.br/images/apoio-e-financiamento/programas-e-linhas/PRH-ANP/19_06_2020_1_edital-01-2018-prh-anp.pdf" TargetMode="External"/><Relationship Id="rId82" Type="http://schemas.openxmlformats.org/officeDocument/2006/relationships/image" Target="media/image11.png"/><Relationship Id="rId199" Type="http://schemas.openxmlformats.org/officeDocument/2006/relationships/image" Target="media/image73.png"/><Relationship Id="rId203" Type="http://schemas.openxmlformats.org/officeDocument/2006/relationships/hyperlink" Target="http://www.finep.gov.br/a-finep-externo/governanca/governanca" TargetMode="External"/><Relationship Id="rId19" Type="http://schemas.openxmlformats.org/officeDocument/2006/relationships/image" Target="media/image4.png"/><Relationship Id="rId224" Type="http://schemas.openxmlformats.org/officeDocument/2006/relationships/image" Target="media/image79.png"/><Relationship Id="rId245" Type="http://schemas.openxmlformats.org/officeDocument/2006/relationships/hyperlink" Target="http://www.finep.gov.br/chamadas-publicas/chamadapublica/679" TargetMode="External"/><Relationship Id="rId266" Type="http://schemas.openxmlformats.org/officeDocument/2006/relationships/image" Target="media/image94.png"/><Relationship Id="rId30" Type="http://schemas.openxmlformats.org/officeDocument/2006/relationships/hyperlink" Target="https://www.globalreporting.org/how-to-use-the-gri-standards/gri-standards-portuguese-translations/" TargetMode="External"/><Relationship Id="rId105" Type="http://schemas.openxmlformats.org/officeDocument/2006/relationships/hyperlink" Target="http://www.finep.gov.br/transparencia-finep/objetivos-metas-e-resultados" TargetMode="External"/><Relationship Id="rId126" Type="http://schemas.openxmlformats.org/officeDocument/2006/relationships/image" Target="media/image27.png"/><Relationship Id="rId147" Type="http://schemas.openxmlformats.org/officeDocument/2006/relationships/hyperlink" Target="http://download.finep.gov.br/Agentes_Financeiros.pdf" TargetMode="External"/><Relationship Id="rId168" Type="http://schemas.openxmlformats.org/officeDocument/2006/relationships/image" Target="media/image55.png"/><Relationship Id="rId51" Type="http://schemas.openxmlformats.org/officeDocument/2006/relationships/hyperlink" Target="http://www.finep.gov.br/transparencia-finep/objetivos-metas-e-resultados" TargetMode="External"/><Relationship Id="rId72" Type="http://schemas.openxmlformats.org/officeDocument/2006/relationships/hyperlink" Target="https://www.gov.br/economia/pt-br/assuntos/gestao/estrategia-federal-de-desenvolvimento" TargetMode="External"/><Relationship Id="rId93" Type="http://schemas.openxmlformats.org/officeDocument/2006/relationships/hyperlink" Target="https://www.gov.br/mdic/pt-br/composicao/se/cndi/plano-de-acao/nova-industria-brasil-plano-de-acao.pdf" TargetMode="External"/><Relationship Id="rId189" Type="http://schemas.openxmlformats.org/officeDocument/2006/relationships/image" Target="media/image68.emf"/><Relationship Id="rId3" Type="http://schemas.openxmlformats.org/officeDocument/2006/relationships/customXml" Target="../customXml/item3.xml"/><Relationship Id="rId214" Type="http://schemas.openxmlformats.org/officeDocument/2006/relationships/hyperlink" Target="http://www.finep.gov.br/acoes-correicao" TargetMode="External"/><Relationship Id="rId235" Type="http://schemas.openxmlformats.org/officeDocument/2006/relationships/hyperlink" Target="http://finep.gov.br/institucional" TargetMode="External"/><Relationship Id="rId256" Type="http://schemas.openxmlformats.org/officeDocument/2006/relationships/hyperlink" Target="http://www.finep.gov.br/images/a-finep/Governanca/Politicas/06_02_2020_Politica_de_Apetite_por_Riscos.pdf" TargetMode="External"/><Relationship Id="rId277" Type="http://schemas.openxmlformats.org/officeDocument/2006/relationships/footer" Target="footer4.xml"/><Relationship Id="rId116" Type="http://schemas.openxmlformats.org/officeDocument/2006/relationships/image" Target="media/image17.png"/><Relationship Id="rId137" Type="http://schemas.openxmlformats.org/officeDocument/2006/relationships/image" Target="media/image38.svg"/><Relationship Id="rId158" Type="http://schemas.openxmlformats.org/officeDocument/2006/relationships/hyperlink" Target="http://www.finep.gov.br/apoio-e-financiamento-externa/programas-e-linhas/finep-2030-empresarial" TargetMode="External"/><Relationship Id="rId20" Type="http://schemas.openxmlformats.org/officeDocument/2006/relationships/hyperlink" Target="http://www.finep.gov.br/images/chamadas-publicas/2023/21_06_2023_Edital_4a_Edicao_do_Programa_Mulheres_Inovadoras.pdf" TargetMode="External"/><Relationship Id="rId41" Type="http://schemas.openxmlformats.org/officeDocument/2006/relationships/hyperlink" Target="http://www.finep.gov.br/fale-conosco" TargetMode="External"/><Relationship Id="rId62" Type="http://schemas.openxmlformats.org/officeDocument/2006/relationships/hyperlink" Target="http://www.finep.gov.br/images/apoio-e-financiamento/programas-e-linhas/PRH-ANP/19_06_2020_1_edital-01-2018-prh-anp.pdf" TargetMode="External"/><Relationship Id="rId83" Type="http://schemas.openxmlformats.org/officeDocument/2006/relationships/hyperlink" Target="https://www.gov.br/mcti/pt-br/acesso-a-informacao/prestacao-de-contas" TargetMode="External"/><Relationship Id="rId179" Type="http://schemas.openxmlformats.org/officeDocument/2006/relationships/image" Target="media/image64.svg"/><Relationship Id="rId190" Type="http://schemas.openxmlformats.org/officeDocument/2006/relationships/image" Target="media/image69.emf"/><Relationship Id="rId204" Type="http://schemas.openxmlformats.org/officeDocument/2006/relationships/hyperlink" Target="http://www.finep.gov.br/a-finep-externo/governanca/governanca" TargetMode="External"/><Relationship Id="rId225" Type="http://schemas.openxmlformats.org/officeDocument/2006/relationships/image" Target="media/image80.png"/><Relationship Id="rId246" Type="http://schemas.openxmlformats.org/officeDocument/2006/relationships/hyperlink" Target="https://www.gov.br/economia/pt-br/assuntos/planejamento-e-orcamento/orcamento/orcamentos-anuais/2023/loa" TargetMode="External"/><Relationship Id="rId267" Type="http://schemas.openxmlformats.org/officeDocument/2006/relationships/chart" Target="charts/chart13.xml"/><Relationship Id="rId106" Type="http://schemas.openxmlformats.org/officeDocument/2006/relationships/hyperlink" Target="http://www.finep.gov.br/transparencia-finep/objetivos-metas-e-resultados" TargetMode="External"/><Relationship Id="rId127" Type="http://schemas.openxmlformats.org/officeDocument/2006/relationships/image" Target="media/image28.svg"/><Relationship Id="rId10" Type="http://schemas.openxmlformats.org/officeDocument/2006/relationships/endnotes" Target="endnotes.xml"/><Relationship Id="rId31" Type="http://schemas.openxmlformats.org/officeDocument/2006/relationships/hyperlink" Target="https://www.globalreporting.org/how-to-use-the-gri-standards/gri-standards-portuguese-translations/" TargetMode="External"/><Relationship Id="rId52" Type="http://schemas.openxmlformats.org/officeDocument/2006/relationships/hyperlink" Target="http://www.finep.gov.br/a-finep-externo/fndct/governanca-e-planejamento" TargetMode="External"/><Relationship Id="rId73" Type="http://schemas.openxmlformats.org/officeDocument/2006/relationships/hyperlink" Target="https://www.planalto.gov.br/ccivil_03/_ato2019-2022/2020/decreto/d10531.htm" TargetMode="External"/><Relationship Id="rId94" Type="http://schemas.openxmlformats.org/officeDocument/2006/relationships/hyperlink" Target="http://www.finep.gov.br/images/a-finep/FNDCT/2022/05_09_2023_Plano_Anual_de_Investimento_Nao_Reembolsavel_2023_-_Resumo_Executivo.pdf" TargetMode="External"/><Relationship Id="rId148" Type="http://schemas.openxmlformats.org/officeDocument/2006/relationships/hyperlink" Target="http://download.finep.gov.br/Agentes_Financeiros.pdf" TargetMode="External"/><Relationship Id="rId169" Type="http://schemas.openxmlformats.org/officeDocument/2006/relationships/image" Target="media/image56.svg"/><Relationship Id="rId4" Type="http://schemas.openxmlformats.org/officeDocument/2006/relationships/customXml" Target="../customXml/item4.xml"/><Relationship Id="rId180" Type="http://schemas.openxmlformats.org/officeDocument/2006/relationships/hyperlink" Target="http://www.finep.gov.br/apoio-e-financiamento-externa/programas-e-linhas/mulheresinovadoras" TargetMode="External"/><Relationship Id="rId215" Type="http://schemas.openxmlformats.org/officeDocument/2006/relationships/hyperlink" Target="http://www.finep.gov.br/auditoria" TargetMode="External"/><Relationship Id="rId236" Type="http://schemas.openxmlformats.org/officeDocument/2006/relationships/hyperlink" Target="http://www.finep.gov.br/transparencia-finep/apresentacao-transparencia-e-prestacao-de-contas" TargetMode="External"/><Relationship Id="rId257" Type="http://schemas.openxmlformats.org/officeDocument/2006/relationships/image" Target="media/image88.png"/><Relationship Id="rId278" Type="http://schemas.openxmlformats.org/officeDocument/2006/relationships/fontTable" Target="fontTable.xml"/><Relationship Id="rId42" Type="http://schemas.openxmlformats.org/officeDocument/2006/relationships/hyperlink" Target="http://www.finep.gov.br/fale-conosco" TargetMode="External"/><Relationship Id="rId84" Type="http://schemas.openxmlformats.org/officeDocument/2006/relationships/hyperlink" Target="http://www.finep.gov.br/a-finep-externo/fndct/execucao-orcamentaria-e-financeira/demonstrativos-da-execucao" TargetMode="External"/><Relationship Id="rId138" Type="http://schemas.openxmlformats.org/officeDocument/2006/relationships/image" Target="media/image39.png"/><Relationship Id="rId191" Type="http://schemas.openxmlformats.org/officeDocument/2006/relationships/image" Target="media/image70.emf"/><Relationship Id="rId205" Type="http://schemas.openxmlformats.org/officeDocument/2006/relationships/hyperlink" Target="http://www.finep.gov.br/a-finep-externo/governanca/governanca" TargetMode="External"/><Relationship Id="rId247" Type="http://schemas.openxmlformats.org/officeDocument/2006/relationships/image" Target="media/image84.png"/><Relationship Id="rId107" Type="http://schemas.openxmlformats.org/officeDocument/2006/relationships/hyperlink" Target="http://www.finep.gov.br/apoio-e-financiamento-externa/programas-e-linhas/finep-mais-inovacao" TargetMode="External"/><Relationship Id="rId11" Type="http://schemas.openxmlformats.org/officeDocument/2006/relationships/header" Target="header1.xml"/><Relationship Id="rId53" Type="http://schemas.openxmlformats.org/officeDocument/2006/relationships/hyperlink" Target="http://www.finep.gov.br/a-finep-externo/fndct/fndct" TargetMode="External"/><Relationship Id="rId149" Type="http://schemas.openxmlformats.org/officeDocument/2006/relationships/image" Target="media/image43.jpeg"/><Relationship Id="rId95" Type="http://schemas.openxmlformats.org/officeDocument/2006/relationships/image" Target="media/image12.png"/><Relationship Id="rId160" Type="http://schemas.openxmlformats.org/officeDocument/2006/relationships/hyperlink" Target="http://finep.gov.br/chamadas-publicas/chamadapublica/710" TargetMode="External"/><Relationship Id="rId216" Type="http://schemas.openxmlformats.org/officeDocument/2006/relationships/hyperlink" Target="http://www.finep.gov.br/acoes-correicao"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1.Discuss&#227;o%20e%20constru&#231;&#227;o\dados%20relat%20gerenciais\projeto%20dados_fontes%20e%20din&#226;micas%2023.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ad.finep.gov.br\Compart\PRES\OUVI\2.%20Gest&#227;o\4.%20Monitorar\Relat&#243;rios\1.%20Relat&#243;rio%20Anual%20de%20Atividades%20da%20Ouvidoria\2023\Manifesta&#231;&#245;es%202023.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2.Solicita&#231;&#245;es%20e%20respostas\DADM\RAI%202023%20-%20DADM%20Dados%20para%20gr&#225;ficos%20e%20tabelas.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2.Solicita&#231;&#245;es%20e%20respostas\DADM\RAI%202023%20-%20DADM%20Dados%20para%20gr&#225;ficos%20e%20tabelas.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2.Solicita&#231;&#245;es%20e%20respostas\DADM\RAI%202023%20-%20DADM%20Dados%20para%20gr&#225;ficos%20e%20tabelas.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2.Solicita&#231;&#245;es%20e%20respostas\DADM\RAI%202023%20-%20DADM%20Dados%20para%20gr&#225;ficos%20e%20tabelas.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2.Solicita&#231;&#245;es%20e%20respostas\DADM\RAI%202023%20-%20DADM%20Dados%20para%20gr&#225;ficos%20e%20tabelas.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ad.finep.gov.br\Compart\DADM\ALOG\DCAD\Informa&#231;&#245;es%20para%20controle\Relat&#243;rio%20de%20Gest&#227;o\2023-2024\2024_01_02_Contratos_Administrativos.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ad.finep.gov.br\Compart\DADM\ALOG\DCAD\Informa&#231;&#245;es%20para%20controle\Relat&#243;rio%20de%20Gest&#227;o\2023-2024\2024_01_02_Contratos_Administrativos.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2.Solicita&#231;&#245;es%20e%20respostas\DADM\RAI%202023%20-%20DADM%20Dados%20para%20gr&#225;ficos%20e%20tabelas.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1.Discuss&#227;o%20e%20constru&#231;&#227;o\dados%20relat%20gerenciais\projeto%20dados_fontes%20e%20din&#226;micas%2023.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2.Solicita&#231;&#245;es%20e%20respostas\DADM\RAI%202023%20-%20DADM%20Dados%20para%20gr&#225;ficos%20e%20tabelas.xlsx" TargetMode="External"/><Relationship Id="rId2" Type="http://schemas.microsoft.com/office/2011/relationships/chartColorStyle" Target="colors19.xml"/><Relationship Id="rId1" Type="http://schemas.microsoft.com/office/2011/relationships/chartStyle" Target="style19.xml"/></Relationships>
</file>

<file path=word/charts/_rels/chart3.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1.Discuss&#227;o%20e%20constru&#231;&#227;o\dados%20relat%20gerenciais\projeto%20dados_fontes%20e%20din&#226;micas%202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1.Discuss&#227;o%20e%20constru&#231;&#227;o\dados%20relat%20gerenciais\projeto%20dados_fontes%20e%20din&#226;micas%202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2\1.constru&#231;&#227;o\grandes%20n&#250;meros%20202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file:///\\ad.finep.gov.br\Compart\PRES\APLA\DGPI\relat&#243;rios%20oficiais%20e%20transpar&#234;ncia\Relat&#243;rio%20Integrado%20e%20Relat&#243;rio%20de%20Gest&#227;o\RG%20e%20RAI%202023\2.Solicita&#231;&#245;es%20e%20respostas\DRFC\Arquivo%20-%20DGPI-APLA%20-%20v2DAOC%20-%20Dez-23.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cvalente\Downloads\Mensal.csv"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2.Solicita&#231;&#245;es%20e%20respostas\DADM\RAI%202023%20-%20DADM%20Dados%20para%20gr&#225;ficos%20e%20tabelas.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ad.finep.gov.br\Compart\PRES\APLA\DGPI\relat&#243;rios%20oficiais%20e%20transpar&#234;ncia\Relat&#243;rio%20Integrado%20e%20Relat&#243;rio%20de%20Gest&#227;o\RG%20e%20RAI%202023\2.Solicita&#231;&#245;es%20e%20respostas\DADM\RAI%202023%20-%20DADM%20Dados%20para%20gr&#225;ficos%20e%20tabelas.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sz="1200"/>
              <a:t>Número de Projetos</a:t>
            </a:r>
            <a:r>
              <a:rPr lang="en-US" sz="1200" baseline="0"/>
              <a:t> Contratados - Porte</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doughnutChart>
        <c:varyColors val="1"/>
        <c:ser>
          <c:idx val="0"/>
          <c:order val="0"/>
          <c:tx>
            <c:strRef>
              <c:f>'Porte e Região'!$J$42</c:f>
              <c:strCache>
                <c:ptCount val="1"/>
                <c:pt idx="0">
                  <c:v>Número de Projetos</c:v>
                </c:pt>
              </c:strCache>
            </c:strRef>
          </c:tx>
          <c:dPt>
            <c:idx val="0"/>
            <c:bubble3D val="0"/>
            <c:spPr>
              <a:solidFill>
                <a:srgbClr val="005051"/>
              </a:solidFill>
              <a:ln w="19050">
                <a:solidFill>
                  <a:schemeClr val="lt1"/>
                </a:solidFill>
              </a:ln>
              <a:effectLst/>
            </c:spPr>
            <c:extLst>
              <c:ext xmlns:c16="http://schemas.microsoft.com/office/drawing/2014/chart" uri="{C3380CC4-5D6E-409C-BE32-E72D297353CC}">
                <c16:uniqueId val="{00000001-02D1-4A4C-AD1F-48BC428D782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2D1-4A4C-AD1F-48BC428D782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2D1-4A4C-AD1F-48BC428D782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2D1-4A4C-AD1F-48BC428D782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2D1-4A4C-AD1F-48BC428D782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2D1-4A4C-AD1F-48BC428D7827}"/>
              </c:ext>
            </c:extLst>
          </c:dPt>
          <c:dLbls>
            <c:dLbl>
              <c:idx val="0"/>
              <c:layout>
                <c:manualLayout>
                  <c:x val="6.4806486772124694E-2"/>
                  <c:y val="-1.25391849529779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2D1-4A4C-AD1F-48BC428D7827}"/>
                </c:ext>
              </c:extLst>
            </c:dLbl>
            <c:dLbl>
              <c:idx val="1"/>
              <c:layout>
                <c:manualLayout>
                  <c:x val="-6.4806486772124819E-2"/>
                  <c:y val="4.1797283176593526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2D1-4A4C-AD1F-48BC428D7827}"/>
                </c:ext>
              </c:extLst>
            </c:dLbl>
            <c:dLbl>
              <c:idx val="2"/>
              <c:layout>
                <c:manualLayout>
                  <c:x val="-6.4806486772124777E-2"/>
                  <c:y val="-2.507836990595611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2D1-4A4C-AD1F-48BC428D7827}"/>
                </c:ext>
              </c:extLst>
            </c:dLbl>
            <c:dLbl>
              <c:idx val="3"/>
              <c:layout>
                <c:manualLayout>
                  <c:x val="-3.3603363511472112E-2"/>
                  <c:y val="-7.105538140020901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2D1-4A4C-AD1F-48BC428D7827}"/>
                </c:ext>
              </c:extLst>
            </c:dLbl>
            <c:dLbl>
              <c:idx val="4"/>
              <c:layout>
                <c:manualLayout>
                  <c:x val="-7.2007207524583967E-3"/>
                  <c:y val="-7.523510971786835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2D1-4A4C-AD1F-48BC428D7827}"/>
                </c:ext>
              </c:extLst>
            </c:dLbl>
            <c:dLbl>
              <c:idx val="5"/>
              <c:layout>
                <c:manualLayout>
                  <c:x val="6.0006006270485912E-2"/>
                  <c:y val="-6.269592476489026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2D1-4A4C-AD1F-48BC428D782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'Porte e Região'!$I$43:$I$48</c:f>
              <c:strCache>
                <c:ptCount val="6"/>
                <c:pt idx="0">
                  <c:v>Micro\Peq Porte</c:v>
                </c:pt>
                <c:pt idx="1">
                  <c:v>Pequena</c:v>
                </c:pt>
                <c:pt idx="2">
                  <c:v>Média I</c:v>
                </c:pt>
                <c:pt idx="3">
                  <c:v>Média II</c:v>
                </c:pt>
                <c:pt idx="4">
                  <c:v>Grande</c:v>
                </c:pt>
                <c:pt idx="5">
                  <c:v>Não informado</c:v>
                </c:pt>
              </c:strCache>
            </c:strRef>
          </c:cat>
          <c:val>
            <c:numRef>
              <c:f>'Porte e Região'!$J$43:$J$48</c:f>
              <c:numCache>
                <c:formatCode>General</c:formatCode>
                <c:ptCount val="6"/>
                <c:pt idx="0">
                  <c:v>872</c:v>
                </c:pt>
                <c:pt idx="1">
                  <c:v>116</c:v>
                </c:pt>
                <c:pt idx="2">
                  <c:v>207</c:v>
                </c:pt>
                <c:pt idx="3">
                  <c:v>109</c:v>
                </c:pt>
                <c:pt idx="4">
                  <c:v>71</c:v>
                </c:pt>
                <c:pt idx="5">
                  <c:v>8</c:v>
                </c:pt>
              </c:numCache>
            </c:numRef>
          </c:val>
          <c:extLst>
            <c:ext xmlns:c16="http://schemas.microsoft.com/office/drawing/2014/chart" uri="{C3380CC4-5D6E-409C-BE32-E72D297353CC}">
              <c16:uniqueId val="{0000000C-02D1-4A4C-AD1F-48BC428D7827}"/>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pt-B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8.9740073348030552E-2"/>
          <c:w val="0.99921160564149336"/>
          <c:h val="0.80357435207987304"/>
        </c:manualLayout>
      </c:layout>
      <c:barChart>
        <c:barDir val="col"/>
        <c:grouping val="clustered"/>
        <c:varyColors val="0"/>
        <c:ser>
          <c:idx val="0"/>
          <c:order val="0"/>
          <c:tx>
            <c:strRef>
              <c:f>'Gráficos 23'!$C$45</c:f>
              <c:strCache>
                <c:ptCount val="1"/>
                <c:pt idx="0">
                  <c:v>Quantidade</c:v>
                </c:pt>
              </c:strCache>
            </c:strRef>
          </c:tx>
          <c:spPr>
            <a:solidFill>
              <a:srgbClr val="0098BA"/>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'Gráficos 23'!$B$46:$B$51</c:f>
              <c:strCache>
                <c:ptCount val="6"/>
                <c:pt idx="0">
                  <c:v>Gestão de Pessoas</c:v>
                </c:pt>
                <c:pt idx="1">
                  <c:v>Inepta</c:v>
                </c:pt>
                <c:pt idx="2">
                  <c:v>Atendimento ao cidadão</c:v>
                </c:pt>
                <c:pt idx="3">
                  <c:v>Chamadas Públicas</c:v>
                </c:pt>
                <c:pt idx="4">
                  <c:v>Convênios e Contratos</c:v>
                </c:pt>
                <c:pt idx="5">
                  <c:v>Gestão de Serviços Internos</c:v>
                </c:pt>
              </c:strCache>
            </c:strRef>
          </c:cat>
          <c:val>
            <c:numRef>
              <c:f>'Gráficos 23'!$C$46:$C$51</c:f>
              <c:numCache>
                <c:formatCode>General</c:formatCode>
                <c:ptCount val="6"/>
                <c:pt idx="0">
                  <c:v>44</c:v>
                </c:pt>
                <c:pt idx="1">
                  <c:v>25</c:v>
                </c:pt>
                <c:pt idx="2">
                  <c:v>22</c:v>
                </c:pt>
                <c:pt idx="3">
                  <c:v>20</c:v>
                </c:pt>
                <c:pt idx="4">
                  <c:v>13</c:v>
                </c:pt>
                <c:pt idx="5">
                  <c:v>4</c:v>
                </c:pt>
              </c:numCache>
            </c:numRef>
          </c:val>
          <c:extLst>
            <c:ext xmlns:c16="http://schemas.microsoft.com/office/drawing/2014/chart" uri="{C3380CC4-5D6E-409C-BE32-E72D297353CC}">
              <c16:uniqueId val="{00000000-4BB9-435B-9F39-675A7782516F}"/>
            </c:ext>
          </c:extLst>
        </c:ser>
        <c:dLbls>
          <c:dLblPos val="outEnd"/>
          <c:showLegendKey val="0"/>
          <c:showVal val="1"/>
          <c:showCatName val="0"/>
          <c:showSerName val="0"/>
          <c:showPercent val="0"/>
          <c:showBubbleSize val="0"/>
        </c:dLbls>
        <c:gapWidth val="444"/>
        <c:overlap val="-90"/>
        <c:axId val="538688648"/>
        <c:axId val="538686024"/>
      </c:barChart>
      <c:catAx>
        <c:axId val="538688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ysClr val="windowText" lastClr="000000"/>
                </a:solidFill>
                <a:latin typeface="+mn-lt"/>
                <a:ea typeface="+mn-ea"/>
                <a:cs typeface="+mn-cs"/>
              </a:defRPr>
            </a:pPr>
            <a:endParaRPr lang="pt-BR"/>
          </a:p>
        </c:txPr>
        <c:crossAx val="538686024"/>
        <c:crosses val="autoZero"/>
        <c:auto val="1"/>
        <c:lblAlgn val="ctr"/>
        <c:lblOffset val="100"/>
        <c:noMultiLvlLbl val="0"/>
      </c:catAx>
      <c:valAx>
        <c:axId val="538686024"/>
        <c:scaling>
          <c:orientation val="minMax"/>
        </c:scaling>
        <c:delete val="1"/>
        <c:axPos val="l"/>
        <c:numFmt formatCode="General" sourceLinked="1"/>
        <c:majorTickMark val="none"/>
        <c:minorTickMark val="none"/>
        <c:tickLblPos val="nextTo"/>
        <c:crossAx val="538688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Planilha1!$B$1</c:f>
              <c:strCache>
                <c:ptCount val="1"/>
                <c:pt idx="0">
                  <c:v>Resposta aos pedidos</c:v>
                </c:pt>
              </c:strCache>
            </c:strRef>
          </c:tx>
          <c:spPr>
            <a:solidFill>
              <a:schemeClr val="accent3"/>
            </a:solidFill>
            <a:ln>
              <a:noFill/>
            </a:ln>
            <a:effectLst/>
          </c:spPr>
          <c:invertIfNegative val="0"/>
          <c:dLbls>
            <c:dLbl>
              <c:idx val="0"/>
              <c:tx>
                <c:rich>
                  <a:bodyPr/>
                  <a:lstStyle/>
                  <a:p>
                    <a:r>
                      <a:rPr lang="en-US"/>
                      <a:t>136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0FD-405B-BD3C-63EC6D5760C7}"/>
                </c:ext>
              </c:extLst>
            </c:dLbl>
            <c:dLbl>
              <c:idx val="1"/>
              <c:tx>
                <c:rich>
                  <a:bodyPr/>
                  <a:lstStyle/>
                  <a:p>
                    <a:r>
                      <a:rPr lang="en-US"/>
                      <a:t>5</a:t>
                    </a:r>
                  </a:p>
                  <a:p>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0FD-405B-BD3C-63EC6D5760C7}"/>
                </c:ext>
              </c:extLst>
            </c:dLbl>
            <c:dLbl>
              <c:idx val="2"/>
              <c:tx>
                <c:rich>
                  <a:bodyPr/>
                  <a:lstStyle/>
                  <a:p>
                    <a:r>
                      <a:rPr lang="en-US"/>
                      <a:t>9</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0FD-405B-BD3C-63EC6D5760C7}"/>
                </c:ext>
              </c:extLst>
            </c:dLbl>
            <c:dLbl>
              <c:idx val="3"/>
              <c:tx>
                <c:rich>
                  <a:bodyPr/>
                  <a:lstStyle/>
                  <a:p>
                    <a:r>
                      <a:rPr lang="en-US"/>
                      <a:t>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0FD-405B-BD3C-63EC6D5760C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Planilha1!$A$2:$A$8</c:f>
              <c:strCache>
                <c:ptCount val="7"/>
                <c:pt idx="0">
                  <c:v>Acesso Concedido</c:v>
                </c:pt>
                <c:pt idx="1">
                  <c:v>Acesso Negado</c:v>
                </c:pt>
                <c:pt idx="2">
                  <c:v>Acesso Parcialmente Concedido</c:v>
                </c:pt>
                <c:pt idx="3">
                  <c:v>Informação Inexistente</c:v>
                </c:pt>
                <c:pt idx="4">
                  <c:v>Não se trata de solicitação de informação</c:v>
                </c:pt>
                <c:pt idx="5">
                  <c:v>Orgão não tem compentência  </c:v>
                </c:pt>
                <c:pt idx="6">
                  <c:v>Pergunta Duplicada / Repetida</c:v>
                </c:pt>
              </c:strCache>
            </c:strRef>
          </c:cat>
          <c:val>
            <c:numRef>
              <c:f>Planilha1!$B$2:$B$8</c:f>
              <c:numCache>
                <c:formatCode>General</c:formatCode>
                <c:ptCount val="7"/>
                <c:pt idx="0">
                  <c:v>136</c:v>
                </c:pt>
                <c:pt idx="1">
                  <c:v>5</c:v>
                </c:pt>
                <c:pt idx="2">
                  <c:v>9</c:v>
                </c:pt>
                <c:pt idx="3">
                  <c:v>2</c:v>
                </c:pt>
                <c:pt idx="4">
                  <c:v>1</c:v>
                </c:pt>
                <c:pt idx="5">
                  <c:v>0</c:v>
                </c:pt>
                <c:pt idx="6">
                  <c:v>3</c:v>
                </c:pt>
              </c:numCache>
            </c:numRef>
          </c:val>
          <c:extLst>
            <c:ext xmlns:c16="http://schemas.microsoft.com/office/drawing/2014/chart" uri="{C3380CC4-5D6E-409C-BE32-E72D297353CC}">
              <c16:uniqueId val="{00000004-00FD-405B-BD3C-63EC6D5760C7}"/>
            </c:ext>
          </c:extLst>
        </c:ser>
        <c:dLbls>
          <c:dLblPos val="outEnd"/>
          <c:showLegendKey val="0"/>
          <c:showVal val="1"/>
          <c:showCatName val="0"/>
          <c:showSerName val="0"/>
          <c:showPercent val="0"/>
          <c:showBubbleSize val="0"/>
        </c:dLbls>
        <c:gapWidth val="219"/>
        <c:overlap val="-27"/>
        <c:axId val="432962128"/>
        <c:axId val="432965456"/>
      </c:barChart>
      <c:catAx>
        <c:axId val="43296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432965456"/>
        <c:crosses val="autoZero"/>
        <c:auto val="1"/>
        <c:lblAlgn val="ctr"/>
        <c:lblOffset val="100"/>
        <c:noMultiLvlLbl val="0"/>
      </c:catAx>
      <c:valAx>
        <c:axId val="432965456"/>
        <c:scaling>
          <c:orientation val="minMax"/>
          <c:max val="1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432962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US"/>
              <a:t>Despesas de Processamento de Dados</a:t>
            </a:r>
          </a:p>
          <a:p>
            <a:pPr>
              <a:defRPr/>
            </a:pPr>
            <a:r>
              <a:rPr lang="en-US"/>
              <a:t>(R$ milhão)</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lineChart>
        <c:grouping val="standard"/>
        <c:varyColors val="0"/>
        <c:ser>
          <c:idx val="1"/>
          <c:order val="1"/>
          <c:tx>
            <c:strRef>
              <c:f>'Despesas TI Anual'!$C$4</c:f>
              <c:strCache>
                <c:ptCount val="1"/>
                <c:pt idx="0">
                  <c:v>DESPESAS DE PROCESSAMENTO DE DADOS</c:v>
                </c:pt>
              </c:strCache>
            </c:strRef>
          </c:tx>
          <c:spPr>
            <a:ln w="28575" cap="rnd">
              <a:solidFill>
                <a:srgbClr val="0098BA"/>
              </a:solidFill>
              <a:round/>
            </a:ln>
            <a:effectLst/>
          </c:spPr>
          <c:marker>
            <c:symbol val="none"/>
          </c:marker>
          <c:cat>
            <c:numRef>
              <c:f>'Despesas TI Anual'!$B$5:$B$13</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'Despesas TI Anual'!$C$5:$C$13</c:f>
              <c:numCache>
                <c:formatCode>_(* #,##0.00_);_(* \(#,##0.00\);_(* "-"??_);_(@_)</c:formatCode>
                <c:ptCount val="9"/>
                <c:pt idx="0">
                  <c:v>14615263.550000001</c:v>
                </c:pt>
                <c:pt idx="1">
                  <c:v>12211310.539999999</c:v>
                </c:pt>
                <c:pt idx="2">
                  <c:v>8298870.2599999998</c:v>
                </c:pt>
                <c:pt idx="3">
                  <c:v>9839460.8300000001</c:v>
                </c:pt>
                <c:pt idx="4">
                  <c:v>7052563.2300000004</c:v>
                </c:pt>
                <c:pt idx="5">
                  <c:v>8464708.7300000004</c:v>
                </c:pt>
                <c:pt idx="6">
                  <c:v>4975574.8599999994</c:v>
                </c:pt>
                <c:pt idx="7">
                  <c:v>7736591.8399999999</c:v>
                </c:pt>
                <c:pt idx="8">
                  <c:v>12370076.17</c:v>
                </c:pt>
              </c:numCache>
            </c:numRef>
          </c:val>
          <c:smooth val="1"/>
          <c:extLst>
            <c:ext xmlns:c16="http://schemas.microsoft.com/office/drawing/2014/chart" uri="{C3380CC4-5D6E-409C-BE32-E72D297353CC}">
              <c16:uniqueId val="{00000000-F4DE-4BC5-9B80-4142F5E50226}"/>
            </c:ext>
          </c:extLst>
        </c:ser>
        <c:dLbls>
          <c:showLegendKey val="0"/>
          <c:showVal val="0"/>
          <c:showCatName val="0"/>
          <c:showSerName val="0"/>
          <c:showPercent val="0"/>
          <c:showBubbleSize val="0"/>
        </c:dLbls>
        <c:smooth val="0"/>
        <c:axId val="486714608"/>
        <c:axId val="1036096640"/>
        <c:extLst>
          <c:ext xmlns:c15="http://schemas.microsoft.com/office/drawing/2012/chart" uri="{02D57815-91ED-43cb-92C2-25804820EDAC}">
            <c15:filteredLineSeries>
              <c15:ser>
                <c:idx val="0"/>
                <c:order val="0"/>
                <c:tx>
                  <c:strRef>
                    <c:extLst>
                      <c:ext uri="{02D57815-91ED-43cb-92C2-25804820EDAC}">
                        <c15:formulaRef>
                          <c15:sqref>'Despesas TI Anual'!$B$4</c15:sqref>
                        </c15:formulaRef>
                      </c:ext>
                    </c:extLst>
                    <c:strCache>
                      <c:ptCount val="1"/>
                      <c:pt idx="0">
                        <c:v>Ano</c:v>
                      </c:pt>
                    </c:strCache>
                  </c:strRef>
                </c:tx>
                <c:spPr>
                  <a:ln w="28575" cap="rnd">
                    <a:solidFill>
                      <a:schemeClr val="accent1"/>
                    </a:solidFill>
                    <a:round/>
                  </a:ln>
                  <a:effectLst/>
                </c:spPr>
                <c:marker>
                  <c:symbol val="none"/>
                </c:marker>
                <c:cat>
                  <c:numRef>
                    <c:extLst>
                      <c:ext uri="{02D57815-91ED-43cb-92C2-25804820EDAC}">
                        <c15:formulaRef>
                          <c15:sqref>'Despesas TI Anual'!$B$5:$B$13</c15:sqref>
                        </c15:formulaRef>
                      </c:ext>
                    </c:extLst>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extLst>
                      <c:ext uri="{02D57815-91ED-43cb-92C2-25804820EDAC}">
                        <c15:formulaRef>
                          <c15:sqref>'Despesas TI Anual'!$B$5:$B$13</c15:sqref>
                        </c15:formulaRef>
                      </c:ext>
                    </c:extLst>
                    <c:numCache>
                      <c:formatCode>General</c:formatCode>
                      <c:ptCount val="9"/>
                      <c:pt idx="0">
                        <c:v>2015</c:v>
                      </c:pt>
                      <c:pt idx="1">
                        <c:v>2016</c:v>
                      </c:pt>
                      <c:pt idx="2">
                        <c:v>2017</c:v>
                      </c:pt>
                      <c:pt idx="3">
                        <c:v>2018</c:v>
                      </c:pt>
                      <c:pt idx="4">
                        <c:v>2019</c:v>
                      </c:pt>
                      <c:pt idx="5">
                        <c:v>2020</c:v>
                      </c:pt>
                      <c:pt idx="6">
                        <c:v>2021</c:v>
                      </c:pt>
                      <c:pt idx="7">
                        <c:v>2022</c:v>
                      </c:pt>
                      <c:pt idx="8">
                        <c:v>2023</c:v>
                      </c:pt>
                    </c:numCache>
                  </c:numRef>
                </c:val>
                <c:smooth val="0"/>
                <c:extLst>
                  <c:ext xmlns:c16="http://schemas.microsoft.com/office/drawing/2014/chart" uri="{C3380CC4-5D6E-409C-BE32-E72D297353CC}">
                    <c16:uniqueId val="{00000001-F4DE-4BC5-9B80-4142F5E50226}"/>
                  </c:ext>
                </c:extLst>
              </c15:ser>
            </c15:filteredLineSeries>
          </c:ext>
        </c:extLst>
      </c:lineChart>
      <c:catAx>
        <c:axId val="48671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1036096640"/>
        <c:crosses val="autoZero"/>
        <c:auto val="1"/>
        <c:lblAlgn val="ctr"/>
        <c:lblOffset val="100"/>
        <c:noMultiLvlLbl val="0"/>
      </c:catAx>
      <c:valAx>
        <c:axId val="1036096640"/>
        <c:scaling>
          <c:orientation val="minMax"/>
        </c:scaling>
        <c:delete val="0"/>
        <c:axPos val="l"/>
        <c:majorGridlines>
          <c:spPr>
            <a:ln w="9525" cap="flat" cmpd="sng" algn="ctr">
              <a:solidFill>
                <a:schemeClr val="tx1">
                  <a:lumMod val="15000"/>
                  <a:lumOff val="85000"/>
                </a:schemeClr>
              </a:solidFill>
              <a:round/>
            </a:ln>
            <a:effectLst/>
          </c:spPr>
        </c:majorGridlines>
        <c:numFmt formatCode="###"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6714608"/>
        <c:crosses val="autoZero"/>
        <c:crossBetween val="between"/>
        <c:dispUnits>
          <c:builtInUnit val="millions"/>
          <c:dispUnitsLbl>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dispUnitsLbl>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50" b="0" i="0" u="none" strike="noStrike" kern="1200" baseline="0">
                <a:solidFill>
                  <a:srgbClr val="0098BA"/>
                </a:solidFill>
                <a:latin typeface="Tahoma" panose="020B0604030504040204" pitchFamily="34" charset="0"/>
                <a:ea typeface="Tahoma" panose="020B0604030504040204" pitchFamily="34" charset="0"/>
                <a:cs typeface="Tahoma" panose="020B0604030504040204" pitchFamily="34" charset="0"/>
              </a:defRPr>
            </a:pPr>
            <a:r>
              <a:rPr lang="pt-BR" sz="950" b="0">
                <a:solidFill>
                  <a:sysClr val="windowText" lastClr="000000"/>
                </a:solidFill>
                <a:latin typeface="Tahoma" panose="020B0604030504040204" pitchFamily="34" charset="0"/>
                <a:ea typeface="Tahoma" panose="020B0604030504040204" pitchFamily="34" charset="0"/>
                <a:cs typeface="Tahoma" panose="020B0604030504040204" pitchFamily="34" charset="0"/>
              </a:rPr>
              <a:t>Por Quantidade </a:t>
            </a:r>
            <a:r>
              <a:rPr lang="pt-BR" sz="950" b="0" i="0" u="none" strike="noStrike" baseline="0">
                <a:solidFill>
                  <a:sysClr val="windowText" lastClr="000000"/>
                </a:solidFill>
                <a:effectLst/>
                <a:latin typeface="Tahoma" panose="020B0604030504040204" pitchFamily="34" charset="0"/>
                <a:ea typeface="Tahoma" panose="020B0604030504040204" pitchFamily="34" charset="0"/>
                <a:cs typeface="Tahoma" panose="020B0604030504040204" pitchFamily="34" charset="0"/>
              </a:rPr>
              <a:t>em 31/12/2023</a:t>
            </a:r>
            <a:endParaRPr lang="pt-BR" sz="950" b="0">
              <a:solidFill>
                <a:sysClr val="windowText" lastClr="000000"/>
              </a:solidFill>
              <a:latin typeface="Tahoma" panose="020B0604030504040204" pitchFamily="34" charset="0"/>
              <a:ea typeface="Tahoma" panose="020B0604030504040204" pitchFamily="34" charset="0"/>
              <a:cs typeface="Tahoma" panose="020B0604030504040204" pitchFamily="34" charset="0"/>
            </a:endParaRPr>
          </a:p>
        </c:rich>
      </c:tx>
      <c:layout>
        <c:manualLayout>
          <c:xMode val="edge"/>
          <c:yMode val="edge"/>
          <c:x val="9.2413287048796325E-2"/>
          <c:y val="1.1621150493898896E-2"/>
        </c:manualLayout>
      </c:layout>
      <c:overlay val="0"/>
      <c:spPr>
        <a:noFill/>
        <a:ln>
          <a:noFill/>
        </a:ln>
        <a:effectLst/>
      </c:spPr>
      <c:txPr>
        <a:bodyPr rot="0" spcFirstLastPara="1" vertOverflow="ellipsis" vert="horz" wrap="square" anchor="ctr" anchorCtr="1"/>
        <a:lstStyle/>
        <a:p>
          <a:pPr>
            <a:defRPr sz="950" b="0" i="0" u="none" strike="noStrike" kern="1200" baseline="0">
              <a:solidFill>
                <a:srgbClr val="0098BA"/>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manualLayout>
          <c:layoutTarget val="inner"/>
          <c:xMode val="edge"/>
          <c:yMode val="edge"/>
          <c:x val="4.9129075480125059E-2"/>
          <c:y val="0.27164867278188165"/>
          <c:w val="0.52108224636279554"/>
          <c:h val="0.6013933760857213"/>
        </c:manualLayout>
      </c:layout>
      <c:pieChart>
        <c:varyColors val="1"/>
        <c:ser>
          <c:idx val="3"/>
          <c:order val="0"/>
          <c:spPr>
            <a:ln>
              <a:noFill/>
            </a:ln>
            <a:effectLst>
              <a:outerShdw algn="ctr" rotWithShape="0">
                <a:prstClr val="black">
                  <a:alpha val="0"/>
                </a:prstClr>
              </a:outerShdw>
            </a:effectLst>
          </c:spPr>
          <c:dPt>
            <c:idx val="0"/>
            <c:bubble3D val="0"/>
            <c:spPr>
              <a:solidFill>
                <a:schemeClr val="accent1"/>
              </a:solidFill>
              <a:ln>
                <a:solidFill>
                  <a:schemeClr val="bg1"/>
                </a:solidFill>
              </a:ln>
              <a:effectLst>
                <a:outerShdw algn="ctr" rotWithShape="0">
                  <a:prstClr val="black">
                    <a:alpha val="0"/>
                  </a:prstClr>
                </a:outerShdw>
              </a:effectLst>
            </c:spPr>
            <c:extLst>
              <c:ext xmlns:c16="http://schemas.microsoft.com/office/drawing/2014/chart" uri="{C3380CC4-5D6E-409C-BE32-E72D297353CC}">
                <c16:uniqueId val="{00000001-4BD9-425E-A53F-63D832FE89C2}"/>
              </c:ext>
            </c:extLst>
          </c:dPt>
          <c:dPt>
            <c:idx val="1"/>
            <c:bubble3D val="0"/>
            <c:spPr>
              <a:solidFill>
                <a:schemeClr val="accent2"/>
              </a:solidFill>
              <a:ln>
                <a:noFill/>
              </a:ln>
              <a:effectLst>
                <a:outerShdw algn="ctr" rotWithShape="0">
                  <a:prstClr val="black">
                    <a:alpha val="0"/>
                  </a:prstClr>
                </a:outerShdw>
              </a:effectLst>
            </c:spPr>
            <c:extLst>
              <c:ext xmlns:c16="http://schemas.microsoft.com/office/drawing/2014/chart" uri="{C3380CC4-5D6E-409C-BE32-E72D297353CC}">
                <c16:uniqueId val="{00000003-4BD9-425E-A53F-63D832FE89C2}"/>
              </c:ext>
            </c:extLst>
          </c:dPt>
          <c:dPt>
            <c:idx val="2"/>
            <c:bubble3D val="0"/>
            <c:spPr>
              <a:solidFill>
                <a:schemeClr val="accent3"/>
              </a:solidFill>
              <a:ln>
                <a:noFill/>
              </a:ln>
              <a:effectLst>
                <a:outerShdw algn="ctr" rotWithShape="0">
                  <a:prstClr val="black">
                    <a:alpha val="0"/>
                  </a:prstClr>
                </a:outerShdw>
              </a:effectLst>
            </c:spPr>
            <c:extLst>
              <c:ext xmlns:c16="http://schemas.microsoft.com/office/drawing/2014/chart" uri="{C3380CC4-5D6E-409C-BE32-E72D297353CC}">
                <c16:uniqueId val="{00000005-4BD9-425E-A53F-63D832FE89C2}"/>
              </c:ext>
            </c:extLst>
          </c:dPt>
          <c:dPt>
            <c:idx val="3"/>
            <c:bubble3D val="0"/>
            <c:spPr>
              <a:solidFill>
                <a:schemeClr val="accent4"/>
              </a:solidFill>
              <a:ln>
                <a:noFill/>
              </a:ln>
              <a:effectLst>
                <a:outerShdw algn="ctr" rotWithShape="0">
                  <a:prstClr val="black">
                    <a:alpha val="0"/>
                  </a:prstClr>
                </a:outerShdw>
              </a:effectLst>
            </c:spPr>
            <c:extLst>
              <c:ext xmlns:c16="http://schemas.microsoft.com/office/drawing/2014/chart" uri="{C3380CC4-5D6E-409C-BE32-E72D297353CC}">
                <c16:uniqueId val="{00000007-4BD9-425E-A53F-63D832FE89C2}"/>
              </c:ext>
            </c:extLst>
          </c:dPt>
          <c:dPt>
            <c:idx val="4"/>
            <c:bubble3D val="0"/>
            <c:spPr>
              <a:solidFill>
                <a:schemeClr val="accent5"/>
              </a:solidFill>
              <a:ln>
                <a:noFill/>
              </a:ln>
              <a:effectLst>
                <a:outerShdw algn="ctr" rotWithShape="0">
                  <a:prstClr val="black">
                    <a:alpha val="0"/>
                  </a:prstClr>
                </a:outerShdw>
              </a:effectLst>
            </c:spPr>
            <c:extLst>
              <c:ext xmlns:c16="http://schemas.microsoft.com/office/drawing/2014/chart" uri="{C3380CC4-5D6E-409C-BE32-E72D297353CC}">
                <c16:uniqueId val="{00000009-4BD9-425E-A53F-63D832FE89C2}"/>
              </c:ext>
            </c:extLst>
          </c:dPt>
          <c:dPt>
            <c:idx val="5"/>
            <c:bubble3D val="0"/>
            <c:spPr>
              <a:solidFill>
                <a:schemeClr val="accent6"/>
              </a:solidFill>
              <a:ln>
                <a:noFill/>
              </a:ln>
              <a:effectLst>
                <a:outerShdw algn="ctr" rotWithShape="0">
                  <a:prstClr val="black">
                    <a:alpha val="0"/>
                  </a:prstClr>
                </a:outerShdw>
              </a:effectLst>
            </c:spPr>
            <c:extLst>
              <c:ext xmlns:c16="http://schemas.microsoft.com/office/drawing/2014/chart" uri="{C3380CC4-5D6E-409C-BE32-E72D297353CC}">
                <c16:uniqueId val="{0000000B-4BD9-425E-A53F-63D832FE89C2}"/>
              </c:ext>
            </c:extLst>
          </c:dPt>
          <c:dPt>
            <c:idx val="6"/>
            <c:bubble3D val="0"/>
            <c:spPr>
              <a:solidFill>
                <a:schemeClr val="accent1">
                  <a:lumMod val="60000"/>
                </a:schemeClr>
              </a:solidFill>
              <a:ln>
                <a:noFill/>
              </a:ln>
              <a:effectLst>
                <a:outerShdw algn="ctr" rotWithShape="0">
                  <a:prstClr val="black">
                    <a:alpha val="0"/>
                  </a:prstClr>
                </a:outerShdw>
              </a:effectLst>
            </c:spPr>
            <c:extLst>
              <c:ext xmlns:c16="http://schemas.microsoft.com/office/drawing/2014/chart" uri="{C3380CC4-5D6E-409C-BE32-E72D297353CC}">
                <c16:uniqueId val="{0000000D-4BD9-425E-A53F-63D832FE89C2}"/>
              </c:ext>
            </c:extLst>
          </c:dPt>
          <c:dPt>
            <c:idx val="7"/>
            <c:bubble3D val="0"/>
            <c:spPr>
              <a:solidFill>
                <a:srgbClr val="0098BA"/>
              </a:solidFill>
              <a:ln>
                <a:noFill/>
              </a:ln>
              <a:effectLst>
                <a:outerShdw algn="ctr" rotWithShape="0">
                  <a:prstClr val="black">
                    <a:alpha val="0"/>
                  </a:prstClr>
                </a:outerShdw>
              </a:effectLst>
            </c:spPr>
            <c:extLst>
              <c:ext xmlns:c16="http://schemas.microsoft.com/office/drawing/2014/chart" uri="{C3380CC4-5D6E-409C-BE32-E72D297353CC}">
                <c16:uniqueId val="{0000000F-4BD9-425E-A53F-63D832FE89C2}"/>
              </c:ext>
            </c:extLst>
          </c:dPt>
          <c:dLbls>
            <c:dLbl>
              <c:idx val="0"/>
              <c:layout>
                <c:manualLayout>
                  <c:x val="-8.1355861767279089E-2"/>
                  <c:y val="2.581291921843101E-2"/>
                </c:manualLayout>
              </c:layout>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BD9-425E-A53F-63D832FE89C2}"/>
                </c:ext>
              </c:extLst>
            </c:dLbl>
            <c:dLbl>
              <c:idx val="1"/>
              <c:layout>
                <c:manualLayout>
                  <c:x val="-8.7613735783027124E-3"/>
                  <c:y val="1.0440726159230054E-2"/>
                </c:manualLayout>
              </c:layout>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BD9-425E-A53F-63D832FE89C2}"/>
                </c:ext>
              </c:extLst>
            </c:dLbl>
            <c:dLbl>
              <c:idx val="2"/>
              <c:layout>
                <c:manualLayout>
                  <c:x val="2.675688316986281E-2"/>
                  <c:y val="-8.793733257569632E-3"/>
                </c:manualLayout>
              </c:layout>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BD9-425E-A53F-63D832FE89C2}"/>
                </c:ext>
              </c:extLst>
            </c:dLbl>
            <c:dLbl>
              <c:idx val="3"/>
              <c:layout>
                <c:manualLayout>
                  <c:x val="-0.10763417301734113"/>
                  <c:y val="9.794991476580886E-2"/>
                </c:manualLayout>
              </c:layout>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BD9-425E-A53F-63D832FE89C2}"/>
                </c:ext>
              </c:extLst>
            </c:dLbl>
            <c:dLbl>
              <c:idx val="4"/>
              <c:layout>
                <c:manualLayout>
                  <c:x val="-4.6044880834737924E-3"/>
                  <c:y val="-5.8654923289227973E-2"/>
                </c:manualLayout>
              </c:layout>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BD9-425E-A53F-63D832FE89C2}"/>
                </c:ext>
              </c:extLst>
            </c:dLbl>
            <c:dLbl>
              <c:idx val="5"/>
              <c:layout>
                <c:manualLayout>
                  <c:x val="-0.12966066825389569"/>
                  <c:y val="-6.4919230457017613E-2"/>
                </c:manualLayout>
              </c:layout>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BD9-425E-A53F-63D832FE89C2}"/>
                </c:ext>
              </c:extLst>
            </c:dLbl>
            <c:dLbl>
              <c:idx val="6"/>
              <c:layout>
                <c:manualLayout>
                  <c:x val="1.0493875765529207E-2"/>
                  <c:y val="2.8174030329542139E-2"/>
                </c:manualLayout>
              </c:layout>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BD9-425E-A53F-63D832FE89C2}"/>
                </c:ext>
              </c:extLst>
            </c:dLbl>
            <c:dLbl>
              <c:idx val="7"/>
              <c:layout>
                <c:manualLayout>
                  <c:x val="0.1537484689413823"/>
                  <c:y val="-0.18187554680664916"/>
                </c:manualLayout>
              </c:layout>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4BD9-425E-A53F-63D832FE89C2}"/>
                </c:ext>
              </c:extLst>
            </c:dLbl>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Tahoma" panose="020B0604030504040204" pitchFamily="34" charset="0"/>
                    <a:ea typeface="Tahoma" panose="020B0604030504040204" pitchFamily="34" charset="0"/>
                    <a:cs typeface="Tahoma" panose="020B0604030504040204" pitchFamily="34" charset="0"/>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Anualizados'!$B$2:$B$9</c:f>
              <c:strCache>
                <c:ptCount val="8"/>
                <c:pt idx="0">
                  <c:v>Adesão à Ata de RP</c:v>
                </c:pt>
                <c:pt idx="1">
                  <c:v>Fechada Presencial</c:v>
                </c:pt>
                <c:pt idx="2">
                  <c:v>Credenciamento</c:v>
                </c:pt>
                <c:pt idx="3">
                  <c:v>Dispensa</c:v>
                </c:pt>
                <c:pt idx="4">
                  <c:v>Dispensa - Imóveis</c:v>
                </c:pt>
                <c:pt idx="5">
                  <c:v>Inexigibilidade</c:v>
                </c:pt>
                <c:pt idx="6">
                  <c:v>Inexigibilidade - Imóveis</c:v>
                </c:pt>
                <c:pt idx="7">
                  <c:v>Pregão</c:v>
                </c:pt>
              </c:strCache>
            </c:strRef>
          </c:cat>
          <c:val>
            <c:numRef>
              <c:f>'Contratos Anualizados'!$C$2:$C$9</c:f>
              <c:numCache>
                <c:formatCode>General</c:formatCode>
                <c:ptCount val="8"/>
                <c:pt idx="0">
                  <c:v>0</c:v>
                </c:pt>
                <c:pt idx="1">
                  <c:v>2</c:v>
                </c:pt>
                <c:pt idx="2">
                  <c:v>6</c:v>
                </c:pt>
                <c:pt idx="3">
                  <c:v>13</c:v>
                </c:pt>
                <c:pt idx="4">
                  <c:v>5</c:v>
                </c:pt>
                <c:pt idx="5">
                  <c:v>17</c:v>
                </c:pt>
                <c:pt idx="6">
                  <c:v>3</c:v>
                </c:pt>
                <c:pt idx="7">
                  <c:v>69</c:v>
                </c:pt>
              </c:numCache>
            </c:numRef>
          </c:val>
          <c:extLst>
            <c:ext xmlns:c16="http://schemas.microsoft.com/office/drawing/2014/chart" uri="{C3380CC4-5D6E-409C-BE32-E72D297353CC}">
              <c16:uniqueId val="{00000010-4BD9-425E-A53F-63D832FE89C2}"/>
            </c:ext>
          </c:extLst>
        </c:ser>
        <c:ser>
          <c:idx val="0"/>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4BD9-425E-A53F-63D832FE89C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4BD9-425E-A53F-63D832FE89C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4BD9-425E-A53F-63D832FE89C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4BD9-425E-A53F-63D832FE89C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A-4BD9-425E-A53F-63D832FE89C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C-4BD9-425E-A53F-63D832FE89C2}"/>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E-4BD9-425E-A53F-63D832FE89C2}"/>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0-4BD9-425E-A53F-63D832FE89C2}"/>
              </c:ext>
            </c:extLst>
          </c:dPt>
          <c:dLbls>
            <c:dLbl>
              <c:idx val="0"/>
              <c:layout>
                <c:manualLayout>
                  <c:x val="-2.9333114610673665E-2"/>
                  <c:y val="0.1442592592592592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2-4BD9-425E-A53F-63D832FE89C2}"/>
                </c:ext>
              </c:extLst>
            </c:dLbl>
            <c:dLbl>
              <c:idx val="1"/>
              <c:layout>
                <c:manualLayout>
                  <c:x val="-0.18262467191601056"/>
                  <c:y val="-6.061169437153752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4-4BD9-425E-A53F-63D832FE89C2}"/>
                </c:ext>
              </c:extLst>
            </c:dLbl>
            <c:dLbl>
              <c:idx val="2"/>
              <c:layout>
                <c:manualLayout>
                  <c:x val="-0.10646806649168854"/>
                  <c:y val="-2.042906095071449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6-4BD9-425E-A53F-63D832FE89C2}"/>
                </c:ext>
              </c:extLst>
            </c:dLbl>
            <c:dLbl>
              <c:idx val="3"/>
              <c:layout>
                <c:manualLayout>
                  <c:x val="3.5753937007874069E-2"/>
                  <c:y val="1.130322251385243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8-4BD9-425E-A53F-63D832FE89C2}"/>
                </c:ext>
              </c:extLst>
            </c:dLbl>
            <c:dLbl>
              <c:idx val="4"/>
              <c:layout>
                <c:manualLayout>
                  <c:x val="5.7586832895888014E-2"/>
                  <c:y val="7.896799358413526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A-4BD9-425E-A53F-63D832FE89C2}"/>
                </c:ext>
              </c:extLst>
            </c:dLbl>
            <c:dLbl>
              <c:idx val="5"/>
              <c:layout>
                <c:manualLayout>
                  <c:x val="-6.1330708661417321E-2"/>
                  <c:y val="9.610345581802270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C-4BD9-425E-A53F-63D832FE89C2}"/>
                </c:ext>
              </c:extLst>
            </c:dLbl>
            <c:dLbl>
              <c:idx val="6"/>
              <c:layout>
                <c:manualLayout>
                  <c:x val="5.6087707786526685E-2"/>
                  <c:y val="6.627806940799066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E-4BD9-425E-A53F-63D832FE89C2}"/>
                </c:ext>
              </c:extLst>
            </c:dLbl>
            <c:spPr>
              <a:solidFill>
                <a:schemeClr val="bg1"/>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Anualizados'!$B$2:$B$9</c:f>
              <c:strCache>
                <c:ptCount val="8"/>
                <c:pt idx="0">
                  <c:v>Adesão à Ata de RP</c:v>
                </c:pt>
                <c:pt idx="1">
                  <c:v>Fechada Presencial</c:v>
                </c:pt>
                <c:pt idx="2">
                  <c:v>Credenciamento</c:v>
                </c:pt>
                <c:pt idx="3">
                  <c:v>Dispensa</c:v>
                </c:pt>
                <c:pt idx="4">
                  <c:v>Dispensa - Imóveis</c:v>
                </c:pt>
                <c:pt idx="5">
                  <c:v>Inexigibilidade</c:v>
                </c:pt>
                <c:pt idx="6">
                  <c:v>Inexigibilidade - Imóveis</c:v>
                </c:pt>
                <c:pt idx="7">
                  <c:v>Pregão</c:v>
                </c:pt>
              </c:strCache>
            </c:strRef>
          </c:cat>
          <c:val>
            <c:numRef>
              <c:f>[10]Planilha2!$E$2:$E$9</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21-4BD9-425E-A53F-63D832FE89C2}"/>
            </c:ext>
          </c:extLst>
        </c:ser>
        <c:ser>
          <c:idx val="1"/>
          <c:order val="2"/>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4BD9-425E-A53F-63D832FE89C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4BD9-425E-A53F-63D832FE89C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7-4BD9-425E-A53F-63D832FE89C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9-4BD9-425E-A53F-63D832FE89C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B-4BD9-425E-A53F-63D832FE89C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D-4BD9-425E-A53F-63D832FE89C2}"/>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F-4BD9-425E-A53F-63D832FE89C2}"/>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1-4BD9-425E-A53F-63D832FE89C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Anualizados'!$B$2:$B$9</c:f>
              <c:strCache>
                <c:ptCount val="8"/>
                <c:pt idx="0">
                  <c:v>Adesão à Ata de RP</c:v>
                </c:pt>
                <c:pt idx="1">
                  <c:v>Fechada Presencial</c:v>
                </c:pt>
                <c:pt idx="2">
                  <c:v>Credenciamento</c:v>
                </c:pt>
                <c:pt idx="3">
                  <c:v>Dispensa</c:v>
                </c:pt>
                <c:pt idx="4">
                  <c:v>Dispensa - Imóveis</c:v>
                </c:pt>
                <c:pt idx="5">
                  <c:v>Inexigibilidade</c:v>
                </c:pt>
                <c:pt idx="6">
                  <c:v>Inexigibilidade - Imóveis</c:v>
                </c:pt>
                <c:pt idx="7">
                  <c:v>Pregão</c:v>
                </c:pt>
              </c:strCache>
            </c:strRef>
          </c:cat>
          <c:val>
            <c:numRef>
              <c:f>[11]Planilha2!$D$2:$D$9</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32-4BD9-425E-A53F-63D832FE89C2}"/>
            </c:ext>
          </c:extLst>
        </c:ser>
        <c:ser>
          <c:idx val="2"/>
          <c:order val="3"/>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4-4BD9-425E-A53F-63D832FE89C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6-4BD9-425E-A53F-63D832FE89C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8-4BD9-425E-A53F-63D832FE89C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A-4BD9-425E-A53F-63D832FE89C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C-4BD9-425E-A53F-63D832FE89C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E-4BD9-425E-A53F-63D832FE89C2}"/>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0-4BD9-425E-A53F-63D832FE89C2}"/>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2-4BD9-425E-A53F-63D832FE89C2}"/>
              </c:ext>
            </c:extLst>
          </c:dPt>
          <c:dLbls>
            <c:spPr>
              <a:solidFill>
                <a:schemeClr val="bg1"/>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Anualizados'!$B$2:$B$9</c:f>
              <c:strCache>
                <c:ptCount val="8"/>
                <c:pt idx="0">
                  <c:v>Adesão à Ata de RP</c:v>
                </c:pt>
                <c:pt idx="1">
                  <c:v>Fechada Presencial</c:v>
                </c:pt>
                <c:pt idx="2">
                  <c:v>Credenciamento</c:v>
                </c:pt>
                <c:pt idx="3">
                  <c:v>Dispensa</c:v>
                </c:pt>
                <c:pt idx="4">
                  <c:v>Dispensa - Imóveis</c:v>
                </c:pt>
                <c:pt idx="5">
                  <c:v>Inexigibilidade</c:v>
                </c:pt>
                <c:pt idx="6">
                  <c:v>Inexigibilidade - Imóveis</c:v>
                </c:pt>
                <c:pt idx="7">
                  <c:v>Pregão</c:v>
                </c:pt>
              </c:strCache>
            </c:strRef>
          </c:cat>
          <c:val>
            <c:numRef>
              <c:f>[11]Planilha2!$E$2:$E$9</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43-4BD9-425E-A53F-63D832FE89C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9746864975211433"/>
          <c:y val="0.19459845264838699"/>
          <c:w val="0.39775237772697769"/>
          <c:h val="0.72971674589485147"/>
        </c:manualLayout>
      </c:layout>
      <c:overlay val="0"/>
      <c:spPr>
        <a:solidFill>
          <a:schemeClr val="bg1">
            <a:alpha val="39000"/>
          </a:schemeClr>
        </a:solidFill>
        <a:ln>
          <a:solidFill>
            <a:schemeClr val="bg1"/>
          </a:solidFill>
        </a:ln>
        <a:effectLst/>
      </c:spPr>
      <c:txPr>
        <a:bodyPr rot="0" spcFirstLastPara="1" vertOverflow="ellipsis" vert="horz" wrap="square" anchor="ctr" anchorCtr="1"/>
        <a:lstStyle/>
        <a:p>
          <a:pPr>
            <a:defRPr sz="7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50" b="0" i="0" u="none" strike="noStrike" kern="1200" baseline="0">
                <a:solidFill>
                  <a:srgbClr val="0098BA"/>
                </a:solidFill>
                <a:latin typeface="Tahoma" panose="020B0604030504040204" pitchFamily="34" charset="0"/>
                <a:ea typeface="Tahoma" panose="020B0604030504040204" pitchFamily="34" charset="0"/>
                <a:cs typeface="Tahoma" panose="020B0604030504040204" pitchFamily="34" charset="0"/>
              </a:defRPr>
            </a:pPr>
            <a:r>
              <a:rPr lang="pt-BR" sz="950" b="0">
                <a:solidFill>
                  <a:sysClr val="windowText" lastClr="000000"/>
                </a:solidFill>
                <a:latin typeface="Tahoma" panose="020B0604030504040204" pitchFamily="34" charset="0"/>
                <a:ea typeface="Tahoma" panose="020B0604030504040204" pitchFamily="34" charset="0"/>
                <a:cs typeface="Tahoma" panose="020B0604030504040204" pitchFamily="34" charset="0"/>
              </a:rPr>
              <a:t>Por Valor Anualizado </a:t>
            </a:r>
            <a:r>
              <a:rPr lang="pt-BR" sz="950" b="0" i="0" u="none" strike="noStrike" baseline="0">
                <a:solidFill>
                  <a:sysClr val="windowText" lastClr="000000"/>
                </a:solidFill>
                <a:effectLst/>
                <a:latin typeface="Tahoma" panose="020B0604030504040204" pitchFamily="34" charset="0"/>
                <a:ea typeface="Tahoma" panose="020B0604030504040204" pitchFamily="34" charset="0"/>
                <a:cs typeface="Tahoma" panose="020B0604030504040204" pitchFamily="34" charset="0"/>
              </a:rPr>
              <a:t>em 31/12/2023</a:t>
            </a:r>
            <a:endParaRPr lang="pt-BR" sz="950" b="0">
              <a:solidFill>
                <a:sysClr val="windowText" lastClr="000000"/>
              </a:solidFill>
              <a:latin typeface="Tahoma" panose="020B0604030504040204" pitchFamily="34" charset="0"/>
              <a:ea typeface="Tahoma" panose="020B0604030504040204" pitchFamily="34" charset="0"/>
              <a:cs typeface="Tahoma" panose="020B0604030504040204" pitchFamily="34" charset="0"/>
            </a:endParaRPr>
          </a:p>
        </c:rich>
      </c:tx>
      <c:layout>
        <c:manualLayout>
          <c:xMode val="edge"/>
          <c:yMode val="edge"/>
          <c:x val="0.20077127527200692"/>
          <c:y val="5.7405281285878304E-3"/>
        </c:manualLayout>
      </c:layout>
      <c:overlay val="0"/>
      <c:spPr>
        <a:noFill/>
        <a:ln>
          <a:noFill/>
        </a:ln>
        <a:effectLst/>
      </c:spPr>
      <c:txPr>
        <a:bodyPr rot="0" spcFirstLastPara="1" vertOverflow="ellipsis" vert="horz" wrap="square" anchor="ctr" anchorCtr="1"/>
        <a:lstStyle/>
        <a:p>
          <a:pPr>
            <a:defRPr sz="950" b="0" i="0" u="none" strike="noStrike" kern="1200" baseline="0">
              <a:solidFill>
                <a:srgbClr val="0098BA"/>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pieChart>
        <c:varyColors val="1"/>
        <c:ser>
          <c:idx val="0"/>
          <c:order val="0"/>
          <c:spPr>
            <a:effectLst>
              <a:outerShdw blurRad="1270000" sx="102000" sy="102000" algn="ctr" rotWithShape="0">
                <a:prstClr val="black">
                  <a:alpha val="0"/>
                </a:prstClr>
              </a:outerShdw>
            </a:effectLst>
          </c:spPr>
          <c:dPt>
            <c:idx val="0"/>
            <c:bubble3D val="0"/>
            <c:spPr>
              <a:solidFill>
                <a:schemeClr val="accent1"/>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1-49E0-453C-9D63-42A45CB4C0C9}"/>
              </c:ext>
            </c:extLst>
          </c:dPt>
          <c:dPt>
            <c:idx val="1"/>
            <c:bubble3D val="0"/>
            <c:spPr>
              <a:solidFill>
                <a:schemeClr val="accent2"/>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3-49E0-453C-9D63-42A45CB4C0C9}"/>
              </c:ext>
            </c:extLst>
          </c:dPt>
          <c:dPt>
            <c:idx val="2"/>
            <c:bubble3D val="0"/>
            <c:spPr>
              <a:solidFill>
                <a:schemeClr val="accent3"/>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5-49E0-453C-9D63-42A45CB4C0C9}"/>
              </c:ext>
            </c:extLst>
          </c:dPt>
          <c:dPt>
            <c:idx val="3"/>
            <c:bubble3D val="0"/>
            <c:spPr>
              <a:solidFill>
                <a:schemeClr val="accent4"/>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7-49E0-453C-9D63-42A45CB4C0C9}"/>
              </c:ext>
            </c:extLst>
          </c:dPt>
          <c:dPt>
            <c:idx val="4"/>
            <c:bubble3D val="0"/>
            <c:spPr>
              <a:solidFill>
                <a:schemeClr val="accent5"/>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9-49E0-453C-9D63-42A45CB4C0C9}"/>
              </c:ext>
            </c:extLst>
          </c:dPt>
          <c:dPt>
            <c:idx val="5"/>
            <c:bubble3D val="0"/>
            <c:spPr>
              <a:solidFill>
                <a:schemeClr val="accent6"/>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B-49E0-453C-9D63-42A45CB4C0C9}"/>
              </c:ext>
            </c:extLst>
          </c:dPt>
          <c:dPt>
            <c:idx val="6"/>
            <c:bubble3D val="0"/>
            <c:spPr>
              <a:solidFill>
                <a:schemeClr val="accent1">
                  <a:lumMod val="60000"/>
                </a:schemeClr>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D-49E0-453C-9D63-42A45CB4C0C9}"/>
              </c:ext>
            </c:extLst>
          </c:dPt>
          <c:dPt>
            <c:idx val="7"/>
            <c:bubble3D val="0"/>
            <c:spPr>
              <a:solidFill>
                <a:srgbClr val="0098BA"/>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F-49E0-453C-9D63-42A45CB4C0C9}"/>
              </c:ext>
            </c:extLst>
          </c:dPt>
          <c:dLbls>
            <c:dLbl>
              <c:idx val="0"/>
              <c:layout>
                <c:manualLayout>
                  <c:x val="-0.15320156204866958"/>
                  <c:y val="2.487191696418171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9E0-453C-9D63-42A45CB4C0C9}"/>
                </c:ext>
              </c:extLst>
            </c:dLbl>
            <c:dLbl>
              <c:idx val="1"/>
              <c:layout>
                <c:manualLayout>
                  <c:x val="-7.3048658341242356E-2"/>
                  <c:y val="-3.72058994831719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9E0-453C-9D63-42A45CB4C0C9}"/>
                </c:ext>
              </c:extLst>
            </c:dLbl>
            <c:dLbl>
              <c:idx val="2"/>
              <c:layout>
                <c:manualLayout>
                  <c:x val="2.692883375285569E-2"/>
                  <c:y val="-4.119215827323429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9E0-453C-9D63-42A45CB4C0C9}"/>
                </c:ext>
              </c:extLst>
            </c:dLbl>
            <c:dLbl>
              <c:idx val="3"/>
              <c:layout>
                <c:manualLayout>
                  <c:x val="3.5753937007874069E-2"/>
                  <c:y val="1.130322251385243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9E0-453C-9D63-42A45CB4C0C9}"/>
                </c:ext>
              </c:extLst>
            </c:dLbl>
            <c:dLbl>
              <c:idx val="4"/>
              <c:layout>
                <c:manualLayout>
                  <c:x val="5.7586852381899055E-2"/>
                  <c:y val="2.18694503311664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9E0-453C-9D63-42A45CB4C0C9}"/>
                </c:ext>
              </c:extLst>
            </c:dLbl>
            <c:dLbl>
              <c:idx val="5"/>
              <c:layout>
                <c:manualLayout>
                  <c:x val="-6.1330708661417321E-2"/>
                  <c:y val="9.610345581802270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9E0-453C-9D63-42A45CB4C0C9}"/>
                </c:ext>
              </c:extLst>
            </c:dLbl>
            <c:dLbl>
              <c:idx val="6"/>
              <c:layout>
                <c:manualLayout>
                  <c:x val="8.4460916897060086E-3"/>
                  <c:y val="-1.158316150008889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9E0-453C-9D63-42A45CB4C0C9}"/>
                </c:ext>
              </c:extLst>
            </c:dLbl>
            <c:dLbl>
              <c:idx val="7"/>
              <c:spPr>
                <a:noFill/>
                <a:ln>
                  <a:noFill/>
                </a:ln>
                <a:effectLst>
                  <a:outerShdw blurRad="12700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dLblPos val="ctr"/>
              <c:showLegendKey val="0"/>
              <c:showVal val="0"/>
              <c:showCatName val="0"/>
              <c:showSerName val="0"/>
              <c:showPercent val="1"/>
              <c:showBubbleSize val="0"/>
              <c:extLst>
                <c:ext xmlns:c16="http://schemas.microsoft.com/office/drawing/2014/chart" uri="{C3380CC4-5D6E-409C-BE32-E72D297353CC}">
                  <c16:uniqueId val="{0000000F-49E0-453C-9D63-42A45CB4C0C9}"/>
                </c:ext>
              </c:extLst>
            </c:dLbl>
            <c:spPr>
              <a:noFill/>
              <a:ln>
                <a:noFill/>
              </a:ln>
              <a:effectLst>
                <a:outerShdw blurRad="12700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Anualizados'!$B$2:$B$9</c:f>
              <c:strCache>
                <c:ptCount val="8"/>
                <c:pt idx="0">
                  <c:v>Adesão à Ata de RP</c:v>
                </c:pt>
                <c:pt idx="1">
                  <c:v>Fechada Presencial</c:v>
                </c:pt>
                <c:pt idx="2">
                  <c:v>Credenciamento</c:v>
                </c:pt>
                <c:pt idx="3">
                  <c:v>Dispensa</c:v>
                </c:pt>
                <c:pt idx="4">
                  <c:v>Dispensa - Imóveis</c:v>
                </c:pt>
                <c:pt idx="5">
                  <c:v>Inexigibilidade</c:v>
                </c:pt>
                <c:pt idx="6">
                  <c:v>Inexigibilidade - Imóveis</c:v>
                </c:pt>
                <c:pt idx="7">
                  <c:v>Pregão</c:v>
                </c:pt>
              </c:strCache>
            </c:strRef>
          </c:cat>
          <c:val>
            <c:numRef>
              <c:f>'Contratos Anualizados'!$E$2:$E$9</c:f>
              <c:numCache>
                <c:formatCode>"R$"\ #,##0.00</c:formatCode>
                <c:ptCount val="8"/>
                <c:pt idx="0">
                  <c:v>0</c:v>
                </c:pt>
                <c:pt idx="1">
                  <c:v>408019.08</c:v>
                </c:pt>
                <c:pt idx="2">
                  <c:v>75.600000000000009</c:v>
                </c:pt>
                <c:pt idx="3">
                  <c:v>2342298.7400000002</c:v>
                </c:pt>
                <c:pt idx="4">
                  <c:v>2166972.2419999996</c:v>
                </c:pt>
                <c:pt idx="5">
                  <c:v>6569029.4116666662</c:v>
                </c:pt>
                <c:pt idx="6">
                  <c:v>33360.720000000001</c:v>
                </c:pt>
                <c:pt idx="7">
                  <c:v>65659543.313023806</c:v>
                </c:pt>
              </c:numCache>
            </c:numRef>
          </c:val>
          <c:extLst>
            <c:ext xmlns:c16="http://schemas.microsoft.com/office/drawing/2014/chart" uri="{C3380CC4-5D6E-409C-BE32-E72D297353CC}">
              <c16:uniqueId val="{00000010-49E0-453C-9D63-42A45CB4C0C9}"/>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49E0-453C-9D63-42A45CB4C0C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49E0-453C-9D63-42A45CB4C0C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49E0-453C-9D63-42A45CB4C0C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49E0-453C-9D63-42A45CB4C0C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A-49E0-453C-9D63-42A45CB4C0C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C-49E0-453C-9D63-42A45CB4C0C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E-49E0-453C-9D63-42A45CB4C0C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0-49E0-453C-9D63-42A45CB4C0C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Anualizados'!$B$2:$B$9</c:f>
              <c:strCache>
                <c:ptCount val="8"/>
                <c:pt idx="0">
                  <c:v>Adesão à Ata de RP</c:v>
                </c:pt>
                <c:pt idx="1">
                  <c:v>Fechada Presencial</c:v>
                </c:pt>
                <c:pt idx="2">
                  <c:v>Credenciamento</c:v>
                </c:pt>
                <c:pt idx="3">
                  <c:v>Dispensa</c:v>
                </c:pt>
                <c:pt idx="4">
                  <c:v>Dispensa - Imóveis</c:v>
                </c:pt>
                <c:pt idx="5">
                  <c:v>Inexigibilidade</c:v>
                </c:pt>
                <c:pt idx="6">
                  <c:v>Inexigibilidade - Imóveis</c:v>
                </c:pt>
                <c:pt idx="7">
                  <c:v>Pregão</c:v>
                </c:pt>
              </c:strCache>
            </c:strRef>
          </c:cat>
          <c:val>
            <c:numRef>
              <c:f>[11]Planilha2!$D$2:$D$9</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21-49E0-453C-9D63-42A45CB4C0C9}"/>
            </c:ext>
          </c:extLst>
        </c:ser>
        <c:ser>
          <c:idx val="2"/>
          <c:order val="2"/>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49E0-453C-9D63-42A45CB4C0C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49E0-453C-9D63-42A45CB4C0C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7-49E0-453C-9D63-42A45CB4C0C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9-49E0-453C-9D63-42A45CB4C0C9}"/>
              </c:ext>
            </c:extLst>
          </c:dPt>
          <c:dPt>
            <c:idx val="4"/>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B-49E0-453C-9D63-42A45CB4C0C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D-49E0-453C-9D63-42A45CB4C0C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F-49E0-453C-9D63-42A45CB4C0C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1-49E0-453C-9D63-42A45CB4C0C9}"/>
              </c:ext>
            </c:extLst>
          </c:dPt>
          <c:dLbls>
            <c:spPr>
              <a:solidFill>
                <a:schemeClr val="bg1"/>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Anualizados'!$B$2:$B$9</c:f>
              <c:strCache>
                <c:ptCount val="8"/>
                <c:pt idx="0">
                  <c:v>Adesão à Ata de RP</c:v>
                </c:pt>
                <c:pt idx="1">
                  <c:v>Fechada Presencial</c:v>
                </c:pt>
                <c:pt idx="2">
                  <c:v>Credenciamento</c:v>
                </c:pt>
                <c:pt idx="3">
                  <c:v>Dispensa</c:v>
                </c:pt>
                <c:pt idx="4">
                  <c:v>Dispensa - Imóveis</c:v>
                </c:pt>
                <c:pt idx="5">
                  <c:v>Inexigibilidade</c:v>
                </c:pt>
                <c:pt idx="6">
                  <c:v>Inexigibilidade - Imóveis</c:v>
                </c:pt>
                <c:pt idx="7">
                  <c:v>Pregão</c:v>
                </c:pt>
              </c:strCache>
            </c:strRef>
          </c:cat>
          <c:val>
            <c:numRef>
              <c:f>[11]Planilha2!$E$2:$E$9</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32-49E0-453C-9D63-42A45CB4C0C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0321291696944956"/>
          <c:y val="0.21970628384425539"/>
          <c:w val="0.39173019301790818"/>
          <c:h val="0.72091993093285844"/>
        </c:manualLayout>
      </c:layout>
      <c:overlay val="0"/>
      <c:spPr>
        <a:solidFill>
          <a:schemeClr val="bg1">
            <a:alpha val="39000"/>
          </a:schemeClr>
        </a:solidFill>
        <a:ln>
          <a:noFill/>
        </a:ln>
        <a:effectLst>
          <a:glow rad="127000">
            <a:schemeClr val="bg1"/>
          </a:glow>
        </a:effectLst>
      </c:spPr>
      <c:txPr>
        <a:bodyPr rot="0" spcFirstLastPara="1" vertOverflow="ellipsis" vert="horz" wrap="square" anchor="ctr" anchorCtr="1"/>
        <a:lstStyle/>
        <a:p>
          <a:pPr>
            <a:defRPr sz="7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5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pt-BR" sz="950" b="0">
                <a:solidFill>
                  <a:sysClr val="windowText" lastClr="000000"/>
                </a:solidFill>
                <a:latin typeface="Tahoma" panose="020B0604030504040204" pitchFamily="34" charset="0"/>
                <a:ea typeface="Tahoma" panose="020B0604030504040204" pitchFamily="34" charset="0"/>
                <a:cs typeface="Tahoma" panose="020B0604030504040204" pitchFamily="34" charset="0"/>
              </a:rPr>
              <a:t>Por Quantidade </a:t>
            </a:r>
            <a:r>
              <a:rPr lang="pt-BR" sz="950" b="0" i="0" u="none" strike="noStrike" baseline="0">
                <a:solidFill>
                  <a:sysClr val="windowText" lastClr="000000"/>
                </a:solidFill>
                <a:effectLst/>
                <a:latin typeface="Tahoma" panose="020B0604030504040204" pitchFamily="34" charset="0"/>
                <a:ea typeface="Tahoma" panose="020B0604030504040204" pitchFamily="34" charset="0"/>
                <a:cs typeface="Tahoma" panose="020B0604030504040204" pitchFamily="34" charset="0"/>
              </a:rPr>
              <a:t>em 31/12/2023</a:t>
            </a:r>
            <a:endParaRPr lang="pt-BR" sz="950" b="0">
              <a:solidFill>
                <a:sysClr val="windowText" lastClr="000000"/>
              </a:solidFill>
              <a:latin typeface="Tahoma" panose="020B0604030504040204" pitchFamily="34" charset="0"/>
              <a:ea typeface="Tahoma" panose="020B0604030504040204" pitchFamily="34" charset="0"/>
              <a:cs typeface="Tahoma" panose="020B0604030504040204" pitchFamily="34" charset="0"/>
            </a:endParaRPr>
          </a:p>
        </c:rich>
      </c:tx>
      <c:layout>
        <c:manualLayout>
          <c:xMode val="edge"/>
          <c:yMode val="edge"/>
          <c:x val="8.580962316189604E-2"/>
          <c:y val="3.2119914346895075E-2"/>
        </c:manualLayout>
      </c:layout>
      <c:overlay val="0"/>
      <c:spPr>
        <a:noFill/>
        <a:ln>
          <a:noFill/>
        </a:ln>
        <a:effectLst/>
      </c:spPr>
      <c:txPr>
        <a:bodyPr rot="0" spcFirstLastPara="1" vertOverflow="ellipsis" vert="horz" wrap="square" anchor="ctr" anchorCtr="1"/>
        <a:lstStyle/>
        <a:p>
          <a:pPr>
            <a:defRPr sz="95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manualLayout>
          <c:layoutTarget val="inner"/>
          <c:xMode val="edge"/>
          <c:yMode val="edge"/>
          <c:x val="5.2757793764988008E-2"/>
          <c:y val="0.24949324211765489"/>
          <c:w val="0.4905017088691252"/>
          <c:h val="0.5769794431549371"/>
        </c:manualLayout>
      </c:layout>
      <c:pieChart>
        <c:varyColors val="1"/>
        <c:ser>
          <c:idx val="3"/>
          <c:order val="0"/>
          <c:spPr>
            <a:ln>
              <a:noFill/>
            </a:ln>
            <a:effectLst>
              <a:outerShdw blurRad="1270000" sx="102000" sy="102000" algn="ctr" rotWithShape="0">
                <a:prstClr val="black">
                  <a:alpha val="0"/>
                </a:prstClr>
              </a:outerShdw>
            </a:effectLst>
          </c:spPr>
          <c:dPt>
            <c:idx val="0"/>
            <c:bubble3D val="0"/>
            <c:spPr>
              <a:solidFill>
                <a:schemeClr val="accent1"/>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1-3F69-4010-ADA3-0A744FCB8A7A}"/>
              </c:ext>
            </c:extLst>
          </c:dPt>
          <c:dPt>
            <c:idx val="1"/>
            <c:bubble3D val="0"/>
            <c:spPr>
              <a:solidFill>
                <a:schemeClr val="accent2"/>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3-3F69-4010-ADA3-0A744FCB8A7A}"/>
              </c:ext>
            </c:extLst>
          </c:dPt>
          <c:dPt>
            <c:idx val="2"/>
            <c:bubble3D val="0"/>
            <c:spPr>
              <a:solidFill>
                <a:schemeClr val="accent3"/>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5-3F69-4010-ADA3-0A744FCB8A7A}"/>
              </c:ext>
            </c:extLst>
          </c:dPt>
          <c:dPt>
            <c:idx val="3"/>
            <c:bubble3D val="0"/>
            <c:spPr>
              <a:solidFill>
                <a:schemeClr val="accent4"/>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7-3F69-4010-ADA3-0A744FCB8A7A}"/>
              </c:ext>
            </c:extLst>
          </c:dPt>
          <c:dPt>
            <c:idx val="4"/>
            <c:bubble3D val="0"/>
            <c:spPr>
              <a:solidFill>
                <a:schemeClr val="accent5"/>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9-3F69-4010-ADA3-0A744FCB8A7A}"/>
              </c:ext>
            </c:extLst>
          </c:dPt>
          <c:dPt>
            <c:idx val="5"/>
            <c:bubble3D val="0"/>
            <c:spPr>
              <a:solidFill>
                <a:schemeClr val="accent6"/>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B-3F69-4010-ADA3-0A744FCB8A7A}"/>
              </c:ext>
            </c:extLst>
          </c:dPt>
          <c:dPt>
            <c:idx val="6"/>
            <c:bubble3D val="0"/>
            <c:spPr>
              <a:solidFill>
                <a:schemeClr val="accent1">
                  <a:lumMod val="60000"/>
                </a:schemeClr>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D-3F69-4010-ADA3-0A744FCB8A7A}"/>
              </c:ext>
            </c:extLst>
          </c:dPt>
          <c:dPt>
            <c:idx val="7"/>
            <c:bubble3D val="0"/>
            <c:spPr>
              <a:solidFill>
                <a:srgbClr val="C00000"/>
              </a:solidFill>
              <a:ln>
                <a:noFill/>
              </a:ln>
              <a:effectLst>
                <a:outerShdw blurRad="1270000" sx="102000" sy="102000" algn="ctr" rotWithShape="0">
                  <a:prstClr val="black">
                    <a:alpha val="0"/>
                  </a:prstClr>
                </a:outerShdw>
              </a:effectLst>
            </c:spPr>
            <c:extLst>
              <c:ext xmlns:c16="http://schemas.microsoft.com/office/drawing/2014/chart" uri="{C3380CC4-5D6E-409C-BE32-E72D297353CC}">
                <c16:uniqueId val="{0000000F-3F69-4010-ADA3-0A744FCB8A7A}"/>
              </c:ext>
            </c:extLst>
          </c:dPt>
          <c:dLbls>
            <c:dLbl>
              <c:idx val="0"/>
              <c:layout>
                <c:manualLayout>
                  <c:x val="-2.067979002624672E-2"/>
                  <c:y val="0.1345519830854476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F69-4010-ADA3-0A744FCB8A7A}"/>
                </c:ext>
              </c:extLst>
            </c:dLbl>
            <c:dLbl>
              <c:idx val="1"/>
              <c:layout>
                <c:manualLayout>
                  <c:x val="-5.7262029746281765E-2"/>
                  <c:y val="0.1229228638086905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F69-4010-ADA3-0A744FCB8A7A}"/>
                </c:ext>
              </c:extLst>
            </c:dLbl>
            <c:dLbl>
              <c:idx val="2"/>
              <c:layout>
                <c:manualLayout>
                  <c:x val="-0.10693153980752405"/>
                  <c:y val="5.167541557305337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F69-4010-ADA3-0A744FCB8A7A}"/>
                </c:ext>
              </c:extLst>
            </c:dLbl>
            <c:dLbl>
              <c:idx val="3"/>
              <c:layout>
                <c:manualLayout>
                  <c:x val="-0.10320386126230874"/>
                  <c:y val="-3.1675324550159506E-2"/>
                </c:manualLayout>
              </c:layout>
              <c:spPr>
                <a:noFill/>
                <a:ln>
                  <a:noFill/>
                </a:ln>
                <a:effectLst>
                  <a:outerShdw blurRad="1193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F69-4010-ADA3-0A744FCB8A7A}"/>
                </c:ext>
              </c:extLst>
            </c:dLbl>
            <c:dLbl>
              <c:idx val="5"/>
              <c:layout>
                <c:manualLayout>
                  <c:x val="8.3033902012248445E-2"/>
                  <c:y val="-4.630176436278807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F69-4010-ADA3-0A744FCB8A7A}"/>
                </c:ext>
              </c:extLst>
            </c:dLbl>
            <c:dLbl>
              <c:idx val="6"/>
              <c:layout>
                <c:manualLayout>
                  <c:x val="9.5013123359580037E-2"/>
                  <c:y val="-1.239169614202152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F69-4010-ADA3-0A744FCB8A7A}"/>
                </c:ext>
              </c:extLst>
            </c:dLbl>
            <c:dLbl>
              <c:idx val="7"/>
              <c:layout>
                <c:manualLayout>
                  <c:x val="9.8717962268139295E-2"/>
                  <c:y val="0.131858441195462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3F69-4010-ADA3-0A744FCB8A7A}"/>
                </c:ext>
              </c:extLst>
            </c:dLbl>
            <c:spPr>
              <a:noFill/>
              <a:ln>
                <a:noFill/>
              </a:ln>
              <a:effectLst>
                <a:outerShdw blurRad="1193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'Contratos Anualizados'!$C$13:$C$20</c:f>
              <c:numCache>
                <c:formatCode>General</c:formatCode>
                <c:ptCount val="8"/>
                <c:pt idx="0">
                  <c:v>5</c:v>
                </c:pt>
                <c:pt idx="1">
                  <c:v>7</c:v>
                </c:pt>
                <c:pt idx="2">
                  <c:v>17</c:v>
                </c:pt>
                <c:pt idx="3">
                  <c:v>7</c:v>
                </c:pt>
                <c:pt idx="4">
                  <c:v>39</c:v>
                </c:pt>
                <c:pt idx="5">
                  <c:v>6</c:v>
                </c:pt>
                <c:pt idx="6">
                  <c:v>8</c:v>
                </c:pt>
                <c:pt idx="7">
                  <c:v>26</c:v>
                </c:pt>
              </c:numCache>
            </c:numRef>
          </c:val>
          <c:extLst>
            <c:ext xmlns:c16="http://schemas.microsoft.com/office/drawing/2014/chart" uri="{C3380CC4-5D6E-409C-BE32-E72D297353CC}">
              <c16:uniqueId val="{00000010-3F69-4010-ADA3-0A744FCB8A7A}"/>
            </c:ext>
          </c:extLst>
        </c:ser>
        <c:ser>
          <c:idx val="4"/>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3F69-4010-ADA3-0A744FCB8A7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3F69-4010-ADA3-0A744FCB8A7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3F69-4010-ADA3-0A744FCB8A7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3F69-4010-ADA3-0A744FCB8A7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A-3F69-4010-ADA3-0A744FCB8A7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C-3F69-4010-ADA3-0A744FCB8A7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E-3F69-4010-ADA3-0A744FCB8A7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0-3F69-4010-ADA3-0A744FCB8A7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[11]Planilha2!$D$13:$D$20</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21-3F69-4010-ADA3-0A744FCB8A7A}"/>
            </c:ext>
          </c:extLst>
        </c:ser>
        <c:ser>
          <c:idx val="5"/>
          <c:order val="2"/>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3F69-4010-ADA3-0A744FCB8A7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3F69-4010-ADA3-0A744FCB8A7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7-3F69-4010-ADA3-0A744FCB8A7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9-3F69-4010-ADA3-0A744FCB8A7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B-3F69-4010-ADA3-0A744FCB8A7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D-3F69-4010-ADA3-0A744FCB8A7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F-3F69-4010-ADA3-0A744FCB8A7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1-3F69-4010-ADA3-0A744FCB8A7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[10]Planilha2!$E$2:$E$9</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32-3F69-4010-ADA3-0A744FCB8A7A}"/>
            </c:ext>
          </c:extLst>
        </c:ser>
        <c:ser>
          <c:idx val="6"/>
          <c:order val="3"/>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4-3F69-4010-ADA3-0A744FCB8A7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6-3F69-4010-ADA3-0A744FCB8A7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8-3F69-4010-ADA3-0A744FCB8A7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A-3F69-4010-ADA3-0A744FCB8A7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C-3F69-4010-ADA3-0A744FCB8A7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E-3F69-4010-ADA3-0A744FCB8A7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0-3F69-4010-ADA3-0A744FCB8A7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2-3F69-4010-ADA3-0A744FCB8A7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[11]Planilha2!$D$2:$D$9</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43-3F69-4010-ADA3-0A744FCB8A7A}"/>
            </c:ext>
          </c:extLst>
        </c:ser>
        <c:ser>
          <c:idx val="7"/>
          <c:order val="4"/>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5-3F69-4010-ADA3-0A744FCB8A7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7-3F69-4010-ADA3-0A744FCB8A7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9-3F69-4010-ADA3-0A744FCB8A7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B-3F69-4010-ADA3-0A744FCB8A7A}"/>
              </c:ext>
            </c:extLst>
          </c:dPt>
          <c:dPt>
            <c:idx val="4"/>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D-3F69-4010-ADA3-0A744FCB8A7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F-3F69-4010-ADA3-0A744FCB8A7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1-3F69-4010-ADA3-0A744FCB8A7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3-3F69-4010-ADA3-0A744FCB8A7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[11]Planilha2!$E$2:$E$9</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54-3F69-4010-ADA3-0A744FCB8A7A}"/>
            </c:ext>
          </c:extLst>
        </c:ser>
        <c:ser>
          <c:idx val="0"/>
          <c:order val="5"/>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6-3F69-4010-ADA3-0A744FCB8A7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8-3F69-4010-ADA3-0A744FCB8A7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A-3F69-4010-ADA3-0A744FCB8A7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C-3F69-4010-ADA3-0A744FCB8A7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E-3F69-4010-ADA3-0A744FCB8A7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0-3F69-4010-ADA3-0A744FCB8A7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2-3F69-4010-ADA3-0A744FCB8A7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4-3F69-4010-ADA3-0A744FCB8A7A}"/>
              </c:ext>
            </c:extLst>
          </c:dPt>
          <c:dLbls>
            <c:dLbl>
              <c:idx val="0"/>
              <c:layout>
                <c:manualLayout>
                  <c:x val="-6.4137576552930883E-2"/>
                  <c:y val="0.1498622047244094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56-3F69-4010-ADA3-0A744FCB8A7A}"/>
                </c:ext>
              </c:extLst>
            </c:dLbl>
            <c:dLbl>
              <c:idx val="1"/>
              <c:layout>
                <c:manualLayout>
                  <c:x val="2.294488188976378E-2"/>
                  <c:y val="5.782443861184014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58-3F69-4010-ADA3-0A744FCB8A7A}"/>
                </c:ext>
              </c:extLst>
            </c:dLbl>
            <c:dLbl>
              <c:idx val="3"/>
              <c:layout>
                <c:manualLayout>
                  <c:x val="-3.9839020122484789E-2"/>
                  <c:y val="-7.510717410323709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5C-3F69-4010-ADA3-0A744FCB8A7A}"/>
                </c:ext>
              </c:extLst>
            </c:dLbl>
            <c:dLbl>
              <c:idx val="5"/>
              <c:layout>
                <c:manualLayout>
                  <c:x val="1.9249343832020996E-2"/>
                  <c:y val="-9.0551181102362203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60-3F69-4010-ADA3-0A744FCB8A7A}"/>
                </c:ext>
              </c:extLst>
            </c:dLbl>
            <c:dLbl>
              <c:idx val="6"/>
              <c:layout>
                <c:manualLayout>
                  <c:x val="-1.8080708661417335E-2"/>
                  <c:y val="-2.769830854476523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62-3F69-4010-ADA3-0A744FCB8A7A}"/>
                </c:ext>
              </c:extLst>
            </c:dLbl>
            <c:spPr>
              <a:solidFill>
                <a:schemeClr val="bg1"/>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[10]Planilha2!$E$13:$E$20</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65-3F69-4010-ADA3-0A744FCB8A7A}"/>
            </c:ext>
          </c:extLst>
        </c:ser>
        <c:ser>
          <c:idx val="1"/>
          <c:order val="6"/>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7-3F69-4010-ADA3-0A744FCB8A7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9-3F69-4010-ADA3-0A744FCB8A7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B-3F69-4010-ADA3-0A744FCB8A7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D-3F69-4010-ADA3-0A744FCB8A7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F-3F69-4010-ADA3-0A744FCB8A7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1-3F69-4010-ADA3-0A744FCB8A7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3-3F69-4010-ADA3-0A744FCB8A7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5-3F69-4010-ADA3-0A744FCB8A7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[11]Planilha2!$D$13:$D$20</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76-3F69-4010-ADA3-0A744FCB8A7A}"/>
            </c:ext>
          </c:extLst>
        </c:ser>
        <c:ser>
          <c:idx val="2"/>
          <c:order val="7"/>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8-3F69-4010-ADA3-0A744FCB8A7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A-3F69-4010-ADA3-0A744FCB8A7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C-3F69-4010-ADA3-0A744FCB8A7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E-3F69-4010-ADA3-0A744FCB8A7A}"/>
              </c:ext>
            </c:extLst>
          </c:dPt>
          <c:dPt>
            <c:idx val="4"/>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0-3F69-4010-ADA3-0A744FCB8A7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2-3F69-4010-ADA3-0A744FCB8A7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4-3F69-4010-ADA3-0A744FCB8A7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6-3F69-4010-ADA3-0A744FCB8A7A}"/>
              </c:ext>
            </c:extLst>
          </c:dPt>
          <c:dLbls>
            <c:spPr>
              <a:solidFill>
                <a:schemeClr val="bg1"/>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[11]Planilha2!$E$13:$E$20</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87-3F69-4010-ADA3-0A744FCB8A7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pt-BR" sz="950" b="0" cap="none"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rPr>
              <a:t>Por Valor Anualizado </a:t>
            </a:r>
            <a:r>
              <a:rPr lang="pt-BR" sz="950" b="0" i="0" u="none" strike="noStrike" cap="none" baseline="0">
                <a:solidFill>
                  <a:sysClr val="windowText" lastClr="000000"/>
                </a:solidFill>
                <a:effectLst/>
                <a:latin typeface="Tahoma" panose="020B0604030504040204" pitchFamily="34" charset="0"/>
                <a:ea typeface="Tahoma" panose="020B0604030504040204" pitchFamily="34" charset="0"/>
                <a:cs typeface="Tahoma" panose="020B0604030504040204" pitchFamily="34" charset="0"/>
              </a:rPr>
              <a:t>em 31/12/2023</a:t>
            </a:r>
            <a:endParaRPr lang="pt-BR" sz="950" b="0" cap="none"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endParaRPr>
          </a:p>
        </c:rich>
      </c:tx>
      <c:layout>
        <c:manualLayout>
          <c:xMode val="edge"/>
          <c:yMode val="edge"/>
          <c:x val="4.6957105740986597E-2"/>
          <c:y val="3.6035960990197569E-2"/>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0.10422503518122005"/>
          <c:y val="0.24307321939161203"/>
          <c:w val="0.46951670610309787"/>
          <c:h val="0.58467875610812814"/>
        </c:manualLayout>
      </c:layout>
      <c:pieChart>
        <c:varyColors val="1"/>
        <c:ser>
          <c:idx val="0"/>
          <c:order val="0"/>
          <c:spPr>
            <a:effectLst/>
            <a:scene3d>
              <a:camera prst="orthographicFront"/>
              <a:lightRig rig="brightRoom" dir="t"/>
            </a:scene3d>
            <a:sp3d prstMaterial="flat">
              <a:bevelT w="0" h="0" prst="angle"/>
              <a:contourClr>
                <a:srgbClr val="000000"/>
              </a:contourClr>
            </a:sp3d>
          </c:spPr>
          <c:dPt>
            <c:idx val="0"/>
            <c:bubble3D val="0"/>
            <c:spPr>
              <a:solidFill>
                <a:schemeClr val="accent1"/>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1-2E9E-4E08-B0C2-416A56031C76}"/>
              </c:ext>
            </c:extLst>
          </c:dPt>
          <c:dPt>
            <c:idx val="1"/>
            <c:bubble3D val="0"/>
            <c:spPr>
              <a:solidFill>
                <a:schemeClr val="accent2"/>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3-2E9E-4E08-B0C2-416A56031C76}"/>
              </c:ext>
            </c:extLst>
          </c:dPt>
          <c:dPt>
            <c:idx val="2"/>
            <c:bubble3D val="0"/>
            <c:spPr>
              <a:solidFill>
                <a:schemeClr val="accent3"/>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5-2E9E-4E08-B0C2-416A56031C76}"/>
              </c:ext>
            </c:extLst>
          </c:dPt>
          <c:dPt>
            <c:idx val="3"/>
            <c:bubble3D val="0"/>
            <c:spPr>
              <a:solidFill>
                <a:schemeClr val="accent4"/>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7-2E9E-4E08-B0C2-416A56031C76}"/>
              </c:ext>
            </c:extLst>
          </c:dPt>
          <c:dPt>
            <c:idx val="4"/>
            <c:bubble3D val="0"/>
            <c:spPr>
              <a:solidFill>
                <a:schemeClr val="accent5"/>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9-2E9E-4E08-B0C2-416A56031C76}"/>
              </c:ext>
            </c:extLst>
          </c:dPt>
          <c:dPt>
            <c:idx val="5"/>
            <c:bubble3D val="0"/>
            <c:spPr>
              <a:solidFill>
                <a:schemeClr val="accent6"/>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B-2E9E-4E08-B0C2-416A56031C76}"/>
              </c:ext>
            </c:extLst>
          </c:dPt>
          <c:dPt>
            <c:idx val="6"/>
            <c:bubble3D val="0"/>
            <c:spPr>
              <a:solidFill>
                <a:schemeClr val="accent1">
                  <a:lumMod val="60000"/>
                </a:schemeClr>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D-2E9E-4E08-B0C2-416A56031C76}"/>
              </c:ext>
            </c:extLst>
          </c:dPt>
          <c:dPt>
            <c:idx val="7"/>
            <c:bubble3D val="0"/>
            <c:spPr>
              <a:solidFill>
                <a:srgbClr val="C00000"/>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F-2E9E-4E08-B0C2-416A56031C76}"/>
              </c:ext>
            </c:extLst>
          </c:dPt>
          <c:dLbls>
            <c:dLbl>
              <c:idx val="0"/>
              <c:layout>
                <c:manualLayout>
                  <c:x val="-6.0944431847096275E-2"/>
                  <c:y val="0.12958784806752366"/>
                </c:manualLayout>
              </c:layout>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2E9E-4E08-B0C2-416A56031C76}"/>
                </c:ext>
              </c:extLst>
            </c:dLbl>
            <c:dLbl>
              <c:idx val="1"/>
              <c:layout>
                <c:manualLayout>
                  <c:x val="-2.9778630935586858E-2"/>
                  <c:y val="-4.0091047862603528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2E9E-4E08-B0C2-416A56031C76}"/>
                </c:ext>
              </c:extLst>
            </c:dLbl>
            <c:dLbl>
              <c:idx val="3"/>
              <c:layout>
                <c:manualLayout>
                  <c:x val="7.5661636045494307E-2"/>
                  <c:y val="-4.7690525170840131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2E9E-4E08-B0C2-416A56031C76}"/>
                </c:ext>
              </c:extLst>
            </c:dLbl>
            <c:dLbl>
              <c:idx val="5"/>
              <c:layout>
                <c:manualLayout>
                  <c:x val="-3.6150918635170601E-2"/>
                  <c:y val="-8.1064371458072396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2E9E-4E08-B0C2-416A56031C76}"/>
                </c:ext>
              </c:extLst>
            </c:dLbl>
            <c:dLbl>
              <c:idx val="6"/>
              <c:layout>
                <c:manualLayout>
                  <c:x val="-2.1355861767279116E-2"/>
                  <c:y val="2.1313912337534383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2E9E-4E08-B0C2-416A56031C7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dLblPos val="ctr"/>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'Contratos Anualizados'!$E$13:$E$20</c:f>
              <c:numCache>
                <c:formatCode>"R$"\ #,##0.0</c:formatCode>
                <c:ptCount val="8"/>
                <c:pt idx="0">
                  <c:v>6.6637818799999993</c:v>
                </c:pt>
                <c:pt idx="1">
                  <c:v>1.4895312228571429</c:v>
                </c:pt>
                <c:pt idx="2">
                  <c:v>24.223422518333329</c:v>
                </c:pt>
                <c:pt idx="3">
                  <c:v>1.0753703450000001</c:v>
                </c:pt>
                <c:pt idx="4">
                  <c:v>17.040451409999996</c:v>
                </c:pt>
                <c:pt idx="5">
                  <c:v>0.67060946666666665</c:v>
                </c:pt>
                <c:pt idx="6">
                  <c:v>0.48390124533333334</c:v>
                </c:pt>
                <c:pt idx="7">
                  <c:v>25.532231018499999</c:v>
                </c:pt>
              </c:numCache>
            </c:numRef>
          </c:val>
          <c:extLst>
            <c:ext xmlns:c16="http://schemas.microsoft.com/office/drawing/2014/chart" uri="{C3380CC4-5D6E-409C-BE32-E72D297353CC}">
              <c16:uniqueId val="{00000010-2E9E-4E08-B0C2-416A56031C76}"/>
            </c:ext>
          </c:extLst>
        </c:ser>
        <c:ser>
          <c:idx val="1"/>
          <c:order val="1"/>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2-2E9E-4E08-B0C2-416A56031C76}"/>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4-2E9E-4E08-B0C2-416A56031C76}"/>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6-2E9E-4E08-B0C2-416A56031C76}"/>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8-2E9E-4E08-B0C2-416A56031C76}"/>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A-2E9E-4E08-B0C2-416A56031C76}"/>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C-2E9E-4E08-B0C2-416A56031C76}"/>
              </c:ext>
            </c:extLst>
          </c:dPt>
          <c:dPt>
            <c:idx val="6"/>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E-2E9E-4E08-B0C2-416A56031C76}"/>
              </c:ext>
            </c:extLst>
          </c:dPt>
          <c:dPt>
            <c:idx val="7"/>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0-2E9E-4E08-B0C2-416A56031C7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[11]Planilha2!$D$13:$D$20</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21-2E9E-4E08-B0C2-416A56031C76}"/>
            </c:ext>
          </c:extLst>
        </c:ser>
        <c:ser>
          <c:idx val="2"/>
          <c:order val="2"/>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3-2E9E-4E08-B0C2-416A56031C76}"/>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5-2E9E-4E08-B0C2-416A56031C76}"/>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7-2E9E-4E08-B0C2-416A56031C76}"/>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9-2E9E-4E08-B0C2-416A56031C76}"/>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B-2E9E-4E08-B0C2-416A56031C76}"/>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D-2E9E-4E08-B0C2-416A56031C76}"/>
              </c:ext>
            </c:extLst>
          </c:dPt>
          <c:dPt>
            <c:idx val="6"/>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F-2E9E-4E08-B0C2-416A56031C76}"/>
              </c:ext>
            </c:extLst>
          </c:dPt>
          <c:dPt>
            <c:idx val="7"/>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31-2E9E-4E08-B0C2-416A56031C7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'Contratos Anualizados'!$B$13:$B$20</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[11]Planilha2!$E$13:$E$20</c:f>
              <c:numCache>
                <c:formatCode>ge\r\a\l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32-2E9E-4E08-B0C2-416A56031C76}"/>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8683053989541698"/>
          <c:y val="0.25017420296676079"/>
          <c:w val="0.31316946010458302"/>
          <c:h val="0.60790317105627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50" b="0"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pt-BR" sz="950" b="0" i="0" baseline="0">
                <a:effectLst/>
                <a:latin typeface="Tahoma" panose="020B0604030504040204" pitchFamily="34" charset="0"/>
                <a:ea typeface="Tahoma" panose="020B0604030504040204" pitchFamily="34" charset="0"/>
                <a:cs typeface="Tahoma" panose="020B0604030504040204" pitchFamily="34" charset="0"/>
              </a:rPr>
              <a:t>Por Valor Global do contrato em 2023</a:t>
            </a:r>
            <a:endParaRPr lang="pt-BR" sz="950" b="0">
              <a:effectLst/>
              <a:latin typeface="Tahoma" panose="020B0604030504040204" pitchFamily="34" charset="0"/>
              <a:ea typeface="Tahoma" panose="020B0604030504040204" pitchFamily="34" charset="0"/>
              <a:cs typeface="Tahoma" panose="020B0604030504040204" pitchFamily="34" charset="0"/>
            </a:endParaRPr>
          </a:p>
        </c:rich>
      </c:tx>
      <c:overlay val="0"/>
      <c:spPr>
        <a:noFill/>
        <a:ln>
          <a:noFill/>
        </a:ln>
        <a:effectLst/>
      </c:spPr>
      <c:txPr>
        <a:bodyPr rot="0" spcFirstLastPara="1" vertOverflow="ellipsis" vert="horz" wrap="square" anchor="ctr" anchorCtr="1"/>
        <a:lstStyle/>
        <a:p>
          <a:pPr>
            <a:defRPr sz="950" b="0"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manualLayout>
          <c:layoutTarget val="inner"/>
          <c:xMode val="edge"/>
          <c:yMode val="edge"/>
          <c:x val="0.23975406188413301"/>
          <c:y val="0.25752900953170327"/>
          <c:w val="0.54844853735843579"/>
          <c:h val="0.52138693189667085"/>
        </c:manualLayout>
      </c:layout>
      <c:pieChart>
        <c:varyColors val="1"/>
        <c:ser>
          <c:idx val="0"/>
          <c:order val="0"/>
          <c:spPr>
            <a:ln>
              <a:noFill/>
            </a:ln>
          </c:spPr>
          <c:dPt>
            <c:idx val="0"/>
            <c:bubble3D val="0"/>
            <c:spPr>
              <a:solidFill>
                <a:schemeClr val="accent1"/>
              </a:solidFill>
              <a:ln w="19050">
                <a:noFill/>
              </a:ln>
              <a:effectLst/>
            </c:spPr>
            <c:extLst>
              <c:ext xmlns:c16="http://schemas.microsoft.com/office/drawing/2014/chart" uri="{C3380CC4-5D6E-409C-BE32-E72D297353CC}">
                <c16:uniqueId val="{00000001-78E7-4682-98CF-53D2AF5D1A61}"/>
              </c:ext>
            </c:extLst>
          </c:dPt>
          <c:dPt>
            <c:idx val="1"/>
            <c:bubble3D val="0"/>
            <c:spPr>
              <a:solidFill>
                <a:schemeClr val="accent2"/>
              </a:solidFill>
              <a:ln w="19050">
                <a:noFill/>
              </a:ln>
              <a:effectLst/>
            </c:spPr>
            <c:extLst>
              <c:ext xmlns:c16="http://schemas.microsoft.com/office/drawing/2014/chart" uri="{C3380CC4-5D6E-409C-BE32-E72D297353CC}">
                <c16:uniqueId val="{00000003-78E7-4682-98CF-53D2AF5D1A61}"/>
              </c:ext>
            </c:extLst>
          </c:dPt>
          <c:dPt>
            <c:idx val="2"/>
            <c:bubble3D val="0"/>
            <c:spPr>
              <a:solidFill>
                <a:schemeClr val="accent3"/>
              </a:solidFill>
              <a:ln w="19050">
                <a:noFill/>
              </a:ln>
              <a:effectLst/>
            </c:spPr>
            <c:extLst>
              <c:ext xmlns:c16="http://schemas.microsoft.com/office/drawing/2014/chart" uri="{C3380CC4-5D6E-409C-BE32-E72D297353CC}">
                <c16:uniqueId val="{00000005-78E7-4682-98CF-53D2AF5D1A61}"/>
              </c:ext>
            </c:extLst>
          </c:dPt>
          <c:dPt>
            <c:idx val="3"/>
            <c:bubble3D val="0"/>
            <c:spPr>
              <a:solidFill>
                <a:schemeClr val="accent4"/>
              </a:solidFill>
              <a:ln w="19050">
                <a:noFill/>
              </a:ln>
              <a:effectLst/>
            </c:spPr>
            <c:extLst>
              <c:ext xmlns:c16="http://schemas.microsoft.com/office/drawing/2014/chart" uri="{C3380CC4-5D6E-409C-BE32-E72D297353CC}">
                <c16:uniqueId val="{00000007-78E7-4682-98CF-53D2AF5D1A61}"/>
              </c:ext>
            </c:extLst>
          </c:dPt>
          <c:dLbls>
            <c:dLbl>
              <c:idx val="0"/>
              <c:delete val="1"/>
              <c:extLst>
                <c:ext xmlns:c15="http://schemas.microsoft.com/office/drawing/2012/chart" uri="{CE6537A1-D6FC-4f65-9D91-7224C49458BB}"/>
                <c:ext xmlns:c16="http://schemas.microsoft.com/office/drawing/2014/chart" uri="{C3380CC4-5D6E-409C-BE32-E72D297353CC}">
                  <c16:uniqueId val="{00000001-78E7-4682-98CF-53D2AF5D1A61}"/>
                </c:ext>
              </c:extLst>
            </c:dLbl>
            <c:dLbl>
              <c:idx val="1"/>
              <c:layout>
                <c:manualLayout>
                  <c:x val="-6.4183534649792772E-3"/>
                  <c:y val="-2.1939985292271268E-2"/>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8E7-4682-98CF-53D2AF5D1A61}"/>
                </c:ext>
              </c:extLst>
            </c:dLbl>
            <c:dLbl>
              <c:idx val="2"/>
              <c:layout>
                <c:manualLayout>
                  <c:x val="4.4460132138655156E-2"/>
                  <c:y val="2.2508292846372902E-2"/>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8E7-4682-98CF-53D2AF5D1A61}"/>
                </c:ext>
              </c:extLst>
            </c:dLbl>
            <c:dLbl>
              <c:idx val="3"/>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0"/>
              <c:showSerName val="0"/>
              <c:showPercent val="0"/>
              <c:showBubbleSize val="0"/>
              <c:extLst>
                <c:ext xmlns:c16="http://schemas.microsoft.com/office/drawing/2014/chart" uri="{C3380CC4-5D6E-409C-BE32-E72D297353CC}">
                  <c16:uniqueId val="{00000007-78E7-4682-98CF-53D2AF5D1A6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'Contratações novas em 2023'!$A$3:$A$6</c:f>
              <c:strCache>
                <c:ptCount val="4"/>
                <c:pt idx="0">
                  <c:v>Credenciamento</c:v>
                </c:pt>
                <c:pt idx="1">
                  <c:v>Dispensa</c:v>
                </c:pt>
                <c:pt idx="2">
                  <c:v>Inexigibilidade</c:v>
                </c:pt>
                <c:pt idx="3">
                  <c:v>Pregão</c:v>
                </c:pt>
              </c:strCache>
            </c:strRef>
          </c:cat>
          <c:val>
            <c:numRef>
              <c:f>'Contratações novas em 2023'!$J$3:$J$6</c:f>
              <c:numCache>
                <c:formatCode>0.0%</c:formatCode>
                <c:ptCount val="4"/>
                <c:pt idx="0">
                  <c:v>1.6070600662184935E-5</c:v>
                </c:pt>
                <c:pt idx="1">
                  <c:v>3.7708261464870246E-2</c:v>
                </c:pt>
                <c:pt idx="2">
                  <c:v>4.3936430404167004E-2</c:v>
                </c:pt>
                <c:pt idx="3">
                  <c:v>0.91833923753030067</c:v>
                </c:pt>
              </c:numCache>
            </c:numRef>
          </c:val>
          <c:extLst>
            <c:ext xmlns:c16="http://schemas.microsoft.com/office/drawing/2014/chart" uri="{C3380CC4-5D6E-409C-BE32-E72D297353CC}">
              <c16:uniqueId val="{00000008-78E7-4682-98CF-53D2AF5D1A6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50" b="0"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pt-BR" sz="950" b="0" i="0" baseline="0">
                <a:solidFill>
                  <a:sysClr val="windowText" lastClr="000000"/>
                </a:solidFill>
                <a:effectLst/>
                <a:latin typeface="Tahoma" panose="020B0604030504040204" pitchFamily="34" charset="0"/>
                <a:ea typeface="Tahoma" panose="020B0604030504040204" pitchFamily="34" charset="0"/>
                <a:cs typeface="Tahoma" panose="020B0604030504040204" pitchFamily="34" charset="0"/>
              </a:rPr>
              <a:t>Por Quantidade em 2023</a:t>
            </a:r>
            <a:endParaRPr lang="pt-BR" sz="950" b="0">
              <a:solidFill>
                <a:sysClr val="windowText" lastClr="000000"/>
              </a:solidFill>
              <a:effectLst/>
              <a:latin typeface="Tahoma" panose="020B0604030504040204" pitchFamily="34" charset="0"/>
              <a:ea typeface="Tahoma" panose="020B0604030504040204" pitchFamily="34" charset="0"/>
              <a:cs typeface="Tahoma" panose="020B0604030504040204" pitchFamily="34" charset="0"/>
            </a:endParaRPr>
          </a:p>
        </c:rich>
      </c:tx>
      <c:overlay val="0"/>
      <c:spPr>
        <a:noFill/>
        <a:ln>
          <a:noFill/>
        </a:ln>
        <a:effectLst/>
      </c:spPr>
      <c:txPr>
        <a:bodyPr rot="0" spcFirstLastPara="1" vertOverflow="ellipsis" vert="horz" wrap="square" anchor="ctr" anchorCtr="1"/>
        <a:lstStyle/>
        <a:p>
          <a:pPr>
            <a:defRPr sz="950" b="0"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manualLayout>
          <c:layoutTarget val="inner"/>
          <c:xMode val="edge"/>
          <c:yMode val="edge"/>
          <c:x val="0.15006225132328868"/>
          <c:y val="0.22248935071640635"/>
          <c:w val="0.63319130632191456"/>
          <c:h val="0.53441735510520194"/>
        </c:manualLayout>
      </c:layout>
      <c:pieChart>
        <c:varyColors val="1"/>
        <c:ser>
          <c:idx val="0"/>
          <c:order val="0"/>
          <c:spPr>
            <a:ln>
              <a:noFill/>
            </a:ln>
          </c:spPr>
          <c:dPt>
            <c:idx val="0"/>
            <c:bubble3D val="0"/>
            <c:spPr>
              <a:solidFill>
                <a:schemeClr val="accent1"/>
              </a:solidFill>
              <a:ln w="19050">
                <a:noFill/>
              </a:ln>
              <a:effectLst/>
            </c:spPr>
            <c:extLst>
              <c:ext xmlns:c16="http://schemas.microsoft.com/office/drawing/2014/chart" uri="{C3380CC4-5D6E-409C-BE32-E72D297353CC}">
                <c16:uniqueId val="{00000001-350B-49FB-92F6-1314527A1C9D}"/>
              </c:ext>
            </c:extLst>
          </c:dPt>
          <c:dPt>
            <c:idx val="1"/>
            <c:bubble3D val="0"/>
            <c:spPr>
              <a:solidFill>
                <a:schemeClr val="accent2"/>
              </a:solidFill>
              <a:ln w="19050">
                <a:noFill/>
              </a:ln>
              <a:effectLst/>
            </c:spPr>
            <c:extLst>
              <c:ext xmlns:c16="http://schemas.microsoft.com/office/drawing/2014/chart" uri="{C3380CC4-5D6E-409C-BE32-E72D297353CC}">
                <c16:uniqueId val="{00000003-350B-49FB-92F6-1314527A1C9D}"/>
              </c:ext>
            </c:extLst>
          </c:dPt>
          <c:dPt>
            <c:idx val="2"/>
            <c:bubble3D val="0"/>
            <c:spPr>
              <a:solidFill>
                <a:schemeClr val="accent3"/>
              </a:solidFill>
              <a:ln w="19050">
                <a:noFill/>
              </a:ln>
              <a:effectLst/>
            </c:spPr>
            <c:extLst>
              <c:ext xmlns:c16="http://schemas.microsoft.com/office/drawing/2014/chart" uri="{C3380CC4-5D6E-409C-BE32-E72D297353CC}">
                <c16:uniqueId val="{00000005-350B-49FB-92F6-1314527A1C9D}"/>
              </c:ext>
            </c:extLst>
          </c:dPt>
          <c:dPt>
            <c:idx val="3"/>
            <c:bubble3D val="0"/>
            <c:spPr>
              <a:solidFill>
                <a:schemeClr val="accent4"/>
              </a:solidFill>
              <a:ln w="19050">
                <a:noFill/>
              </a:ln>
              <a:effectLst/>
            </c:spPr>
            <c:extLst>
              <c:ext xmlns:c16="http://schemas.microsoft.com/office/drawing/2014/chart" uri="{C3380CC4-5D6E-409C-BE32-E72D297353CC}">
                <c16:uniqueId val="{00000007-350B-49FB-92F6-1314527A1C9D}"/>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0"/>
              <c:showSerName val="0"/>
              <c:showPercent val="0"/>
              <c:showBubbleSize val="0"/>
              <c:extLst>
                <c:ext xmlns:c16="http://schemas.microsoft.com/office/drawing/2014/chart" uri="{C3380CC4-5D6E-409C-BE32-E72D297353CC}">
                  <c16:uniqueId val="{00000001-350B-49FB-92F6-1314527A1C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'Contratações novas em 2023'!$A$3:$A$6</c:f>
              <c:strCache>
                <c:ptCount val="4"/>
                <c:pt idx="0">
                  <c:v>Credenciamento</c:v>
                </c:pt>
                <c:pt idx="1">
                  <c:v>Dispensa</c:v>
                </c:pt>
                <c:pt idx="2">
                  <c:v>Inexigibilidade</c:v>
                </c:pt>
                <c:pt idx="3">
                  <c:v>Pregão</c:v>
                </c:pt>
              </c:strCache>
            </c:strRef>
          </c:cat>
          <c:val>
            <c:numRef>
              <c:f>'Contratações novas em 2023'!$E$3:$E$6</c:f>
              <c:numCache>
                <c:formatCode>0%</c:formatCode>
                <c:ptCount val="4"/>
                <c:pt idx="0">
                  <c:v>9.0909090909090912E-2</c:v>
                </c:pt>
                <c:pt idx="1">
                  <c:v>0.15151515151515152</c:v>
                </c:pt>
                <c:pt idx="2">
                  <c:v>0.15151515151515152</c:v>
                </c:pt>
                <c:pt idx="3">
                  <c:v>0.60606060606060608</c:v>
                </c:pt>
              </c:numCache>
            </c:numRef>
          </c:val>
          <c:extLst>
            <c:ext xmlns:c16="http://schemas.microsoft.com/office/drawing/2014/chart" uri="{C3380CC4-5D6E-409C-BE32-E72D297353CC}">
              <c16:uniqueId val="{00000008-350B-49FB-92F6-1314527A1C9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6.2381668583561894E-2"/>
          <c:y val="0.81833321403006443"/>
          <c:w val="0.9126898463534755"/>
          <c:h val="0.1508976377952755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pt-BR" sz="950" b="0" i="0" baseline="0">
                <a:effectLst/>
                <a:latin typeface="Tahoma" panose="020B0604030504040204" pitchFamily="34" charset="0"/>
                <a:ea typeface="Tahoma" panose="020B0604030504040204" pitchFamily="34" charset="0"/>
                <a:cs typeface="Tahoma" panose="020B0604030504040204" pitchFamily="34" charset="0"/>
              </a:rPr>
              <a:t>Por Valor Global em 2023</a:t>
            </a:r>
          </a:p>
        </c:rich>
      </c:tx>
      <c:layout>
        <c:manualLayout>
          <c:xMode val="edge"/>
          <c:yMode val="edge"/>
          <c:x val="0.195747928634982"/>
          <c:y val="2.7027018810379468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manualLayout>
          <c:layoutTarget val="inner"/>
          <c:xMode val="edge"/>
          <c:yMode val="edge"/>
          <c:x val="0.11251760380172743"/>
          <c:y val="0.21644545464400708"/>
          <c:w val="0.49477089042283812"/>
          <c:h val="0.51543364904077216"/>
        </c:manualLayout>
      </c:layout>
      <c:pieChart>
        <c:varyColors val="1"/>
        <c:ser>
          <c:idx val="0"/>
          <c:order val="0"/>
          <c:tx>
            <c:strRef>
              <c:f>'Novas Contratações'!$I$9</c:f>
              <c:strCache>
                <c:ptCount val="1"/>
                <c:pt idx="0">
                  <c:v>Valor</c:v>
                </c:pt>
              </c:strCache>
            </c:strRef>
          </c:tx>
          <c:spPr>
            <a:ln>
              <a:noFill/>
            </a:ln>
          </c:spPr>
          <c:dPt>
            <c:idx val="0"/>
            <c:bubble3D val="0"/>
            <c:spPr>
              <a:solidFill>
                <a:schemeClr val="accent1"/>
              </a:solidFill>
              <a:ln w="19050">
                <a:noFill/>
              </a:ln>
              <a:effectLst/>
            </c:spPr>
            <c:extLst>
              <c:ext xmlns:c16="http://schemas.microsoft.com/office/drawing/2014/chart" uri="{C3380CC4-5D6E-409C-BE32-E72D297353CC}">
                <c16:uniqueId val="{00000001-34F6-48A0-A800-C04996C2BAE3}"/>
              </c:ext>
            </c:extLst>
          </c:dPt>
          <c:dPt>
            <c:idx val="1"/>
            <c:bubble3D val="0"/>
            <c:spPr>
              <a:solidFill>
                <a:schemeClr val="accent2"/>
              </a:solidFill>
              <a:ln w="19050">
                <a:noFill/>
              </a:ln>
              <a:effectLst/>
            </c:spPr>
            <c:extLst>
              <c:ext xmlns:c16="http://schemas.microsoft.com/office/drawing/2014/chart" uri="{C3380CC4-5D6E-409C-BE32-E72D297353CC}">
                <c16:uniqueId val="{00000003-34F6-48A0-A800-C04996C2BAE3}"/>
              </c:ext>
            </c:extLst>
          </c:dPt>
          <c:dPt>
            <c:idx val="2"/>
            <c:bubble3D val="0"/>
            <c:spPr>
              <a:solidFill>
                <a:schemeClr val="accent3"/>
              </a:solidFill>
              <a:ln w="19050">
                <a:noFill/>
              </a:ln>
              <a:effectLst/>
            </c:spPr>
            <c:extLst>
              <c:ext xmlns:c16="http://schemas.microsoft.com/office/drawing/2014/chart" uri="{C3380CC4-5D6E-409C-BE32-E72D297353CC}">
                <c16:uniqueId val="{00000005-34F6-48A0-A800-C04996C2BAE3}"/>
              </c:ext>
            </c:extLst>
          </c:dPt>
          <c:dPt>
            <c:idx val="3"/>
            <c:bubble3D val="0"/>
            <c:spPr>
              <a:solidFill>
                <a:schemeClr val="accent4"/>
              </a:solidFill>
              <a:ln w="19050">
                <a:noFill/>
              </a:ln>
              <a:effectLst/>
            </c:spPr>
            <c:extLst>
              <c:ext xmlns:c16="http://schemas.microsoft.com/office/drawing/2014/chart" uri="{C3380CC4-5D6E-409C-BE32-E72D297353CC}">
                <c16:uniqueId val="{00000007-34F6-48A0-A800-C04996C2BAE3}"/>
              </c:ext>
            </c:extLst>
          </c:dPt>
          <c:dPt>
            <c:idx val="4"/>
            <c:bubble3D val="0"/>
            <c:spPr>
              <a:solidFill>
                <a:schemeClr val="accent5"/>
              </a:solidFill>
              <a:ln w="19050">
                <a:noFill/>
              </a:ln>
              <a:effectLst/>
            </c:spPr>
            <c:extLst>
              <c:ext xmlns:c16="http://schemas.microsoft.com/office/drawing/2014/chart" uri="{C3380CC4-5D6E-409C-BE32-E72D297353CC}">
                <c16:uniqueId val="{00000009-34F6-48A0-A800-C04996C2BAE3}"/>
              </c:ext>
            </c:extLst>
          </c:dPt>
          <c:dPt>
            <c:idx val="5"/>
            <c:bubble3D val="0"/>
            <c:spPr>
              <a:solidFill>
                <a:schemeClr val="accent6"/>
              </a:solidFill>
              <a:ln w="19050">
                <a:noFill/>
              </a:ln>
              <a:effectLst/>
            </c:spPr>
            <c:extLst>
              <c:ext xmlns:c16="http://schemas.microsoft.com/office/drawing/2014/chart" uri="{C3380CC4-5D6E-409C-BE32-E72D297353CC}">
                <c16:uniqueId val="{0000000B-34F6-48A0-A800-C04996C2BAE3}"/>
              </c:ext>
            </c:extLst>
          </c:dPt>
          <c:dPt>
            <c:idx val="6"/>
            <c:bubble3D val="0"/>
            <c:spPr>
              <a:solidFill>
                <a:schemeClr val="accent1">
                  <a:lumMod val="60000"/>
                </a:schemeClr>
              </a:solidFill>
              <a:ln w="19050">
                <a:noFill/>
              </a:ln>
              <a:effectLst/>
            </c:spPr>
            <c:extLst>
              <c:ext xmlns:c16="http://schemas.microsoft.com/office/drawing/2014/chart" uri="{C3380CC4-5D6E-409C-BE32-E72D297353CC}">
                <c16:uniqueId val="{0000000D-34F6-48A0-A800-C04996C2BAE3}"/>
              </c:ext>
            </c:extLst>
          </c:dPt>
          <c:dPt>
            <c:idx val="7"/>
            <c:bubble3D val="0"/>
            <c:spPr>
              <a:solidFill>
                <a:srgbClr val="C00000"/>
              </a:solidFill>
              <a:ln w="19050">
                <a:noFill/>
              </a:ln>
              <a:effectLst/>
            </c:spPr>
            <c:extLst>
              <c:ext xmlns:c16="http://schemas.microsoft.com/office/drawing/2014/chart" uri="{C3380CC4-5D6E-409C-BE32-E72D297353CC}">
                <c16:uniqueId val="{0000000F-34F6-48A0-A800-C04996C2BAE3}"/>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4F6-48A0-A800-C04996C2BAE3}"/>
                </c:ext>
              </c:extLst>
            </c:dLbl>
            <c:dLbl>
              <c:idx val="1"/>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4F6-48A0-A800-C04996C2BAE3}"/>
                </c:ext>
              </c:extLst>
            </c:dLbl>
            <c:dLbl>
              <c:idx val="6"/>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4F6-48A0-A800-C04996C2BAE3}"/>
                </c:ext>
              </c:extLst>
            </c:dLbl>
            <c:dLbl>
              <c:idx val="7"/>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34F6-48A0-A800-C04996C2BAE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'Novas Contratações'!$A$10:$A$17</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'Novas Contratações'!$K$10:$K$17</c:f>
              <c:numCache>
                <c:formatCode>"R$"\ #,##0</c:formatCode>
                <c:ptCount val="8"/>
                <c:pt idx="0">
                  <c:v>11955</c:v>
                </c:pt>
                <c:pt idx="1">
                  <c:v>2210.15</c:v>
                </c:pt>
                <c:pt idx="2">
                  <c:v>506.238</c:v>
                </c:pt>
                <c:pt idx="3">
                  <c:v>276.09888000000001</c:v>
                </c:pt>
                <c:pt idx="4">
                  <c:v>455.97805999999997</c:v>
                </c:pt>
                <c:pt idx="5">
                  <c:v>305.38920000000002</c:v>
                </c:pt>
                <c:pt idx="6">
                  <c:v>1270.4682299999999</c:v>
                </c:pt>
                <c:pt idx="7">
                  <c:v>6541.8893099999996</c:v>
                </c:pt>
              </c:numCache>
            </c:numRef>
          </c:val>
          <c:extLst>
            <c:ext xmlns:c16="http://schemas.microsoft.com/office/drawing/2014/chart" uri="{C3380CC4-5D6E-409C-BE32-E72D297353CC}">
              <c16:uniqueId val="{00000010-34F6-48A0-A800-C04996C2BAE3}"/>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9272399320129032"/>
          <c:y val="0.23744710502322527"/>
          <c:w val="0.40597835512851643"/>
          <c:h val="0.517283085139827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sz="1200"/>
              <a:t>Valor Contratado (R$) - Porte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doughnutChart>
        <c:varyColors val="1"/>
        <c:ser>
          <c:idx val="0"/>
          <c:order val="0"/>
          <c:tx>
            <c:strRef>
              <c:f>'Porte e Região'!$K$42</c:f>
              <c:strCache>
                <c:ptCount val="1"/>
                <c:pt idx="0">
                  <c:v>Valor contratado (R$)</c:v>
                </c:pt>
              </c:strCache>
            </c:strRef>
          </c:tx>
          <c:dPt>
            <c:idx val="0"/>
            <c:bubble3D val="0"/>
            <c:spPr>
              <a:solidFill>
                <a:srgbClr val="005051"/>
              </a:solidFill>
              <a:ln w="19050">
                <a:solidFill>
                  <a:schemeClr val="lt1"/>
                </a:solidFill>
              </a:ln>
              <a:effectLst/>
            </c:spPr>
            <c:extLst>
              <c:ext xmlns:c16="http://schemas.microsoft.com/office/drawing/2014/chart" uri="{C3380CC4-5D6E-409C-BE32-E72D297353CC}">
                <c16:uniqueId val="{00000001-2758-4429-9F2A-758CFABB481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758-4429-9F2A-758CFABB481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758-4429-9F2A-758CFABB481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758-4429-9F2A-758CFABB481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758-4429-9F2A-758CFABB481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758-4429-9F2A-758CFABB481C}"/>
              </c:ext>
            </c:extLst>
          </c:dPt>
          <c:dLbls>
            <c:dLbl>
              <c:idx val="0"/>
              <c:layout>
                <c:manualLayout>
                  <c:x val="2.6402642759013713E-2"/>
                  <c:y val="-7.941483803552769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758-4429-9F2A-758CFABB481C}"/>
                </c:ext>
              </c:extLst>
            </c:dLbl>
            <c:dLbl>
              <c:idx val="1"/>
              <c:layout>
                <c:manualLayout>
                  <c:x val="4.5604564765569379E-2"/>
                  <c:y val="-8.359456635318704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758-4429-9F2A-758CFABB481C}"/>
                </c:ext>
              </c:extLst>
            </c:dLbl>
            <c:dLbl>
              <c:idx val="2"/>
              <c:layout>
                <c:manualLayout>
                  <c:x val="6.4806486772124694E-2"/>
                  <c:y val="-2.925809822361554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758-4429-9F2A-758CFABB481C}"/>
                </c:ext>
              </c:extLst>
            </c:dLbl>
            <c:dLbl>
              <c:idx val="3"/>
              <c:layout>
                <c:manualLayout>
                  <c:x val="6.0006006270485912E-2"/>
                  <c:y val="2.92580982236153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758-4429-9F2A-758CFABB481C}"/>
                </c:ext>
              </c:extLst>
            </c:dLbl>
            <c:dLbl>
              <c:idx val="4"/>
              <c:layout>
                <c:manualLayout>
                  <c:x val="-6.7206727022944224E-2"/>
                  <c:y val="-1.253918495297805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758-4429-9F2A-758CFABB481C}"/>
                </c:ext>
              </c:extLst>
            </c:dLbl>
            <c:dLbl>
              <c:idx val="5"/>
              <c:layout>
                <c:manualLayout>
                  <c:x val="7.2007207524583091E-3"/>
                  <c:y val="-9.195402298850574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758-4429-9F2A-758CFABB481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'Porte e Região'!$I$43:$I$48</c:f>
              <c:strCache>
                <c:ptCount val="6"/>
                <c:pt idx="0">
                  <c:v>Micro\Peq Porte</c:v>
                </c:pt>
                <c:pt idx="1">
                  <c:v>Pequena</c:v>
                </c:pt>
                <c:pt idx="2">
                  <c:v>Média I</c:v>
                </c:pt>
                <c:pt idx="3">
                  <c:v>Média II</c:v>
                </c:pt>
                <c:pt idx="4">
                  <c:v>Grande</c:v>
                </c:pt>
                <c:pt idx="5">
                  <c:v>Não informado</c:v>
                </c:pt>
              </c:strCache>
            </c:strRef>
          </c:cat>
          <c:val>
            <c:numRef>
              <c:f>'Porte e Região'!$K$43:$K$48</c:f>
              <c:numCache>
                <c:formatCode>_(* #,##0.00_);_(* \(#,##0.00\);_(* "-"??_);_(@_)</c:formatCode>
                <c:ptCount val="6"/>
                <c:pt idx="0" formatCode="#,##0.00">
                  <c:v>805282913.68999994</c:v>
                </c:pt>
                <c:pt idx="1">
                  <c:v>308574149.32999992</c:v>
                </c:pt>
                <c:pt idx="2">
                  <c:v>1290271808.9700003</c:v>
                </c:pt>
                <c:pt idx="3">
                  <c:v>1057926368.98</c:v>
                </c:pt>
                <c:pt idx="4">
                  <c:v>5582438368.3199987</c:v>
                </c:pt>
                <c:pt idx="5">
                  <c:v>19324003.030000001</c:v>
                </c:pt>
              </c:numCache>
            </c:numRef>
          </c:val>
          <c:extLst>
            <c:ext xmlns:c16="http://schemas.microsoft.com/office/drawing/2014/chart" uri="{C3380CC4-5D6E-409C-BE32-E72D297353CC}">
              <c16:uniqueId val="{0000000C-2758-4429-9F2A-758CFABB481C}"/>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pt-BR" sz="950" b="0">
                <a:latin typeface="Tahoma" panose="020B0604030504040204" pitchFamily="34" charset="0"/>
                <a:ea typeface="Tahoma" panose="020B0604030504040204" pitchFamily="34" charset="0"/>
                <a:cs typeface="Tahoma" panose="020B0604030504040204" pitchFamily="34" charset="0"/>
              </a:rPr>
              <a:t>Por quantidade</a:t>
            </a:r>
            <a:r>
              <a:rPr lang="pt-BR" sz="950" b="0" baseline="0">
                <a:latin typeface="Tahoma" panose="020B0604030504040204" pitchFamily="34" charset="0"/>
                <a:ea typeface="Tahoma" panose="020B0604030504040204" pitchFamily="34" charset="0"/>
                <a:cs typeface="Tahoma" panose="020B0604030504040204" pitchFamily="34" charset="0"/>
              </a:rPr>
              <a:t> em 2023</a:t>
            </a:r>
            <a:endParaRPr lang="pt-BR" sz="950" b="0">
              <a:latin typeface="Tahoma" panose="020B0604030504040204" pitchFamily="34" charset="0"/>
              <a:ea typeface="Tahoma" panose="020B0604030504040204" pitchFamily="34" charset="0"/>
              <a:cs typeface="Tahoma" panose="020B0604030504040204" pitchFamily="34" charset="0"/>
            </a:endParaRPr>
          </a:p>
        </c:rich>
      </c:tx>
      <c:layout>
        <c:manualLayout>
          <c:xMode val="edge"/>
          <c:yMode val="edge"/>
          <c:x val="0.19604235318450233"/>
          <c:y val="4.5977011494252873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manualLayout>
          <c:layoutTarget val="inner"/>
          <c:xMode val="edge"/>
          <c:yMode val="edge"/>
          <c:x val="8.878198297700432E-2"/>
          <c:y val="0.21482525210664458"/>
          <c:w val="0.5443340999179056"/>
          <c:h val="0.54102352995349268"/>
        </c:manualLayout>
      </c:layout>
      <c:pieChart>
        <c:varyColors val="1"/>
        <c:ser>
          <c:idx val="0"/>
          <c:order val="0"/>
          <c:spPr>
            <a:ln>
              <a:noFill/>
            </a:ln>
          </c:spPr>
          <c:dPt>
            <c:idx val="0"/>
            <c:bubble3D val="0"/>
            <c:spPr>
              <a:solidFill>
                <a:schemeClr val="accent1"/>
              </a:solidFill>
              <a:ln w="19050">
                <a:noFill/>
              </a:ln>
              <a:effectLst/>
            </c:spPr>
            <c:extLst>
              <c:ext xmlns:c16="http://schemas.microsoft.com/office/drawing/2014/chart" uri="{C3380CC4-5D6E-409C-BE32-E72D297353CC}">
                <c16:uniqueId val="{00000001-29FE-4DB3-9E64-7ACCDDB4F343}"/>
              </c:ext>
            </c:extLst>
          </c:dPt>
          <c:dPt>
            <c:idx val="1"/>
            <c:bubble3D val="0"/>
            <c:spPr>
              <a:solidFill>
                <a:schemeClr val="accent2"/>
              </a:solidFill>
              <a:ln w="19050">
                <a:noFill/>
              </a:ln>
              <a:effectLst/>
            </c:spPr>
            <c:extLst>
              <c:ext xmlns:c16="http://schemas.microsoft.com/office/drawing/2014/chart" uri="{C3380CC4-5D6E-409C-BE32-E72D297353CC}">
                <c16:uniqueId val="{00000003-29FE-4DB3-9E64-7ACCDDB4F343}"/>
              </c:ext>
            </c:extLst>
          </c:dPt>
          <c:dPt>
            <c:idx val="2"/>
            <c:bubble3D val="0"/>
            <c:spPr>
              <a:solidFill>
                <a:schemeClr val="accent3"/>
              </a:solidFill>
              <a:ln w="19050">
                <a:noFill/>
              </a:ln>
              <a:effectLst/>
            </c:spPr>
            <c:extLst>
              <c:ext xmlns:c16="http://schemas.microsoft.com/office/drawing/2014/chart" uri="{C3380CC4-5D6E-409C-BE32-E72D297353CC}">
                <c16:uniqueId val="{00000005-29FE-4DB3-9E64-7ACCDDB4F343}"/>
              </c:ext>
            </c:extLst>
          </c:dPt>
          <c:dPt>
            <c:idx val="3"/>
            <c:bubble3D val="0"/>
            <c:spPr>
              <a:solidFill>
                <a:schemeClr val="accent4"/>
              </a:solidFill>
              <a:ln w="19050">
                <a:noFill/>
              </a:ln>
              <a:effectLst/>
            </c:spPr>
            <c:extLst>
              <c:ext xmlns:c16="http://schemas.microsoft.com/office/drawing/2014/chart" uri="{C3380CC4-5D6E-409C-BE32-E72D297353CC}">
                <c16:uniqueId val="{00000007-29FE-4DB3-9E64-7ACCDDB4F343}"/>
              </c:ext>
            </c:extLst>
          </c:dPt>
          <c:dPt>
            <c:idx val="4"/>
            <c:bubble3D val="0"/>
            <c:spPr>
              <a:solidFill>
                <a:schemeClr val="accent5"/>
              </a:solidFill>
              <a:ln w="19050">
                <a:noFill/>
              </a:ln>
              <a:effectLst/>
            </c:spPr>
            <c:extLst>
              <c:ext xmlns:c16="http://schemas.microsoft.com/office/drawing/2014/chart" uri="{C3380CC4-5D6E-409C-BE32-E72D297353CC}">
                <c16:uniqueId val="{00000009-29FE-4DB3-9E64-7ACCDDB4F343}"/>
              </c:ext>
            </c:extLst>
          </c:dPt>
          <c:dPt>
            <c:idx val="5"/>
            <c:bubble3D val="0"/>
            <c:spPr>
              <a:solidFill>
                <a:schemeClr val="accent6"/>
              </a:solidFill>
              <a:ln w="19050">
                <a:noFill/>
              </a:ln>
              <a:effectLst/>
            </c:spPr>
            <c:extLst>
              <c:ext xmlns:c16="http://schemas.microsoft.com/office/drawing/2014/chart" uri="{C3380CC4-5D6E-409C-BE32-E72D297353CC}">
                <c16:uniqueId val="{0000000B-29FE-4DB3-9E64-7ACCDDB4F343}"/>
              </c:ext>
            </c:extLst>
          </c:dPt>
          <c:dPt>
            <c:idx val="6"/>
            <c:bubble3D val="0"/>
            <c:spPr>
              <a:solidFill>
                <a:schemeClr val="accent1">
                  <a:lumMod val="60000"/>
                </a:schemeClr>
              </a:solidFill>
              <a:ln w="19050">
                <a:noFill/>
              </a:ln>
              <a:effectLst/>
            </c:spPr>
            <c:extLst>
              <c:ext xmlns:c16="http://schemas.microsoft.com/office/drawing/2014/chart" uri="{C3380CC4-5D6E-409C-BE32-E72D297353CC}">
                <c16:uniqueId val="{0000000D-29FE-4DB3-9E64-7ACCDDB4F343}"/>
              </c:ext>
            </c:extLst>
          </c:dPt>
          <c:dPt>
            <c:idx val="7"/>
            <c:bubble3D val="0"/>
            <c:spPr>
              <a:solidFill>
                <a:srgbClr val="C00000"/>
              </a:solidFill>
              <a:ln w="19050">
                <a:noFill/>
              </a:ln>
              <a:effectLst/>
            </c:spPr>
            <c:extLst>
              <c:ext xmlns:c16="http://schemas.microsoft.com/office/drawing/2014/chart" uri="{C3380CC4-5D6E-409C-BE32-E72D297353CC}">
                <c16:uniqueId val="{0000000F-29FE-4DB3-9E64-7ACCDDB4F343}"/>
              </c:ext>
            </c:extLst>
          </c:dPt>
          <c:dLbls>
            <c:dLbl>
              <c:idx val="3"/>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9FE-4DB3-9E64-7ACCDDB4F34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pt-BR"/>
              </a:p>
            </c:txPr>
            <c:dLblPos val="bestFit"/>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'Novas Contratações'!$A$10:$A$17</c:f>
              <c:strCache>
                <c:ptCount val="8"/>
                <c:pt idx="0">
                  <c:v>Comunicação</c:v>
                </c:pt>
                <c:pt idx="1">
                  <c:v>Financeiro</c:v>
                </c:pt>
                <c:pt idx="2">
                  <c:v>Gestão de Pessoas</c:v>
                </c:pt>
                <c:pt idx="3">
                  <c:v>Jurídico</c:v>
                </c:pt>
                <c:pt idx="4">
                  <c:v>Logística</c:v>
                </c:pt>
                <c:pt idx="5">
                  <c:v>Outros</c:v>
                </c:pt>
                <c:pt idx="6">
                  <c:v>Regionais</c:v>
                </c:pt>
                <c:pt idx="7">
                  <c:v>TI</c:v>
                </c:pt>
              </c:strCache>
            </c:strRef>
          </c:cat>
          <c:val>
            <c:numRef>
              <c:f>'Novas Contratações'!$D$10:$D$17</c:f>
              <c:numCache>
                <c:formatCode>General</c:formatCode>
                <c:ptCount val="8"/>
                <c:pt idx="0">
                  <c:v>2</c:v>
                </c:pt>
                <c:pt idx="1">
                  <c:v>3</c:v>
                </c:pt>
                <c:pt idx="2">
                  <c:v>6</c:v>
                </c:pt>
                <c:pt idx="3">
                  <c:v>1</c:v>
                </c:pt>
                <c:pt idx="4">
                  <c:v>8</c:v>
                </c:pt>
                <c:pt idx="5">
                  <c:v>2</c:v>
                </c:pt>
                <c:pt idx="6">
                  <c:v>3</c:v>
                </c:pt>
                <c:pt idx="7">
                  <c:v>8</c:v>
                </c:pt>
              </c:numCache>
            </c:numRef>
          </c:val>
          <c:extLst>
            <c:ext xmlns:c16="http://schemas.microsoft.com/office/drawing/2014/chart" uri="{C3380CC4-5D6E-409C-BE32-E72D297353CC}">
              <c16:uniqueId val="{00000010-29FE-4DB3-9E64-7ACCDDB4F343}"/>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0204401962110576"/>
          <c:y val="0.23475550330275508"/>
          <c:w val="0.38190403300081721"/>
          <c:h val="0.6265697755364076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sz="1200"/>
              <a:t>Número de Projetos Contratados - Região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doughnutChart>
        <c:varyColors val="1"/>
        <c:ser>
          <c:idx val="0"/>
          <c:order val="0"/>
          <c:tx>
            <c:strRef>
              <c:f>'Porte e Região'!$N$42</c:f>
              <c:strCache>
                <c:ptCount val="1"/>
                <c:pt idx="0">
                  <c:v>Número de Projetos</c:v>
                </c:pt>
              </c:strCache>
            </c:strRef>
          </c:tx>
          <c:dPt>
            <c:idx val="0"/>
            <c:bubble3D val="0"/>
            <c:spPr>
              <a:solidFill>
                <a:srgbClr val="005051"/>
              </a:solidFill>
              <a:ln w="19050">
                <a:solidFill>
                  <a:schemeClr val="lt1"/>
                </a:solidFill>
              </a:ln>
              <a:effectLst/>
            </c:spPr>
            <c:extLst>
              <c:ext xmlns:c16="http://schemas.microsoft.com/office/drawing/2014/chart" uri="{C3380CC4-5D6E-409C-BE32-E72D297353CC}">
                <c16:uniqueId val="{00000001-B095-44BF-A1D0-BBEE0323D8F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095-44BF-A1D0-BBEE0323D8F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095-44BF-A1D0-BBEE0323D8F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095-44BF-A1D0-BBEE0323D8F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095-44BF-A1D0-BBEE0323D8F2}"/>
              </c:ext>
            </c:extLst>
          </c:dPt>
          <c:dLbls>
            <c:dLbl>
              <c:idx val="0"/>
              <c:layout>
                <c:manualLayout>
                  <c:x val="2.7777777777777776E-2"/>
                  <c:y val="-7.870370370370370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095-44BF-A1D0-BBEE0323D8F2}"/>
                </c:ext>
              </c:extLst>
            </c:dLbl>
            <c:dLbl>
              <c:idx val="1"/>
              <c:layout>
                <c:manualLayout>
                  <c:x val="8.3333333333333329E-2"/>
                  <c:y val="-4.166666666666666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095-44BF-A1D0-BBEE0323D8F2}"/>
                </c:ext>
              </c:extLst>
            </c:dLbl>
            <c:dLbl>
              <c:idx val="2"/>
              <c:layout>
                <c:manualLayout>
                  <c:x val="6.3888888888888884E-2"/>
                  <c:y val="0"/>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095-44BF-A1D0-BBEE0323D8F2}"/>
                </c:ext>
              </c:extLst>
            </c:dLbl>
            <c:dLbl>
              <c:idx val="3"/>
              <c:layout>
                <c:manualLayout>
                  <c:x val="4.7222222222222117E-2"/>
                  <c:y val="8.333333333333332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095-44BF-A1D0-BBEE0323D8F2}"/>
                </c:ext>
              </c:extLst>
            </c:dLbl>
            <c:dLbl>
              <c:idx val="4"/>
              <c:layout>
                <c:manualLayout>
                  <c:x val="-7.2222222222222215E-2"/>
                  <c:y val="-2.777777777777782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095-44BF-A1D0-BBEE0323D8F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'Porte e Região'!$M$43:$M$47</c:f>
              <c:strCache>
                <c:ptCount val="5"/>
                <c:pt idx="0">
                  <c:v>N</c:v>
                </c:pt>
                <c:pt idx="1">
                  <c:v>NE</c:v>
                </c:pt>
                <c:pt idx="2">
                  <c:v>CO</c:v>
                </c:pt>
                <c:pt idx="3">
                  <c:v>SE</c:v>
                </c:pt>
                <c:pt idx="4">
                  <c:v>S</c:v>
                </c:pt>
              </c:strCache>
            </c:strRef>
          </c:cat>
          <c:val>
            <c:numRef>
              <c:f>'Porte e Região'!$N$43:$N$47</c:f>
              <c:numCache>
                <c:formatCode>General</c:formatCode>
                <c:ptCount val="5"/>
                <c:pt idx="0">
                  <c:v>155</c:v>
                </c:pt>
                <c:pt idx="1">
                  <c:v>281</c:v>
                </c:pt>
                <c:pt idx="2">
                  <c:v>147</c:v>
                </c:pt>
                <c:pt idx="3">
                  <c:v>509</c:v>
                </c:pt>
                <c:pt idx="4">
                  <c:v>675</c:v>
                </c:pt>
              </c:numCache>
            </c:numRef>
          </c:val>
          <c:extLst>
            <c:ext xmlns:c16="http://schemas.microsoft.com/office/drawing/2014/chart" uri="{C3380CC4-5D6E-409C-BE32-E72D297353CC}">
              <c16:uniqueId val="{0000000A-B095-44BF-A1D0-BBEE0323D8F2}"/>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sz="1200"/>
              <a:t>Valor Contratado</a:t>
            </a:r>
            <a:r>
              <a:rPr lang="en-US" sz="1200" baseline="0"/>
              <a:t> (R$) - Região</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doughnutChart>
        <c:varyColors val="1"/>
        <c:ser>
          <c:idx val="0"/>
          <c:order val="0"/>
          <c:tx>
            <c:strRef>
              <c:f>'Porte e Região'!$O$42</c:f>
              <c:strCache>
                <c:ptCount val="1"/>
                <c:pt idx="0">
                  <c:v>Valor contratado (R$)</c:v>
                </c:pt>
              </c:strCache>
            </c:strRef>
          </c:tx>
          <c:dPt>
            <c:idx val="0"/>
            <c:bubble3D val="0"/>
            <c:spPr>
              <a:solidFill>
                <a:srgbClr val="005051"/>
              </a:solidFill>
              <a:ln w="19050">
                <a:solidFill>
                  <a:schemeClr val="lt1"/>
                </a:solidFill>
              </a:ln>
              <a:effectLst/>
            </c:spPr>
            <c:extLst>
              <c:ext xmlns:c16="http://schemas.microsoft.com/office/drawing/2014/chart" uri="{C3380CC4-5D6E-409C-BE32-E72D297353CC}">
                <c16:uniqueId val="{00000001-D8D7-4A1E-892B-CAF5B2E994D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8D7-4A1E-892B-CAF5B2E994D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8D7-4A1E-892B-CAF5B2E994D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8D7-4A1E-892B-CAF5B2E994D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8D7-4A1E-892B-CAF5B2E994D7}"/>
              </c:ext>
            </c:extLst>
          </c:dPt>
          <c:dLbls>
            <c:dLbl>
              <c:idx val="0"/>
              <c:layout>
                <c:manualLayout>
                  <c:x val="-8.3333333333333332E-3"/>
                  <c:y val="-9.722222222222222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8D7-4A1E-892B-CAF5B2E994D7}"/>
                </c:ext>
              </c:extLst>
            </c:dLbl>
            <c:dLbl>
              <c:idx val="1"/>
              <c:layout>
                <c:manualLayout>
                  <c:x val="3.6111111111111108E-2"/>
                  <c:y val="-9.722222222222223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8D7-4A1E-892B-CAF5B2E994D7}"/>
                </c:ext>
              </c:extLst>
            </c:dLbl>
            <c:dLbl>
              <c:idx val="2"/>
              <c:layout>
                <c:manualLayout>
                  <c:x val="8.055555555555545E-2"/>
                  <c:y val="-5.555555555555555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8D7-4A1E-892B-CAF5B2E994D7}"/>
                </c:ext>
              </c:extLst>
            </c:dLbl>
            <c:dLbl>
              <c:idx val="3"/>
              <c:layout>
                <c:manualLayout>
                  <c:x val="9.1666666666666563E-2"/>
                  <c:y val="-8.4875562720133283E-1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8D7-4A1E-892B-CAF5B2E994D7}"/>
                </c:ext>
              </c:extLst>
            </c:dLbl>
            <c:dLbl>
              <c:idx val="4"/>
              <c:layout>
                <c:manualLayout>
                  <c:x val="-6.6666666666666721E-2"/>
                  <c:y val="-9.722222222222226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8D7-4A1E-892B-CAF5B2E994D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'Porte e Região'!$M$43:$M$47</c:f>
              <c:strCache>
                <c:ptCount val="5"/>
                <c:pt idx="0">
                  <c:v>N</c:v>
                </c:pt>
                <c:pt idx="1">
                  <c:v>NE</c:v>
                </c:pt>
                <c:pt idx="2">
                  <c:v>CO</c:v>
                </c:pt>
                <c:pt idx="3">
                  <c:v>SE</c:v>
                </c:pt>
                <c:pt idx="4">
                  <c:v>S</c:v>
                </c:pt>
              </c:strCache>
            </c:strRef>
          </c:cat>
          <c:val>
            <c:numRef>
              <c:f>'Porte e Região'!$O$43:$O$47</c:f>
              <c:numCache>
                <c:formatCode>#,##0.00</c:formatCode>
                <c:ptCount val="5"/>
                <c:pt idx="0">
                  <c:v>113600267.41999997</c:v>
                </c:pt>
                <c:pt idx="1">
                  <c:v>650124298.16999972</c:v>
                </c:pt>
                <c:pt idx="2">
                  <c:v>402803580.66000003</c:v>
                </c:pt>
                <c:pt idx="3">
                  <c:v>5078733585.5099983</c:v>
                </c:pt>
                <c:pt idx="4">
                  <c:v>4141523088.7600012</c:v>
                </c:pt>
              </c:numCache>
            </c:numRef>
          </c:val>
          <c:extLst>
            <c:ext xmlns:c16="http://schemas.microsoft.com/office/drawing/2014/chart" uri="{C3380CC4-5D6E-409C-BE32-E72D297353CC}">
              <c16:uniqueId val="{0000000A-D8D7-4A1E-892B-CAF5B2E994D7}"/>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0098BA"/>
                </a:solidFill>
                <a:latin typeface="Tahoma" panose="020B0604030504040204" pitchFamily="34" charset="0"/>
                <a:ea typeface="Tahoma" panose="020B0604030504040204" pitchFamily="34" charset="0"/>
                <a:cs typeface="Tahoma" panose="020B0604030504040204" pitchFamily="34" charset="0"/>
              </a:defRPr>
            </a:pPr>
            <a:r>
              <a:rPr lang="pt-BR" sz="1050">
                <a:solidFill>
                  <a:srgbClr val="0098BA"/>
                </a:solidFill>
              </a:rPr>
              <a:t>Contratação de projetos per Capita - 2018-2023</a:t>
            </a: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0098BA"/>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lineChart>
        <c:grouping val="standard"/>
        <c:varyColors val="0"/>
        <c:ser>
          <c:idx val="0"/>
          <c:order val="0"/>
          <c:spPr>
            <a:ln w="28575" cap="rnd">
              <a:solidFill>
                <a:srgbClr val="0098BA"/>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Planilhas_Ind_Produtividade!$B$7:$G$7</c:f>
              <c:numCache>
                <c:formatCode>General</c:formatCode>
                <c:ptCount val="6"/>
                <c:pt idx="0">
                  <c:v>2018</c:v>
                </c:pt>
                <c:pt idx="1">
                  <c:v>2019</c:v>
                </c:pt>
                <c:pt idx="2">
                  <c:v>2020</c:v>
                </c:pt>
                <c:pt idx="3">
                  <c:v>2021</c:v>
                </c:pt>
                <c:pt idx="4">
                  <c:v>2022</c:v>
                </c:pt>
                <c:pt idx="5">
                  <c:v>2023</c:v>
                </c:pt>
              </c:numCache>
            </c:numRef>
          </c:cat>
          <c:val>
            <c:numRef>
              <c:f>Planilhas_Ind_Produtividade!$B$8:$G$8</c:f>
              <c:numCache>
                <c:formatCode>0.00</c:formatCode>
                <c:ptCount val="6"/>
                <c:pt idx="0">
                  <c:v>0.56289999999999996</c:v>
                </c:pt>
                <c:pt idx="1">
                  <c:v>0.64139999999999997</c:v>
                </c:pt>
                <c:pt idx="2">
                  <c:v>0.70350000000000001</c:v>
                </c:pt>
                <c:pt idx="3">
                  <c:v>0.98</c:v>
                </c:pt>
                <c:pt idx="4">
                  <c:v>2.19</c:v>
                </c:pt>
                <c:pt idx="5">
                  <c:v>3.42</c:v>
                </c:pt>
              </c:numCache>
            </c:numRef>
          </c:val>
          <c:smooth val="0"/>
          <c:extLst>
            <c:ext xmlns:c16="http://schemas.microsoft.com/office/drawing/2014/chart" uri="{C3380CC4-5D6E-409C-BE32-E72D297353CC}">
              <c16:uniqueId val="{00000000-9659-496F-A316-2076F681AEAC}"/>
            </c:ext>
          </c:extLst>
        </c:ser>
        <c:dLbls>
          <c:showLegendKey val="0"/>
          <c:showVal val="0"/>
          <c:showCatName val="0"/>
          <c:showSerName val="0"/>
          <c:showPercent val="0"/>
          <c:showBubbleSize val="0"/>
        </c:dLbls>
        <c:smooth val="0"/>
        <c:axId val="792316719"/>
        <c:axId val="927907936"/>
      </c:lineChart>
      <c:catAx>
        <c:axId val="79231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927907936"/>
        <c:crosses val="autoZero"/>
        <c:auto val="1"/>
        <c:lblAlgn val="ctr"/>
        <c:lblOffset val="100"/>
        <c:noMultiLvlLbl val="0"/>
      </c:catAx>
      <c:valAx>
        <c:axId val="927907936"/>
        <c:scaling>
          <c:orientation val="minMax"/>
          <c:max val="3.5"/>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7923167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0339123345126605"/>
          <c:y val="1.832044791328296E-2"/>
          <c:w val="0.78402687382498459"/>
          <c:h val="0.67302008192618967"/>
        </c:manualLayout>
      </c:layout>
      <c:barChart>
        <c:barDir val="col"/>
        <c:grouping val="clustered"/>
        <c:varyColors val="1"/>
        <c:ser>
          <c:idx val="0"/>
          <c:order val="0"/>
          <c:invertIfNegative val="0"/>
          <c:dPt>
            <c:idx val="0"/>
            <c:invertIfNegative val="0"/>
            <c:bubble3D val="0"/>
            <c:spPr>
              <a:solidFill>
                <a:srgbClr val="E46C0A"/>
              </a:solidFill>
            </c:spPr>
            <c:extLst>
              <c:ext xmlns:c16="http://schemas.microsoft.com/office/drawing/2014/chart" uri="{C3380CC4-5D6E-409C-BE32-E72D297353CC}">
                <c16:uniqueId val="{00000001-2478-4617-8D4A-EEB729D94F9F}"/>
              </c:ext>
            </c:extLst>
          </c:dPt>
          <c:dPt>
            <c:idx val="1"/>
            <c:invertIfNegative val="0"/>
            <c:bubble3D val="0"/>
            <c:spPr>
              <a:solidFill>
                <a:srgbClr val="366092"/>
              </a:solidFill>
            </c:spPr>
            <c:extLst>
              <c:ext xmlns:c16="http://schemas.microsoft.com/office/drawing/2014/chart" uri="{C3380CC4-5D6E-409C-BE32-E72D297353CC}">
                <c16:uniqueId val="{00000003-2478-4617-8D4A-EEB729D94F9F}"/>
              </c:ext>
            </c:extLst>
          </c:dPt>
          <c:dPt>
            <c:idx val="2"/>
            <c:invertIfNegative val="0"/>
            <c:bubble3D val="0"/>
            <c:spPr>
              <a:solidFill>
                <a:srgbClr val="76933C"/>
              </a:solidFill>
            </c:spPr>
            <c:extLst>
              <c:ext xmlns:c16="http://schemas.microsoft.com/office/drawing/2014/chart" uri="{C3380CC4-5D6E-409C-BE32-E72D297353CC}">
                <c16:uniqueId val="{00000005-2478-4617-8D4A-EEB729D94F9F}"/>
              </c:ext>
            </c:extLst>
          </c:dPt>
          <c:dPt>
            <c:idx val="3"/>
            <c:invertIfNegative val="0"/>
            <c:bubble3D val="0"/>
            <c:spPr>
              <a:solidFill>
                <a:srgbClr val="60497A"/>
              </a:solidFill>
            </c:spPr>
            <c:extLst>
              <c:ext xmlns:c16="http://schemas.microsoft.com/office/drawing/2014/chart" uri="{C3380CC4-5D6E-409C-BE32-E72D297353CC}">
                <c16:uniqueId val="{00000007-2478-4617-8D4A-EEB729D94F9F}"/>
              </c:ext>
            </c:extLst>
          </c:dPt>
          <c:dPt>
            <c:idx val="4"/>
            <c:invertIfNegative val="0"/>
            <c:bubble3D val="0"/>
            <c:spPr>
              <a:solidFill>
                <a:srgbClr val="FFC000"/>
              </a:solidFill>
            </c:spPr>
            <c:extLst>
              <c:ext xmlns:c16="http://schemas.microsoft.com/office/drawing/2014/chart" uri="{C3380CC4-5D6E-409C-BE32-E72D297353CC}">
                <c16:uniqueId val="{00000009-2478-4617-8D4A-EEB729D94F9F}"/>
              </c:ext>
            </c:extLst>
          </c:dPt>
          <c:dPt>
            <c:idx val="5"/>
            <c:invertIfNegative val="0"/>
            <c:bubble3D val="0"/>
            <c:spPr>
              <a:solidFill>
                <a:srgbClr val="C4BD97"/>
              </a:solidFill>
            </c:spPr>
            <c:extLst>
              <c:ext xmlns:c16="http://schemas.microsoft.com/office/drawing/2014/chart" uri="{C3380CC4-5D6E-409C-BE32-E72D297353CC}">
                <c16:uniqueId val="{0000000B-2478-4617-8D4A-EEB729D94F9F}"/>
              </c:ext>
            </c:extLst>
          </c:dPt>
          <c:dPt>
            <c:idx val="6"/>
            <c:invertIfNegative val="0"/>
            <c:bubble3D val="0"/>
            <c:extLst>
              <c:ext xmlns:c16="http://schemas.microsoft.com/office/drawing/2014/chart" uri="{C3380CC4-5D6E-409C-BE32-E72D297353CC}">
                <c16:uniqueId val="{0000000C-2478-4617-8D4A-EEB729D94F9F}"/>
              </c:ext>
            </c:extLst>
          </c:dPt>
          <c:dPt>
            <c:idx val="7"/>
            <c:invertIfNegative val="0"/>
            <c:bubble3D val="0"/>
            <c:extLst>
              <c:ext xmlns:c16="http://schemas.microsoft.com/office/drawing/2014/chart" uri="{C3380CC4-5D6E-409C-BE32-E72D297353CC}">
                <c16:uniqueId val="{0000000D-2478-4617-8D4A-EEB729D94F9F}"/>
              </c:ext>
            </c:extLst>
          </c:dPt>
          <c:dPt>
            <c:idx val="8"/>
            <c:invertIfNegative val="0"/>
            <c:bubble3D val="0"/>
            <c:extLst>
              <c:ext xmlns:c16="http://schemas.microsoft.com/office/drawing/2014/chart" uri="{C3380CC4-5D6E-409C-BE32-E72D297353CC}">
                <c16:uniqueId val="{0000000E-2478-4617-8D4A-EEB729D94F9F}"/>
              </c:ext>
            </c:extLst>
          </c:dPt>
          <c:dPt>
            <c:idx val="9"/>
            <c:invertIfNegative val="0"/>
            <c:bubble3D val="0"/>
            <c:extLst>
              <c:ext xmlns:c16="http://schemas.microsoft.com/office/drawing/2014/chart" uri="{C3380CC4-5D6E-409C-BE32-E72D297353CC}">
                <c16:uniqueId val="{0000000F-2478-4617-8D4A-EEB729D94F9F}"/>
              </c:ext>
            </c:extLst>
          </c:dPt>
          <c:dPt>
            <c:idx val="10"/>
            <c:invertIfNegative val="0"/>
            <c:bubble3D val="0"/>
            <c:extLst>
              <c:ext xmlns:c16="http://schemas.microsoft.com/office/drawing/2014/chart" uri="{C3380CC4-5D6E-409C-BE32-E72D297353CC}">
                <c16:uniqueId val="{00000010-2478-4617-8D4A-EEB729D94F9F}"/>
              </c:ext>
            </c:extLst>
          </c:dPt>
          <c:dPt>
            <c:idx val="11"/>
            <c:invertIfNegative val="0"/>
            <c:bubble3D val="0"/>
            <c:extLst>
              <c:ext xmlns:c16="http://schemas.microsoft.com/office/drawing/2014/chart" uri="{C3380CC4-5D6E-409C-BE32-E72D297353CC}">
                <c16:uniqueId val="{00000011-2478-4617-8D4A-EEB729D94F9F}"/>
              </c:ext>
            </c:extLst>
          </c:dPt>
          <c:dPt>
            <c:idx val="12"/>
            <c:invertIfNegative val="0"/>
            <c:bubble3D val="0"/>
            <c:extLst>
              <c:ext xmlns:c16="http://schemas.microsoft.com/office/drawing/2014/chart" uri="{C3380CC4-5D6E-409C-BE32-E72D297353CC}">
                <c16:uniqueId val="{00000012-2478-4617-8D4A-EEB729D94F9F}"/>
              </c:ext>
            </c:extLst>
          </c:dPt>
          <c:dPt>
            <c:idx val="13"/>
            <c:invertIfNegative val="0"/>
            <c:bubble3D val="0"/>
            <c:extLst>
              <c:ext xmlns:c16="http://schemas.microsoft.com/office/drawing/2014/chart" uri="{C3380CC4-5D6E-409C-BE32-E72D297353CC}">
                <c16:uniqueId val="{00000013-2478-4617-8D4A-EEB729D94F9F}"/>
              </c:ext>
            </c:extLst>
          </c:dPt>
          <c:dPt>
            <c:idx val="14"/>
            <c:invertIfNegative val="0"/>
            <c:bubble3D val="0"/>
            <c:extLst>
              <c:ext xmlns:c16="http://schemas.microsoft.com/office/drawing/2014/chart" uri="{C3380CC4-5D6E-409C-BE32-E72D297353CC}">
                <c16:uniqueId val="{00000014-2478-4617-8D4A-EEB729D94F9F}"/>
              </c:ext>
            </c:extLst>
          </c:dPt>
          <c:dPt>
            <c:idx val="15"/>
            <c:invertIfNegative val="0"/>
            <c:bubble3D val="0"/>
            <c:extLst>
              <c:ext xmlns:c16="http://schemas.microsoft.com/office/drawing/2014/chart" uri="{C3380CC4-5D6E-409C-BE32-E72D297353CC}">
                <c16:uniqueId val="{00000015-2478-4617-8D4A-EEB729D94F9F}"/>
              </c:ext>
            </c:extLst>
          </c:dPt>
          <c:dPt>
            <c:idx val="16"/>
            <c:invertIfNegative val="0"/>
            <c:bubble3D val="0"/>
            <c:extLst>
              <c:ext xmlns:c16="http://schemas.microsoft.com/office/drawing/2014/chart" uri="{C3380CC4-5D6E-409C-BE32-E72D297353CC}">
                <c16:uniqueId val="{00000016-2478-4617-8D4A-EEB729D94F9F}"/>
              </c:ext>
            </c:extLst>
          </c:dPt>
          <c:dPt>
            <c:idx val="17"/>
            <c:invertIfNegative val="0"/>
            <c:bubble3D val="0"/>
            <c:extLst>
              <c:ext xmlns:c16="http://schemas.microsoft.com/office/drawing/2014/chart" uri="{C3380CC4-5D6E-409C-BE32-E72D297353CC}">
                <c16:uniqueId val="{00000017-2478-4617-8D4A-EEB729D94F9F}"/>
              </c:ext>
            </c:extLst>
          </c:dPt>
          <c:dPt>
            <c:idx val="18"/>
            <c:invertIfNegative val="0"/>
            <c:bubble3D val="0"/>
            <c:extLst>
              <c:ext xmlns:c16="http://schemas.microsoft.com/office/drawing/2014/chart" uri="{C3380CC4-5D6E-409C-BE32-E72D297353CC}">
                <c16:uniqueId val="{00000018-2478-4617-8D4A-EEB729D94F9F}"/>
              </c:ext>
            </c:extLst>
          </c:dPt>
          <c:dPt>
            <c:idx val="19"/>
            <c:invertIfNegative val="0"/>
            <c:bubble3D val="0"/>
            <c:extLst>
              <c:ext xmlns:c16="http://schemas.microsoft.com/office/drawing/2014/chart" uri="{C3380CC4-5D6E-409C-BE32-E72D297353CC}">
                <c16:uniqueId val="{00000019-2478-4617-8D4A-EEB729D94F9F}"/>
              </c:ext>
            </c:extLst>
          </c:dPt>
          <c:dPt>
            <c:idx val="20"/>
            <c:invertIfNegative val="0"/>
            <c:bubble3D val="0"/>
            <c:extLst>
              <c:ext xmlns:c16="http://schemas.microsoft.com/office/drawing/2014/chart" uri="{C3380CC4-5D6E-409C-BE32-E72D297353CC}">
                <c16:uniqueId val="{0000001A-2478-4617-8D4A-EEB729D94F9F}"/>
              </c:ext>
            </c:extLst>
          </c:dPt>
          <c:dPt>
            <c:idx val="21"/>
            <c:invertIfNegative val="0"/>
            <c:bubble3D val="0"/>
            <c:extLst>
              <c:ext xmlns:c16="http://schemas.microsoft.com/office/drawing/2014/chart" uri="{C3380CC4-5D6E-409C-BE32-E72D297353CC}">
                <c16:uniqueId val="{0000001B-2478-4617-8D4A-EEB729D94F9F}"/>
              </c:ext>
            </c:extLst>
          </c:dPt>
          <c:dPt>
            <c:idx val="22"/>
            <c:invertIfNegative val="0"/>
            <c:bubble3D val="0"/>
            <c:extLst>
              <c:ext xmlns:c16="http://schemas.microsoft.com/office/drawing/2014/chart" uri="{C3380CC4-5D6E-409C-BE32-E72D297353CC}">
                <c16:uniqueId val="{0000001C-2478-4617-8D4A-EEB729D94F9F}"/>
              </c:ext>
            </c:extLst>
          </c:dPt>
          <c:dPt>
            <c:idx val="23"/>
            <c:invertIfNegative val="0"/>
            <c:bubble3D val="0"/>
            <c:extLst>
              <c:ext xmlns:c16="http://schemas.microsoft.com/office/drawing/2014/chart" uri="{C3380CC4-5D6E-409C-BE32-E72D297353CC}">
                <c16:uniqueId val="{0000001D-2478-4617-8D4A-EEB729D94F9F}"/>
              </c:ext>
            </c:extLst>
          </c:dPt>
          <c:dPt>
            <c:idx val="24"/>
            <c:invertIfNegative val="0"/>
            <c:bubble3D val="0"/>
            <c:extLst>
              <c:ext xmlns:c16="http://schemas.microsoft.com/office/drawing/2014/chart" uri="{C3380CC4-5D6E-409C-BE32-E72D297353CC}">
                <c16:uniqueId val="{0000001E-2478-4617-8D4A-EEB729D94F9F}"/>
              </c:ext>
            </c:extLst>
          </c:dPt>
          <c:dPt>
            <c:idx val="25"/>
            <c:invertIfNegative val="0"/>
            <c:bubble3D val="0"/>
            <c:extLst>
              <c:ext xmlns:c16="http://schemas.microsoft.com/office/drawing/2014/chart" uri="{C3380CC4-5D6E-409C-BE32-E72D297353CC}">
                <c16:uniqueId val="{0000001F-2478-4617-8D4A-EEB729D94F9F}"/>
              </c:ext>
            </c:extLst>
          </c:dPt>
          <c:dPt>
            <c:idx val="26"/>
            <c:invertIfNegative val="0"/>
            <c:bubble3D val="0"/>
            <c:extLst>
              <c:ext xmlns:c16="http://schemas.microsoft.com/office/drawing/2014/chart" uri="{C3380CC4-5D6E-409C-BE32-E72D297353CC}">
                <c16:uniqueId val="{00000020-2478-4617-8D4A-EEB729D94F9F}"/>
              </c:ext>
            </c:extLst>
          </c:dPt>
          <c:dLbls>
            <c:dLbl>
              <c:idx val="0"/>
              <c:tx>
                <c:rich>
                  <a:bodyPr/>
                  <a:lstStyle/>
                  <a:p>
                    <a:fld id="{62F7DA37-C885-43E1-93EB-BC1C4530C8AD}" type="VALUE">
                      <a:rPr lang="en-US">
                        <a:latin typeface="Tahoma" panose="020B0604030504040204" pitchFamily="34" charset="0"/>
                        <a:ea typeface="Tahoma" panose="020B0604030504040204" pitchFamily="34" charset="0"/>
                        <a:cs typeface="Tahoma" panose="020B0604030504040204" pitchFamily="34" charset="0"/>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478-4617-8D4A-EEB729D94F9F}"/>
                </c:ext>
              </c:extLst>
            </c:dLbl>
            <c:spPr>
              <a:noFill/>
              <a:ln>
                <a:noFill/>
              </a:ln>
              <a:effectLst/>
            </c:spPr>
            <c:txPr>
              <a:bodyPr rot="0" vert="horz"/>
              <a:lstStyle/>
              <a:p>
                <a:pPr>
                  <a:defRPr sz="800">
                    <a:latin typeface=""/>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'Porte - Dir e Ind'!$B$3:$B$8</c:f>
              <c:strCache>
                <c:ptCount val="6"/>
                <c:pt idx="0">
                  <c:v>Grande</c:v>
                </c:pt>
                <c:pt idx="1">
                  <c:v>Média II</c:v>
                </c:pt>
                <c:pt idx="2">
                  <c:v>Média I</c:v>
                </c:pt>
                <c:pt idx="3">
                  <c:v>Pequena</c:v>
                </c:pt>
                <c:pt idx="4">
                  <c:v>Micro e Pequeno Porte</c:v>
                </c:pt>
                <c:pt idx="5">
                  <c:v>Pré-operacional</c:v>
                </c:pt>
              </c:strCache>
            </c:strRef>
          </c:cat>
          <c:val>
            <c:numRef>
              <c:f>'Porte - Dir e Ind'!$F$3:$F$8</c:f>
              <c:numCache>
                <c:formatCode>0.0%</c:formatCode>
                <c:ptCount val="6"/>
                <c:pt idx="0">
                  <c:v>0.17298735861610112</c:v>
                </c:pt>
                <c:pt idx="1">
                  <c:v>0.1164337990685296</c:v>
                </c:pt>
                <c:pt idx="2">
                  <c:v>0.2481703260146374</c:v>
                </c:pt>
                <c:pt idx="3">
                  <c:v>0.15302727877578176</c:v>
                </c:pt>
                <c:pt idx="4">
                  <c:v>0.30805056553559546</c:v>
                </c:pt>
                <c:pt idx="5">
                  <c:v>1.3306719893546241E-3</c:v>
                </c:pt>
              </c:numCache>
            </c:numRef>
          </c:val>
          <c:extLst>
            <c:ext xmlns:c16="http://schemas.microsoft.com/office/drawing/2014/chart" uri="{C3380CC4-5D6E-409C-BE32-E72D297353CC}">
              <c16:uniqueId val="{00000021-2478-4617-8D4A-EEB729D94F9F}"/>
            </c:ext>
          </c:extLst>
        </c:ser>
        <c:dLbls>
          <c:showLegendKey val="0"/>
          <c:showVal val="0"/>
          <c:showCatName val="0"/>
          <c:showSerName val="0"/>
          <c:showPercent val="0"/>
          <c:showBubbleSize val="0"/>
        </c:dLbls>
        <c:gapWidth val="38"/>
        <c:axId val="133928448"/>
        <c:axId val="133929984"/>
      </c:barChart>
      <c:catAx>
        <c:axId val="1339284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vert="horz"/>
          <a:lstStyle/>
          <a:p>
            <a:pPr>
              <a:defRPr sz="800"/>
            </a:pPr>
            <a:endParaRPr lang="pt-BR"/>
          </a:p>
        </c:txPr>
        <c:crossAx val="133929984"/>
        <c:crosses val="autoZero"/>
        <c:auto val="1"/>
        <c:lblAlgn val="ctr"/>
        <c:lblOffset val="100"/>
        <c:noMultiLvlLbl val="0"/>
      </c:catAx>
      <c:valAx>
        <c:axId val="133929984"/>
        <c:scaling>
          <c:orientation val="minMax"/>
        </c:scaling>
        <c:delete val="1"/>
        <c:axPos val="l"/>
        <c:numFmt formatCode="0.0%" sourceLinked="1"/>
        <c:majorTickMark val="out"/>
        <c:minorTickMark val="none"/>
        <c:tickLblPos val="nextTo"/>
        <c:crossAx val="13392844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950">
          <a:latin typeface="Tahoma" panose="020B0604030504040204" pitchFamily="34" charset="0"/>
          <a:ea typeface="Tahoma" panose="020B0604030504040204" pitchFamily="34" charset="0"/>
          <a:cs typeface="Tahoma" panose="020B0604030504040204" pitchFamily="34" charset="0"/>
        </a:defRPr>
      </a:pPr>
      <a:endParaRPr lang="pt-B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'Demanda crédito direto - Mensal'!$A$2</c:f>
              <c:strCache>
                <c:ptCount val="1"/>
                <c:pt idx="0">
                  <c:v>2021</c:v>
                </c:pt>
              </c:strCache>
            </c:strRef>
          </c:tx>
          <c:spPr>
            <a:ln w="12700" cap="rnd">
              <a:solidFill>
                <a:schemeClr val="bg1">
                  <a:lumMod val="50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0-CF68-4498-9352-767A099BCB07}"/>
                </c:ext>
              </c:extLst>
            </c:dLbl>
            <c:dLbl>
              <c:idx val="1"/>
              <c:delete val="1"/>
              <c:extLst>
                <c:ext xmlns:c15="http://schemas.microsoft.com/office/drawing/2012/chart" uri="{CE6537A1-D6FC-4f65-9D91-7224C49458BB}"/>
                <c:ext xmlns:c16="http://schemas.microsoft.com/office/drawing/2014/chart" uri="{C3380CC4-5D6E-409C-BE32-E72D297353CC}">
                  <c16:uniqueId val="{00000001-CF68-4498-9352-767A099BCB07}"/>
                </c:ext>
              </c:extLst>
            </c:dLbl>
            <c:dLbl>
              <c:idx val="2"/>
              <c:layout>
                <c:manualLayout>
                  <c:x val="-3.0898540026246719E-2"/>
                  <c:y val="2.84476078675198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F68-4498-9352-767A099BCB07}"/>
                </c:ext>
              </c:extLst>
            </c:dLbl>
            <c:dLbl>
              <c:idx val="3"/>
              <c:layout>
                <c:manualLayout>
                  <c:x val="-3.0898540026246719E-2"/>
                  <c:y val="4.02331116978085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F68-4498-9352-767A099BCB07}"/>
                </c:ext>
              </c:extLst>
            </c:dLbl>
            <c:dLbl>
              <c:idx val="4"/>
              <c:layout>
                <c:manualLayout>
                  <c:x val="-3.3502706692913387E-2"/>
                  <c:y val="5.7911367443241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F68-4498-9352-767A099BCB07}"/>
                </c:ext>
              </c:extLst>
            </c:dLbl>
            <c:dLbl>
              <c:idx val="5"/>
              <c:layout>
                <c:manualLayout>
                  <c:x val="-3.3502706692913289E-2"/>
                  <c:y val="5.20186155280972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F68-4498-9352-767A099BCB07}"/>
                </c:ext>
              </c:extLst>
            </c:dLbl>
            <c:dLbl>
              <c:idx val="6"/>
              <c:layout>
                <c:manualLayout>
                  <c:x val="-3.3502706692913387E-2"/>
                  <c:y val="5.20186155280971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F68-4498-9352-767A099BCB07}"/>
                </c:ext>
              </c:extLst>
            </c:dLbl>
            <c:dLbl>
              <c:idx val="11"/>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b"/>
              <c:showLegendKey val="0"/>
              <c:showVal val="1"/>
              <c:showCatName val="0"/>
              <c:showSerName val="0"/>
              <c:showPercent val="0"/>
              <c:showBubbleSize val="0"/>
              <c:extLst>
                <c:ext xmlns:c16="http://schemas.microsoft.com/office/drawing/2014/chart" uri="{C3380CC4-5D6E-409C-BE32-E72D297353CC}">
                  <c16:uniqueId val="{00000011-CF68-4498-9352-767A099BCB07}"/>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'Demanda crédito direto - Mensal'!$B$1:$M$1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'Demanda crédito direto - Mensal'!$B$2:$M$2</c:f>
              <c:numCache>
                <c:formatCode>General</c:formatCode>
                <c:ptCount val="12"/>
                <c:pt idx="0">
                  <c:v>1</c:v>
                </c:pt>
                <c:pt idx="1">
                  <c:v>5</c:v>
                </c:pt>
                <c:pt idx="2">
                  <c:v>12</c:v>
                </c:pt>
                <c:pt idx="3">
                  <c:v>16</c:v>
                </c:pt>
                <c:pt idx="4">
                  <c:v>21</c:v>
                </c:pt>
                <c:pt idx="5">
                  <c:v>25</c:v>
                </c:pt>
                <c:pt idx="6">
                  <c:v>29</c:v>
                </c:pt>
                <c:pt idx="7">
                  <c:v>32</c:v>
                </c:pt>
                <c:pt idx="8">
                  <c:v>36</c:v>
                </c:pt>
                <c:pt idx="9">
                  <c:v>45</c:v>
                </c:pt>
                <c:pt idx="10">
                  <c:v>54</c:v>
                </c:pt>
                <c:pt idx="11">
                  <c:v>65</c:v>
                </c:pt>
              </c:numCache>
            </c:numRef>
          </c:val>
          <c:smooth val="0"/>
          <c:extLst>
            <c:ext xmlns:c16="http://schemas.microsoft.com/office/drawing/2014/chart" uri="{C3380CC4-5D6E-409C-BE32-E72D297353CC}">
              <c16:uniqueId val="{00000002-CF68-4498-9352-767A099BCB07}"/>
            </c:ext>
          </c:extLst>
        </c:ser>
        <c:ser>
          <c:idx val="1"/>
          <c:order val="1"/>
          <c:tx>
            <c:strRef>
              <c:f>'Demanda crédito direto - Mensal'!$A$3</c:f>
              <c:strCache>
                <c:ptCount val="1"/>
                <c:pt idx="0">
                  <c:v>2022</c:v>
                </c:pt>
              </c:strCache>
            </c:strRef>
          </c:tx>
          <c:spPr>
            <a:ln w="12700"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CF68-4498-9352-767A099BCB07}"/>
                </c:ext>
              </c:extLst>
            </c:dLbl>
            <c:dLbl>
              <c:idx val="1"/>
              <c:delete val="1"/>
              <c:extLst>
                <c:ext xmlns:c15="http://schemas.microsoft.com/office/drawing/2012/chart" uri="{CE6537A1-D6FC-4f65-9D91-7224C49458BB}"/>
                <c:ext xmlns:c16="http://schemas.microsoft.com/office/drawing/2014/chart" uri="{C3380CC4-5D6E-409C-BE32-E72D297353CC}">
                  <c16:uniqueId val="{00000004-CF68-4498-9352-767A099BCB07}"/>
                </c:ext>
              </c:extLst>
            </c:dLbl>
            <c:dLbl>
              <c:idx val="2"/>
              <c:layout>
                <c:manualLayout>
                  <c:x val="-3.3502706692913338E-2"/>
                  <c:y val="-2.84471438713060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F68-4498-9352-767A099BCB07}"/>
                </c:ext>
              </c:extLst>
            </c:dLbl>
            <c:dLbl>
              <c:idx val="3"/>
              <c:layout>
                <c:manualLayout>
                  <c:x val="-3.3502706692913387E-2"/>
                  <c:y val="-4.02326477015947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F68-4498-9352-767A099BCB07}"/>
                </c:ext>
              </c:extLst>
            </c:dLbl>
            <c:dLbl>
              <c:idx val="4"/>
              <c:layout>
                <c:manualLayout>
                  <c:x val="-3.3502706692913387E-2"/>
                  <c:y val="-2.84471438713060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F68-4498-9352-767A099BCB07}"/>
                </c:ext>
              </c:extLst>
            </c:dLbl>
            <c:dLbl>
              <c:idx val="11"/>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t"/>
              <c:showLegendKey val="0"/>
              <c:showVal val="1"/>
              <c:showCatName val="0"/>
              <c:showSerName val="0"/>
              <c:showPercent val="0"/>
              <c:showBubbleSize val="0"/>
              <c:extLst>
                <c:ext xmlns:c16="http://schemas.microsoft.com/office/drawing/2014/chart" uri="{C3380CC4-5D6E-409C-BE32-E72D297353CC}">
                  <c16:uniqueId val="{00000012-CF68-4498-9352-767A099BCB07}"/>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'Demanda crédito direto - Mensal'!$B$1:$M$1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'Demanda crédito direto - Mensal'!$B$3:$M$3</c:f>
              <c:numCache>
                <c:formatCode>General</c:formatCode>
                <c:ptCount val="12"/>
                <c:pt idx="0">
                  <c:v>6</c:v>
                </c:pt>
                <c:pt idx="1">
                  <c:v>15</c:v>
                </c:pt>
                <c:pt idx="2">
                  <c:v>24</c:v>
                </c:pt>
                <c:pt idx="3">
                  <c:v>27</c:v>
                </c:pt>
                <c:pt idx="4">
                  <c:v>43</c:v>
                </c:pt>
                <c:pt idx="5">
                  <c:v>45</c:v>
                </c:pt>
                <c:pt idx="6">
                  <c:v>48</c:v>
                </c:pt>
                <c:pt idx="7">
                  <c:v>62</c:v>
                </c:pt>
                <c:pt idx="8">
                  <c:v>73</c:v>
                </c:pt>
                <c:pt idx="9">
                  <c:v>89</c:v>
                </c:pt>
                <c:pt idx="10">
                  <c:v>98</c:v>
                </c:pt>
                <c:pt idx="11">
                  <c:v>112</c:v>
                </c:pt>
              </c:numCache>
            </c:numRef>
          </c:val>
          <c:smooth val="0"/>
          <c:extLst>
            <c:ext xmlns:c16="http://schemas.microsoft.com/office/drawing/2014/chart" uri="{C3380CC4-5D6E-409C-BE32-E72D297353CC}">
              <c16:uniqueId val="{00000005-CF68-4498-9352-767A099BCB07}"/>
            </c:ext>
          </c:extLst>
        </c:ser>
        <c:ser>
          <c:idx val="2"/>
          <c:order val="2"/>
          <c:tx>
            <c:strRef>
              <c:f>'Demanda crédito direto - Mensal'!$A$4</c:f>
              <c:strCache>
                <c:ptCount val="1"/>
                <c:pt idx="0">
                  <c:v>2023</c:v>
                </c:pt>
              </c:strCache>
            </c:strRef>
          </c:tx>
          <c:spPr>
            <a:ln w="12700" cap="rnd">
              <a:solidFill>
                <a:srgbClr val="00B0F0"/>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6-CF68-4498-9352-767A099BCB07}"/>
                </c:ext>
              </c:extLst>
            </c:dLbl>
            <c:dLbl>
              <c:idx val="1"/>
              <c:delete val="1"/>
              <c:extLst>
                <c:ext xmlns:c15="http://schemas.microsoft.com/office/drawing/2012/chart" uri="{CE6537A1-D6FC-4f65-9D91-7224C49458BB}"/>
                <c:ext xmlns:c16="http://schemas.microsoft.com/office/drawing/2014/chart" uri="{C3380CC4-5D6E-409C-BE32-E72D297353CC}">
                  <c16:uniqueId val="{00000007-CF68-4498-9352-767A099BCB07}"/>
                </c:ext>
              </c:extLst>
            </c:dLbl>
            <c:dLbl>
              <c:idx val="11"/>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t"/>
              <c:showLegendKey val="0"/>
              <c:showVal val="1"/>
              <c:showCatName val="0"/>
              <c:showSerName val="0"/>
              <c:showPercent val="0"/>
              <c:showBubbleSize val="0"/>
              <c:extLst>
                <c:ext xmlns:c16="http://schemas.microsoft.com/office/drawing/2014/chart" uri="{C3380CC4-5D6E-409C-BE32-E72D297353CC}">
                  <c16:uniqueId val="{00000013-CF68-4498-9352-767A099BCB07}"/>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'Demanda crédito direto - Mensal'!$B$1:$M$1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'Demanda crédito direto - Mensal'!$B$4:$M$4</c:f>
              <c:numCache>
                <c:formatCode>General</c:formatCode>
                <c:ptCount val="12"/>
                <c:pt idx="0">
                  <c:v>10</c:v>
                </c:pt>
                <c:pt idx="1">
                  <c:v>23</c:v>
                </c:pt>
                <c:pt idx="2">
                  <c:v>41</c:v>
                </c:pt>
                <c:pt idx="3">
                  <c:v>49</c:v>
                </c:pt>
                <c:pt idx="4">
                  <c:v>67</c:v>
                </c:pt>
                <c:pt idx="5">
                  <c:v>83</c:v>
                </c:pt>
                <c:pt idx="6">
                  <c:v>98</c:v>
                </c:pt>
                <c:pt idx="7">
                  <c:v>117</c:v>
                </c:pt>
                <c:pt idx="8">
                  <c:v>128</c:v>
                </c:pt>
                <c:pt idx="9">
                  <c:v>141</c:v>
                </c:pt>
                <c:pt idx="10">
                  <c:v>157</c:v>
                </c:pt>
                <c:pt idx="11">
                  <c:v>183</c:v>
                </c:pt>
              </c:numCache>
            </c:numRef>
          </c:val>
          <c:smooth val="0"/>
          <c:extLst>
            <c:ext xmlns:c16="http://schemas.microsoft.com/office/drawing/2014/chart" uri="{C3380CC4-5D6E-409C-BE32-E72D297353CC}">
              <c16:uniqueId val="{00000008-CF68-4498-9352-767A099BCB07}"/>
            </c:ext>
          </c:extLst>
        </c:ser>
        <c:dLbls>
          <c:dLblPos val="t"/>
          <c:showLegendKey val="0"/>
          <c:showVal val="1"/>
          <c:showCatName val="0"/>
          <c:showSerName val="0"/>
          <c:showPercent val="0"/>
          <c:showBubbleSize val="0"/>
        </c:dLbls>
        <c:smooth val="0"/>
        <c:axId val="1626743759"/>
        <c:axId val="1115847007"/>
      </c:lineChart>
      <c:catAx>
        <c:axId val="162674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1115847007"/>
        <c:crosses val="autoZero"/>
        <c:auto val="1"/>
        <c:lblAlgn val="ctr"/>
        <c:lblOffset val="100"/>
        <c:noMultiLvlLbl val="0"/>
      </c:catAx>
      <c:valAx>
        <c:axId val="1115847007"/>
        <c:scaling>
          <c:orientation val="minMax"/>
          <c:max val="2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1626743759"/>
        <c:crosses val="autoZero"/>
        <c:crossBetween val="between"/>
        <c:majorUnit val="30"/>
      </c:valAx>
      <c:spPr>
        <a:noFill/>
        <a:ln>
          <a:noFill/>
        </a:ln>
        <a:effectLst/>
      </c:spPr>
    </c:plotArea>
    <c:legend>
      <c:legendPos val="b"/>
      <c:overlay val="0"/>
      <c:spPr>
        <a:noFill/>
        <a:ln>
          <a:noFill/>
        </a:ln>
        <a:effectLst/>
      </c:spPr>
      <c:txPr>
        <a:bodyPr rot="0" spcFirstLastPara="1" vertOverflow="ellipsis" vert="horz" wrap="square" anchor="ctr" anchorCtr="1"/>
        <a:lstStyle/>
        <a:p>
          <a:pPr>
            <a:defRPr sz="95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50">
          <a:latin typeface="Tahoma" panose="020B0604030504040204" pitchFamily="34" charset="0"/>
          <a:ea typeface="Tahoma" panose="020B0604030504040204" pitchFamily="34" charset="0"/>
          <a:cs typeface="Tahoma" panose="020B0604030504040204" pitchFamily="34" charset="0"/>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pt-BR"/>
              <a:t>Quantitativo de Pessoal x Volume de Operações (R$ milhão)</a:t>
            </a:r>
          </a:p>
        </c:rich>
      </c:tx>
      <c:layout>
        <c:manualLayout>
          <c:xMode val="edge"/>
          <c:yMode val="edge"/>
          <c:x val="0.14330574194205231"/>
          <c:y val="1.5122742010189903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title>
    <c:autoTitleDeleted val="0"/>
    <c:plotArea>
      <c:layout/>
      <c:areaChart>
        <c:grouping val="stacked"/>
        <c:varyColors val="0"/>
        <c:ser>
          <c:idx val="3"/>
          <c:order val="2"/>
          <c:tx>
            <c:strRef>
              <c:f>'Qtde Pessoal x Operações'!$H$3</c:f>
              <c:strCache>
                <c:ptCount val="1"/>
                <c:pt idx="0">
                  <c:v>Total de Liberações</c:v>
                </c:pt>
              </c:strCache>
            </c:strRef>
          </c:tx>
          <c:spPr>
            <a:solidFill>
              <a:srgbClr val="0098BA">
                <a:alpha val="50000"/>
              </a:srgbClr>
            </a:solidFill>
            <a:ln>
              <a:noFill/>
            </a:ln>
            <a:effectLst/>
          </c:spPr>
          <c:cat>
            <c:numRef>
              <c:f>'Qtde Pessoal x Operações'!$C$4:$C$18</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'Qtde Pessoal x Operações'!$H$4:$H$18</c:f>
              <c:numCache>
                <c:formatCode>_-* #,##0_-;\-* #,##0_-;_-* "-"??_-;_-@_-</c:formatCode>
                <c:ptCount val="15"/>
                <c:pt idx="0">
                  <c:v>2227.6989131700002</c:v>
                </c:pt>
                <c:pt idx="1">
                  <c:v>3218.6459839099971</c:v>
                </c:pt>
                <c:pt idx="2">
                  <c:v>3178.4253841299987</c:v>
                </c:pt>
                <c:pt idx="3">
                  <c:v>3486.8291343499982</c:v>
                </c:pt>
                <c:pt idx="4">
                  <c:v>4290.7085990100004</c:v>
                </c:pt>
                <c:pt idx="5">
                  <c:v>7247.1576634699959</c:v>
                </c:pt>
                <c:pt idx="6">
                  <c:v>4509.622700750002</c:v>
                </c:pt>
                <c:pt idx="7">
                  <c:v>4205.9077068600036</c:v>
                </c:pt>
                <c:pt idx="8">
                  <c:v>3176.0089170599999</c:v>
                </c:pt>
                <c:pt idx="9">
                  <c:v>2661.62166914</c:v>
                </c:pt>
                <c:pt idx="10">
                  <c:v>2760.1729920900002</c:v>
                </c:pt>
                <c:pt idx="11">
                  <c:v>2292.4255369299999</c:v>
                </c:pt>
                <c:pt idx="12">
                  <c:v>2257.73755867</c:v>
                </c:pt>
                <c:pt idx="13">
                  <c:v>5079.5401401700019</c:v>
                </c:pt>
                <c:pt idx="14">
                  <c:v>9811.1826616000035</c:v>
                </c:pt>
              </c:numCache>
            </c:numRef>
          </c:val>
          <c:extLst>
            <c:ext xmlns:c16="http://schemas.microsoft.com/office/drawing/2014/chart" uri="{C3380CC4-5D6E-409C-BE32-E72D297353CC}">
              <c16:uniqueId val="{00000000-C6C2-4739-8E23-AA5565E05093}"/>
            </c:ext>
          </c:extLst>
        </c:ser>
        <c:dLbls>
          <c:showLegendKey val="0"/>
          <c:showVal val="0"/>
          <c:showCatName val="0"/>
          <c:showSerName val="0"/>
          <c:showPercent val="0"/>
          <c:showBubbleSize val="0"/>
        </c:dLbls>
        <c:axId val="1622406880"/>
        <c:axId val="1713633920"/>
      </c:areaChart>
      <c:lineChart>
        <c:grouping val="standard"/>
        <c:varyColors val="0"/>
        <c:ser>
          <c:idx val="2"/>
          <c:order val="1"/>
          <c:tx>
            <c:strRef>
              <c:f>'Qtde Pessoal x Operações'!$E$3</c:f>
              <c:strCache>
                <c:ptCount val="1"/>
                <c:pt idx="0">
                  <c:v>Pessoal em exercício</c:v>
                </c:pt>
              </c:strCache>
            </c:strRef>
          </c:tx>
          <c:spPr>
            <a:ln w="12700" cap="rnd">
              <a:solidFill>
                <a:schemeClr val="accent3"/>
              </a:solidFill>
              <a:round/>
            </a:ln>
            <a:effectLst/>
          </c:spPr>
          <c:marker>
            <c:symbol val="square"/>
            <c:size val="5"/>
            <c:spPr>
              <a:solidFill>
                <a:schemeClr val="accent3"/>
              </a:solidFill>
              <a:ln w="0">
                <a:solidFill>
                  <a:schemeClr val="accent3"/>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'Qtde Pessoal x Operações'!$C$4:$C$18</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'Qtde Pessoal x Operações'!$E$4:$E$18</c:f>
              <c:numCache>
                <c:formatCode>General</c:formatCode>
                <c:ptCount val="15"/>
                <c:pt idx="0">
                  <c:v>619</c:v>
                </c:pt>
                <c:pt idx="1">
                  <c:v>640</c:v>
                </c:pt>
                <c:pt idx="2">
                  <c:v>669</c:v>
                </c:pt>
                <c:pt idx="3">
                  <c:v>726</c:v>
                </c:pt>
                <c:pt idx="4">
                  <c:v>788</c:v>
                </c:pt>
                <c:pt idx="5">
                  <c:v>758</c:v>
                </c:pt>
                <c:pt idx="6">
                  <c:v>740</c:v>
                </c:pt>
                <c:pt idx="7">
                  <c:v>742</c:v>
                </c:pt>
                <c:pt idx="8">
                  <c:v>740</c:v>
                </c:pt>
                <c:pt idx="9">
                  <c:v>625</c:v>
                </c:pt>
                <c:pt idx="10">
                  <c:v>618</c:v>
                </c:pt>
                <c:pt idx="11">
                  <c:v>562</c:v>
                </c:pt>
                <c:pt idx="12">
                  <c:v>549</c:v>
                </c:pt>
                <c:pt idx="13">
                  <c:v>542</c:v>
                </c:pt>
                <c:pt idx="14">
                  <c:v>541</c:v>
                </c:pt>
              </c:numCache>
            </c:numRef>
          </c:val>
          <c:smooth val="0"/>
          <c:extLst>
            <c:ext xmlns:c16="http://schemas.microsoft.com/office/drawing/2014/chart" uri="{C3380CC4-5D6E-409C-BE32-E72D297353CC}">
              <c16:uniqueId val="{00000001-C6C2-4739-8E23-AA5565E05093}"/>
            </c:ext>
          </c:extLst>
        </c:ser>
        <c:ser>
          <c:idx val="1"/>
          <c:order val="3"/>
          <c:tx>
            <c:strRef>
              <c:f>'Qtde Pessoal x Operações'!$D$3</c:f>
              <c:strCache>
                <c:ptCount val="1"/>
                <c:pt idx="0">
                  <c:v>Quadro máximo aprovado</c:v>
                </c:pt>
              </c:strCache>
            </c:strRef>
          </c:tx>
          <c:spPr>
            <a:ln w="12700" cap="rnd">
              <a:solidFill>
                <a:schemeClr val="accent2"/>
              </a:solidFill>
              <a:round/>
            </a:ln>
            <a:effectLst/>
          </c:spPr>
          <c:marker>
            <c:symbol val="circle"/>
            <c:size val="5"/>
            <c:spPr>
              <a:solidFill>
                <a:schemeClr val="accent2"/>
              </a:solidFill>
              <a:ln w="0">
                <a:solidFill>
                  <a:schemeClr val="accent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'Qtde Pessoal x Operações'!$C$4:$C$18</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'Qtde Pessoal x Operações'!$D$4:$D$18</c:f>
              <c:numCache>
                <c:formatCode>General</c:formatCode>
                <c:ptCount val="15"/>
                <c:pt idx="0">
                  <c:v>642</c:v>
                </c:pt>
                <c:pt idx="1">
                  <c:v>642</c:v>
                </c:pt>
                <c:pt idx="2">
                  <c:v>754</c:v>
                </c:pt>
                <c:pt idx="3">
                  <c:v>754</c:v>
                </c:pt>
                <c:pt idx="4">
                  <c:v>794</c:v>
                </c:pt>
                <c:pt idx="5">
                  <c:v>794</c:v>
                </c:pt>
                <c:pt idx="6">
                  <c:v>749</c:v>
                </c:pt>
                <c:pt idx="7">
                  <c:v>749</c:v>
                </c:pt>
                <c:pt idx="8">
                  <c:v>749</c:v>
                </c:pt>
                <c:pt idx="9">
                  <c:v>671</c:v>
                </c:pt>
                <c:pt idx="10">
                  <c:v>671</c:v>
                </c:pt>
                <c:pt idx="11">
                  <c:v>636</c:v>
                </c:pt>
                <c:pt idx="12">
                  <c:v>636</c:v>
                </c:pt>
                <c:pt idx="13">
                  <c:v>582</c:v>
                </c:pt>
                <c:pt idx="14">
                  <c:v>582</c:v>
                </c:pt>
              </c:numCache>
            </c:numRef>
          </c:val>
          <c:smooth val="0"/>
          <c:extLst>
            <c:ext xmlns:c16="http://schemas.microsoft.com/office/drawing/2014/chart" uri="{C3380CC4-5D6E-409C-BE32-E72D297353CC}">
              <c16:uniqueId val="{00000002-C6C2-4739-8E23-AA5565E05093}"/>
            </c:ext>
          </c:extLst>
        </c:ser>
        <c:dLbls>
          <c:showLegendKey val="0"/>
          <c:showVal val="0"/>
          <c:showCatName val="0"/>
          <c:showSerName val="0"/>
          <c:showPercent val="0"/>
          <c:showBubbleSize val="0"/>
        </c:dLbls>
        <c:marker val="1"/>
        <c:smooth val="0"/>
        <c:axId val="1491430176"/>
        <c:axId val="1492134752"/>
        <c:extLst>
          <c:ext xmlns:c15="http://schemas.microsoft.com/office/drawing/2012/chart" uri="{02D57815-91ED-43cb-92C2-25804820EDAC}">
            <c15:filteredLineSeries>
              <c15:ser>
                <c:idx val="0"/>
                <c:order val="0"/>
                <c:tx>
                  <c:strRef>
                    <c:extLst>
                      <c:ext uri="{02D57815-91ED-43cb-92C2-25804820EDAC}">
                        <c15:formulaRef>
                          <c15:sqref>'Qtde Pessoal x Operações'!$C$3</c15:sqref>
                        </c15:formulaRef>
                      </c:ext>
                    </c:extLst>
                    <c:strCache>
                      <c:ptCount val="1"/>
                      <c:pt idx="0">
                        <c:v>Período</c:v>
                      </c:pt>
                    </c:strCache>
                  </c:strRef>
                </c:tx>
                <c:spPr>
                  <a:ln w="28575" cap="rnd">
                    <a:solidFill>
                      <a:schemeClr val="accent1"/>
                    </a:solidFill>
                    <a:round/>
                  </a:ln>
                  <a:effectLst/>
                </c:spPr>
                <c:marker>
                  <c:symbol val="none"/>
                </c:marker>
                <c:cat>
                  <c:numRef>
                    <c:extLst>
                      <c:ext uri="{02D57815-91ED-43cb-92C2-25804820EDAC}">
                        <c15:formulaRef>
                          <c15:sqref>'Qtde Pessoal x Operações'!$C$4:$C$18</c15:sqref>
                        </c15:formulaRef>
                      </c:ext>
                    </c:extLst>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extLst>
                      <c:ext uri="{02D57815-91ED-43cb-92C2-25804820EDAC}">
                        <c15:formulaRef>
                          <c15:sqref>'Qtde Pessoal x Operações'!$C$4:$C$18</c15:sqref>
                        </c15:formulaRef>
                      </c:ext>
                    </c:extLst>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val>
                <c:smooth val="0"/>
                <c:extLst>
                  <c:ext xmlns:c16="http://schemas.microsoft.com/office/drawing/2014/chart" uri="{C3380CC4-5D6E-409C-BE32-E72D297353CC}">
                    <c16:uniqueId val="{00000003-C6C2-4739-8E23-AA5565E05093}"/>
                  </c:ext>
                </c:extLst>
              </c15:ser>
            </c15:filteredLineSeries>
          </c:ext>
        </c:extLst>
      </c:lineChart>
      <c:catAx>
        <c:axId val="149143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1492134752"/>
        <c:crosses val="autoZero"/>
        <c:auto val="1"/>
        <c:lblAlgn val="ctr"/>
        <c:lblOffset val="100"/>
        <c:noMultiLvlLbl val="0"/>
      </c:catAx>
      <c:valAx>
        <c:axId val="1492134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1491430176"/>
        <c:crosses val="autoZero"/>
        <c:crossBetween val="between"/>
      </c:valAx>
      <c:valAx>
        <c:axId val="1713633920"/>
        <c:scaling>
          <c:orientation val="minMax"/>
        </c:scaling>
        <c:delete val="0"/>
        <c:axPos val="r"/>
        <c:numFmt formatCode="_-* #,##0_-;\-* #,##0_-;_-* &quot;-&quot;??_-;_-@_-" sourceLinked="1"/>
        <c:majorTickMark val="out"/>
        <c:minorTickMark val="none"/>
        <c:tickLblPos val="nextTo"/>
        <c:spPr>
          <a:noFill/>
          <a:ln>
            <a:solidFill>
              <a:schemeClr val="accent1">
                <a:alpha val="96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crossAx val="1622406880"/>
        <c:crosses val="max"/>
        <c:crossBetween val="between"/>
      </c:valAx>
      <c:catAx>
        <c:axId val="1622406880"/>
        <c:scaling>
          <c:orientation val="minMax"/>
        </c:scaling>
        <c:delete val="1"/>
        <c:axPos val="b"/>
        <c:numFmt formatCode="General" sourceLinked="1"/>
        <c:majorTickMark val="out"/>
        <c:minorTickMark val="none"/>
        <c:tickLblPos val="nextTo"/>
        <c:crossAx val="17136339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Tahoma" panose="020B0604030504040204" pitchFamily="34" charset="0"/>
          <a:ea typeface="Tahoma" panose="020B0604030504040204" pitchFamily="34" charset="0"/>
          <a:cs typeface="Tahoma" panose="020B0604030504040204" pitchFamily="34" charset="0"/>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'Perfil Pessoal'!$S$8</c:f>
              <c:strCache>
                <c:ptCount val="1"/>
                <c:pt idx="0">
                  <c:v>Quantidade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6AE-4931-964D-34CEB801666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6AE-4931-964D-34CEB801666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6AE-4931-964D-34CEB801666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6AE-4931-964D-34CEB801666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6AE-4931-964D-34CEB8016669}"/>
              </c:ext>
            </c:extLst>
          </c:dPt>
          <c:dLbls>
            <c:dLbl>
              <c:idx val="0"/>
              <c:layout>
                <c:manualLayout>
                  <c:x val="0.27294961706096532"/>
                  <c:y val="-2.0022497187851526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1"/>
              <c:showSerName val="0"/>
              <c:showPercent val="1"/>
              <c:showBubbleSize val="0"/>
              <c:extLst>
                <c:ext xmlns:c15="http://schemas.microsoft.com/office/drawing/2012/chart" uri="{CE6537A1-D6FC-4f65-9D91-7224C49458BB}">
                  <c15:layout>
                    <c:manualLayout>
                      <c:w val="0.16453105662475562"/>
                      <c:h val="0.25148318724310403"/>
                    </c:manualLayout>
                  </c15:layout>
                </c:ext>
                <c:ext xmlns:c16="http://schemas.microsoft.com/office/drawing/2014/chart" uri="{C3380CC4-5D6E-409C-BE32-E72D297353CC}">
                  <c16:uniqueId val="{00000001-66AE-4931-964D-34CEB8016669}"/>
                </c:ext>
              </c:extLst>
            </c:dLbl>
            <c:dLbl>
              <c:idx val="1"/>
              <c:layout>
                <c:manualLayout>
                  <c:x val="0.15372366434691098"/>
                  <c:y val="5.0913708506562391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1"/>
              <c:showSerName val="0"/>
              <c:showPercent val="1"/>
              <c:showBubbleSize val="0"/>
              <c:extLst>
                <c:ext xmlns:c15="http://schemas.microsoft.com/office/drawing/2012/chart" uri="{CE6537A1-D6FC-4f65-9D91-7224C49458BB}">
                  <c15:layout>
                    <c:manualLayout>
                      <c:w val="0.20829444155471455"/>
                      <c:h val="0.32384112363313078"/>
                    </c:manualLayout>
                  </c15:layout>
                </c:ext>
                <c:ext xmlns:c16="http://schemas.microsoft.com/office/drawing/2014/chart" uri="{C3380CC4-5D6E-409C-BE32-E72D297353CC}">
                  <c16:uniqueId val="{00000003-66AE-4931-964D-34CEB8016669}"/>
                </c:ext>
              </c:extLst>
            </c:dLbl>
            <c:dLbl>
              <c:idx val="2"/>
              <c:layout>
                <c:manualLayout>
                  <c:x val="-0.2998385737090381"/>
                  <c:y val="2.1839251225672304E-3"/>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1"/>
              <c:showSerName val="0"/>
              <c:showPercent val="1"/>
              <c:showBubbleSize val="0"/>
              <c:extLst>
                <c:ext xmlns:c15="http://schemas.microsoft.com/office/drawing/2012/chart" uri="{CE6537A1-D6FC-4f65-9D91-7224C49458BB}">
                  <c15:layout>
                    <c:manualLayout>
                      <c:w val="0.22678241529603788"/>
                      <c:h val="0.26100463857112199"/>
                    </c:manualLayout>
                  </c15:layout>
                </c:ext>
                <c:ext xmlns:c16="http://schemas.microsoft.com/office/drawing/2014/chart" uri="{C3380CC4-5D6E-409C-BE32-E72D297353CC}">
                  <c16:uniqueId val="{00000005-66AE-4931-964D-34CEB8016669}"/>
                </c:ext>
              </c:extLst>
            </c:dLbl>
            <c:dLbl>
              <c:idx val="3"/>
              <c:layout>
                <c:manualLayout>
                  <c:x val="-0.14726295554696117"/>
                  <c:y val="8.168595370599753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1"/>
              <c:showSerName val="0"/>
              <c:showPercent val="1"/>
              <c:showBubbleSize val="0"/>
              <c:extLst>
                <c:ext xmlns:c15="http://schemas.microsoft.com/office/drawing/2012/chart" uri="{CE6537A1-D6FC-4f65-9D91-7224C49458BB}">
                  <c15:layout>
                    <c:manualLayout>
                      <c:w val="0.21544854074464984"/>
                      <c:h val="0.26971479359760536"/>
                    </c:manualLayout>
                  </c15:layout>
                </c:ext>
                <c:ext xmlns:c16="http://schemas.microsoft.com/office/drawing/2014/chart" uri="{C3380CC4-5D6E-409C-BE32-E72D297353CC}">
                  <c16:uniqueId val="{00000007-66AE-4931-964D-34CEB8016669}"/>
                </c:ext>
              </c:extLst>
            </c:dLbl>
            <c:dLbl>
              <c:idx val="4"/>
              <c:layout>
                <c:manualLayout>
                  <c:x val="-0.24622549459221926"/>
                  <c:y val="-3.7037351463142576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1"/>
              <c:showSerName val="0"/>
              <c:showPercent val="1"/>
              <c:showBubbleSize val="0"/>
              <c:extLst>
                <c:ext xmlns:c15="http://schemas.microsoft.com/office/drawing/2012/chart" uri="{CE6537A1-D6FC-4f65-9D91-7224C49458BB}">
                  <c15:layout>
                    <c:manualLayout>
                      <c:w val="0.21910175237206964"/>
                      <c:h val="0.20819425873652586"/>
                    </c:manualLayout>
                  </c15:layout>
                </c:ext>
                <c:ext xmlns:c16="http://schemas.microsoft.com/office/drawing/2014/chart" uri="{C3380CC4-5D6E-409C-BE32-E72D297353CC}">
                  <c16:uniqueId val="{00000009-66AE-4931-964D-34CEB801666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pt-BR"/>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'Perfil Pessoal'!$R$9:$R$13</c:f>
              <c:strCache>
                <c:ptCount val="5"/>
                <c:pt idx="0">
                  <c:v>Ensino Médio</c:v>
                </c:pt>
                <c:pt idx="1">
                  <c:v>Superior Completo</c:v>
                </c:pt>
                <c:pt idx="2">
                  <c:v>Pós Graduação</c:v>
                </c:pt>
                <c:pt idx="3">
                  <c:v>Mestrado</c:v>
                </c:pt>
                <c:pt idx="4">
                  <c:v>Doutorado e pós-doc</c:v>
                </c:pt>
              </c:strCache>
            </c:strRef>
          </c:cat>
          <c:val>
            <c:numRef>
              <c:f>'Perfil Pessoal'!$S$9:$S$13</c:f>
              <c:numCache>
                <c:formatCode>General</c:formatCode>
                <c:ptCount val="5"/>
                <c:pt idx="0">
                  <c:v>28</c:v>
                </c:pt>
                <c:pt idx="1">
                  <c:v>173</c:v>
                </c:pt>
                <c:pt idx="2">
                  <c:v>173</c:v>
                </c:pt>
                <c:pt idx="3">
                  <c:v>137</c:v>
                </c:pt>
                <c:pt idx="4">
                  <c:v>30</c:v>
                </c:pt>
              </c:numCache>
            </c:numRef>
          </c:val>
          <c:extLst>
            <c:ext xmlns:c16="http://schemas.microsoft.com/office/drawing/2014/chart" uri="{C3380CC4-5D6E-409C-BE32-E72D297353CC}">
              <c16:uniqueId val="{0000000A-66AE-4931-964D-34CEB8016669}"/>
            </c:ext>
          </c:extLst>
        </c:ser>
        <c:dLbls>
          <c:showLegendKey val="0"/>
          <c:showVal val="1"/>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3">
  <a:schemeClr val="accent3"/>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BC73D8F9C2AE0945AFDA9ECC080FFBA4" ma:contentTypeVersion="15" ma:contentTypeDescription="Crie um novo documento." ma:contentTypeScope="" ma:versionID="b719a64af6f772703b13427f69ab611b">
  <xsd:schema xmlns:xsd="http://www.w3.org/2001/XMLSchema" xmlns:xs="http://www.w3.org/2001/XMLSchema" xmlns:p="http://schemas.microsoft.com/office/2006/metadata/properties" xmlns:ns3="0030f6dc-ed46-4bef-9811-6fe3c12c3f13" xmlns:ns4="c8535ce8-bcc2-4439-8a3d-ccc151c8f3d8" targetNamespace="http://schemas.microsoft.com/office/2006/metadata/properties" ma:root="true" ma:fieldsID="719b6a6abd01231a28002b18781ce1e9" ns3:_="" ns4:_="">
    <xsd:import namespace="0030f6dc-ed46-4bef-9811-6fe3c12c3f13"/>
    <xsd:import namespace="c8535ce8-bcc2-4439-8a3d-ccc151c8f3d8"/>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ObjectDetectorVersions" minOccurs="0"/>
                <xsd:element ref="ns3:MediaLengthInSeconds" minOccurs="0"/>
                <xsd:element ref="ns3:MediaServiceSystemTags"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30f6dc-ed46-4bef-9811-6fe3c12c3f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ystemTags" ma:index="20" nillable="true" ma:displayName="MediaServiceSystemTags" ma:hidden="true" ma:internalName="MediaServiceSystemTags" ma:readOnly="true">
      <xsd:simpleType>
        <xsd:restriction base="dms:Note"/>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DateTaken" ma:index="22"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535ce8-bcc2-4439-8a3d-ccc151c8f3d8" elementFormDefault="qualified">
    <xsd:import namespace="http://schemas.microsoft.com/office/2006/documentManagement/types"/>
    <xsd:import namespace="http://schemas.microsoft.com/office/infopath/2007/PartnerControls"/>
    <xsd:element name="SharedWithUsers" ma:index="11"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talhes de Compartilhado Com" ma:internalName="SharedWithDetails" ma:readOnly="true">
      <xsd:simpleType>
        <xsd:restriction base="dms:Note">
          <xsd:maxLength value="255"/>
        </xsd:restriction>
      </xsd:simpleType>
    </xsd:element>
    <xsd:element name="SharingHintHash" ma:index="13" nillable="true" ma:displayName="Hash de Dica de Compartilhamento"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0030f6dc-ed46-4bef-9811-6fe3c12c3f13" xsi:nil="true"/>
  </documentManagement>
</p:properties>
</file>

<file path=customXml/itemProps1.xml><?xml version="1.0" encoding="utf-8"?>
<ds:datastoreItem xmlns:ds="http://schemas.openxmlformats.org/officeDocument/2006/customXml" ds:itemID="{EFAF8150-8F24-47FE-9BA3-EAC8A49C0CB8}">
  <ds:schemaRefs>
    <ds:schemaRef ds:uri="http://schemas.openxmlformats.org/officeDocument/2006/bibliography"/>
  </ds:schemaRefs>
</ds:datastoreItem>
</file>

<file path=customXml/itemProps2.xml><?xml version="1.0" encoding="utf-8"?>
<ds:datastoreItem xmlns:ds="http://schemas.openxmlformats.org/officeDocument/2006/customXml" ds:itemID="{8DBCE846-FEFB-425D-94AA-B87654E5F0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30f6dc-ed46-4bef-9811-6fe3c12c3f13"/>
    <ds:schemaRef ds:uri="c8535ce8-bcc2-4439-8a3d-ccc151c8f3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781A4B-A4BA-4428-95BF-774F032AF8C9}">
  <ds:schemaRefs>
    <ds:schemaRef ds:uri="http://schemas.microsoft.com/sharepoint/v3/contenttype/forms"/>
  </ds:schemaRefs>
</ds:datastoreItem>
</file>

<file path=customXml/itemProps4.xml><?xml version="1.0" encoding="utf-8"?>
<ds:datastoreItem xmlns:ds="http://schemas.openxmlformats.org/officeDocument/2006/customXml" ds:itemID="{CD6A2EA6-16FA-4F52-874D-9DF4F599E3D9}">
  <ds:schemaRefs>
    <ds:schemaRef ds:uri="http://schemas.microsoft.com/office/2006/metadata/properties"/>
    <ds:schemaRef ds:uri="http://schemas.microsoft.com/office/infopath/2007/PartnerControls"/>
    <ds:schemaRef ds:uri="0030f6dc-ed46-4bef-9811-6fe3c12c3f13"/>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115</Pages>
  <Words>33940</Words>
  <Characters>183278</Characters>
  <Application>Microsoft Office Word</Application>
  <DocSecurity>0</DocSecurity>
  <Lines>1527</Lines>
  <Paragraphs>433</Paragraphs>
  <ScaleCrop>false</ScaleCrop>
  <HeadingPairs>
    <vt:vector size="2" baseType="variant">
      <vt:variant>
        <vt:lpstr>Título</vt:lpstr>
      </vt:variant>
      <vt:variant>
        <vt:i4>1</vt:i4>
      </vt:variant>
    </vt:vector>
  </HeadingPairs>
  <TitlesOfParts>
    <vt:vector size="1" baseType="lpstr">
      <vt:lpstr/>
    </vt:vector>
  </TitlesOfParts>
  <Company>Finep - Financiadora de Estudos e Projetos</Company>
  <LinksUpToDate>false</LinksUpToDate>
  <CharactersWithSpaces>216785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Cristina de Melo Valente</dc:creator>
  <cp:lastModifiedBy>Cristina de Melo Valente</cp:lastModifiedBy>
  <cp:revision>2</cp:revision>
  <cp:lastPrinted>2024-05-29T19:36:00Z</cp:lastPrinted>
  <dcterms:created xsi:type="dcterms:W3CDTF">2024-05-29T19:51:00Z</dcterms:created>
  <dcterms:modified xsi:type="dcterms:W3CDTF">2024-05-29T19:51:00Z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0x010100BC73D8F9C2AE0945AFDA9ECC080FFBA4</vt:lpwstr>
  </property>
</Properties>
</file>